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B779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26"/>
        <w:gridCol w:w="2108"/>
        <w:gridCol w:w="1152"/>
        <w:gridCol w:w="2210"/>
      </w:tblGrid>
      <w:tr w:rsidR="00CA09B2" w14:paraId="306B8DE5" w14:textId="77777777" w:rsidTr="00F020EA">
        <w:trPr>
          <w:trHeight w:val="485"/>
          <w:jc w:val="center"/>
        </w:trPr>
        <w:tc>
          <w:tcPr>
            <w:tcW w:w="9576" w:type="dxa"/>
            <w:gridSpan w:val="5"/>
            <w:vAlign w:val="center"/>
          </w:tcPr>
          <w:p w14:paraId="26F8C35D" w14:textId="5AFA7DD0" w:rsidR="00CA09B2" w:rsidRDefault="006626D0">
            <w:pPr>
              <w:pStyle w:val="T2"/>
            </w:pPr>
            <w:r>
              <w:t>Security parameter constraints</w:t>
            </w:r>
          </w:p>
        </w:tc>
      </w:tr>
      <w:tr w:rsidR="00CA09B2" w14:paraId="168861D6" w14:textId="77777777" w:rsidTr="00F020EA">
        <w:trPr>
          <w:trHeight w:val="359"/>
          <w:jc w:val="center"/>
        </w:trPr>
        <w:tc>
          <w:tcPr>
            <w:tcW w:w="9576" w:type="dxa"/>
            <w:gridSpan w:val="5"/>
            <w:vAlign w:val="center"/>
          </w:tcPr>
          <w:p w14:paraId="292F4C21" w14:textId="41CA5EA5" w:rsidR="00CA09B2" w:rsidRDefault="00CA09B2">
            <w:pPr>
              <w:pStyle w:val="T2"/>
              <w:ind w:left="0"/>
              <w:rPr>
                <w:sz w:val="20"/>
              </w:rPr>
            </w:pPr>
            <w:r>
              <w:rPr>
                <w:sz w:val="20"/>
              </w:rPr>
              <w:t>Date:</w:t>
            </w:r>
            <w:r>
              <w:rPr>
                <w:b w:val="0"/>
                <w:sz w:val="20"/>
              </w:rPr>
              <w:t xml:space="preserve">  </w:t>
            </w:r>
            <w:r w:rsidR="006626D0">
              <w:rPr>
                <w:b w:val="0"/>
                <w:sz w:val="20"/>
              </w:rPr>
              <w:t>2019</w:t>
            </w:r>
            <w:r>
              <w:rPr>
                <w:b w:val="0"/>
                <w:sz w:val="20"/>
              </w:rPr>
              <w:t>-</w:t>
            </w:r>
            <w:r w:rsidR="006626D0">
              <w:rPr>
                <w:b w:val="0"/>
                <w:sz w:val="20"/>
              </w:rPr>
              <w:t>11</w:t>
            </w:r>
            <w:r>
              <w:rPr>
                <w:b w:val="0"/>
                <w:sz w:val="20"/>
              </w:rPr>
              <w:t>-</w:t>
            </w:r>
            <w:r w:rsidR="006626D0">
              <w:rPr>
                <w:b w:val="0"/>
                <w:sz w:val="20"/>
              </w:rPr>
              <w:t>1</w:t>
            </w:r>
            <w:r w:rsidR="00CC42B8">
              <w:rPr>
                <w:b w:val="0"/>
                <w:sz w:val="20"/>
              </w:rPr>
              <w:t>3</w:t>
            </w:r>
          </w:p>
        </w:tc>
      </w:tr>
      <w:tr w:rsidR="00CA09B2" w14:paraId="60C07F12" w14:textId="77777777" w:rsidTr="00F020EA">
        <w:trPr>
          <w:cantSplit/>
          <w:jc w:val="center"/>
        </w:trPr>
        <w:tc>
          <w:tcPr>
            <w:tcW w:w="9576" w:type="dxa"/>
            <w:gridSpan w:val="5"/>
            <w:vAlign w:val="center"/>
          </w:tcPr>
          <w:p w14:paraId="091E0C0A" w14:textId="77777777" w:rsidR="00CA09B2" w:rsidRDefault="00CA09B2">
            <w:pPr>
              <w:pStyle w:val="T2"/>
              <w:spacing w:after="0"/>
              <w:ind w:left="0" w:right="0"/>
              <w:jc w:val="left"/>
              <w:rPr>
                <w:sz w:val="20"/>
              </w:rPr>
            </w:pPr>
            <w:r>
              <w:rPr>
                <w:sz w:val="20"/>
              </w:rPr>
              <w:t>Author(s):</w:t>
            </w:r>
          </w:p>
        </w:tc>
      </w:tr>
      <w:tr w:rsidR="00CA09B2" w14:paraId="591B20ED" w14:textId="77777777" w:rsidTr="00F020EA">
        <w:trPr>
          <w:jc w:val="center"/>
        </w:trPr>
        <w:tc>
          <w:tcPr>
            <w:tcW w:w="1980" w:type="dxa"/>
            <w:vAlign w:val="center"/>
          </w:tcPr>
          <w:p w14:paraId="53D7D285" w14:textId="77777777" w:rsidR="00CA09B2" w:rsidRDefault="00CA09B2">
            <w:pPr>
              <w:pStyle w:val="T2"/>
              <w:spacing w:after="0"/>
              <w:ind w:left="0" w:right="0"/>
              <w:jc w:val="left"/>
              <w:rPr>
                <w:sz w:val="20"/>
              </w:rPr>
            </w:pPr>
            <w:r>
              <w:rPr>
                <w:sz w:val="20"/>
              </w:rPr>
              <w:t>Name</w:t>
            </w:r>
          </w:p>
        </w:tc>
        <w:tc>
          <w:tcPr>
            <w:tcW w:w="2126" w:type="dxa"/>
            <w:vAlign w:val="center"/>
          </w:tcPr>
          <w:p w14:paraId="19B41142" w14:textId="77777777" w:rsidR="00CA09B2" w:rsidRDefault="0062440B">
            <w:pPr>
              <w:pStyle w:val="T2"/>
              <w:spacing w:after="0"/>
              <w:ind w:left="0" w:right="0"/>
              <w:jc w:val="left"/>
              <w:rPr>
                <w:sz w:val="20"/>
              </w:rPr>
            </w:pPr>
            <w:r>
              <w:rPr>
                <w:sz w:val="20"/>
              </w:rPr>
              <w:t>Affiliation</w:t>
            </w:r>
          </w:p>
        </w:tc>
        <w:tc>
          <w:tcPr>
            <w:tcW w:w="2108" w:type="dxa"/>
            <w:vAlign w:val="center"/>
          </w:tcPr>
          <w:p w14:paraId="2C06DBC2" w14:textId="77777777" w:rsidR="00CA09B2" w:rsidRDefault="00CA09B2">
            <w:pPr>
              <w:pStyle w:val="T2"/>
              <w:spacing w:after="0"/>
              <w:ind w:left="0" w:right="0"/>
              <w:jc w:val="left"/>
              <w:rPr>
                <w:sz w:val="20"/>
              </w:rPr>
            </w:pPr>
            <w:r>
              <w:rPr>
                <w:sz w:val="20"/>
              </w:rPr>
              <w:t>Address</w:t>
            </w:r>
          </w:p>
        </w:tc>
        <w:tc>
          <w:tcPr>
            <w:tcW w:w="1152" w:type="dxa"/>
            <w:vAlign w:val="center"/>
          </w:tcPr>
          <w:p w14:paraId="1E295F98" w14:textId="77777777" w:rsidR="00CA09B2" w:rsidRDefault="00CA09B2">
            <w:pPr>
              <w:pStyle w:val="T2"/>
              <w:spacing w:after="0"/>
              <w:ind w:left="0" w:right="0"/>
              <w:jc w:val="left"/>
              <w:rPr>
                <w:sz w:val="20"/>
              </w:rPr>
            </w:pPr>
            <w:r>
              <w:rPr>
                <w:sz w:val="20"/>
              </w:rPr>
              <w:t>Phone</w:t>
            </w:r>
          </w:p>
        </w:tc>
        <w:tc>
          <w:tcPr>
            <w:tcW w:w="2210" w:type="dxa"/>
            <w:vAlign w:val="center"/>
          </w:tcPr>
          <w:p w14:paraId="344513F3" w14:textId="77777777" w:rsidR="00CA09B2" w:rsidRDefault="00CA09B2">
            <w:pPr>
              <w:pStyle w:val="T2"/>
              <w:spacing w:after="0"/>
              <w:ind w:left="0" w:right="0"/>
              <w:jc w:val="left"/>
              <w:rPr>
                <w:sz w:val="20"/>
              </w:rPr>
            </w:pPr>
            <w:r>
              <w:rPr>
                <w:sz w:val="20"/>
              </w:rPr>
              <w:t>email</w:t>
            </w:r>
          </w:p>
        </w:tc>
      </w:tr>
      <w:tr w:rsidR="00CA09B2" w14:paraId="7D4F5730" w14:textId="77777777" w:rsidTr="00F020EA">
        <w:trPr>
          <w:jc w:val="center"/>
        </w:trPr>
        <w:tc>
          <w:tcPr>
            <w:tcW w:w="1980" w:type="dxa"/>
            <w:vAlign w:val="center"/>
          </w:tcPr>
          <w:p w14:paraId="00CB012A" w14:textId="185786A0" w:rsidR="00CA09B2" w:rsidRDefault="00F020EA">
            <w:pPr>
              <w:pStyle w:val="T2"/>
              <w:spacing w:after="0"/>
              <w:ind w:left="0" w:right="0"/>
              <w:rPr>
                <w:b w:val="0"/>
                <w:sz w:val="20"/>
              </w:rPr>
            </w:pPr>
            <w:r>
              <w:rPr>
                <w:b w:val="0"/>
                <w:sz w:val="20"/>
              </w:rPr>
              <w:t>Jouni Malinen</w:t>
            </w:r>
          </w:p>
        </w:tc>
        <w:tc>
          <w:tcPr>
            <w:tcW w:w="2126" w:type="dxa"/>
            <w:vAlign w:val="center"/>
          </w:tcPr>
          <w:p w14:paraId="06F84C4D" w14:textId="003C8D98" w:rsidR="00CA09B2" w:rsidRDefault="00F020EA">
            <w:pPr>
              <w:pStyle w:val="T2"/>
              <w:spacing w:after="0"/>
              <w:ind w:left="0" w:right="0"/>
              <w:rPr>
                <w:b w:val="0"/>
                <w:sz w:val="20"/>
              </w:rPr>
            </w:pPr>
            <w:r>
              <w:rPr>
                <w:b w:val="0"/>
                <w:sz w:val="20"/>
              </w:rPr>
              <w:t>Qualcomm, Inc.</w:t>
            </w:r>
          </w:p>
        </w:tc>
        <w:tc>
          <w:tcPr>
            <w:tcW w:w="2108" w:type="dxa"/>
            <w:vAlign w:val="center"/>
          </w:tcPr>
          <w:p w14:paraId="7E93E79C" w14:textId="77777777" w:rsidR="00CA09B2" w:rsidRDefault="00CA09B2">
            <w:pPr>
              <w:pStyle w:val="T2"/>
              <w:spacing w:after="0"/>
              <w:ind w:left="0" w:right="0"/>
              <w:rPr>
                <w:b w:val="0"/>
                <w:sz w:val="20"/>
              </w:rPr>
            </w:pPr>
          </w:p>
        </w:tc>
        <w:tc>
          <w:tcPr>
            <w:tcW w:w="1152" w:type="dxa"/>
            <w:vAlign w:val="center"/>
          </w:tcPr>
          <w:p w14:paraId="0B293583" w14:textId="77777777" w:rsidR="00CA09B2" w:rsidRDefault="00CA09B2">
            <w:pPr>
              <w:pStyle w:val="T2"/>
              <w:spacing w:after="0"/>
              <w:ind w:left="0" w:right="0"/>
              <w:rPr>
                <w:b w:val="0"/>
                <w:sz w:val="20"/>
              </w:rPr>
            </w:pPr>
          </w:p>
        </w:tc>
        <w:tc>
          <w:tcPr>
            <w:tcW w:w="2210" w:type="dxa"/>
            <w:vAlign w:val="center"/>
          </w:tcPr>
          <w:p w14:paraId="46F698C3" w14:textId="77BBFFBB" w:rsidR="00CA09B2" w:rsidRDefault="00F020EA">
            <w:pPr>
              <w:pStyle w:val="T2"/>
              <w:spacing w:after="0"/>
              <w:ind w:left="0" w:right="0"/>
              <w:rPr>
                <w:b w:val="0"/>
                <w:sz w:val="16"/>
              </w:rPr>
            </w:pPr>
            <w:r>
              <w:rPr>
                <w:b w:val="0"/>
                <w:sz w:val="16"/>
              </w:rPr>
              <w:t>jouni@qca.qualcomm.com</w:t>
            </w:r>
          </w:p>
        </w:tc>
      </w:tr>
      <w:tr w:rsidR="00CA09B2" w14:paraId="1ACEE467" w14:textId="77777777" w:rsidTr="00F020EA">
        <w:trPr>
          <w:jc w:val="center"/>
        </w:trPr>
        <w:tc>
          <w:tcPr>
            <w:tcW w:w="1980" w:type="dxa"/>
            <w:vAlign w:val="center"/>
          </w:tcPr>
          <w:p w14:paraId="67D0D149" w14:textId="77777777" w:rsidR="00CA09B2" w:rsidRDefault="00CA09B2">
            <w:pPr>
              <w:pStyle w:val="T2"/>
              <w:spacing w:after="0"/>
              <w:ind w:left="0" w:right="0"/>
              <w:rPr>
                <w:b w:val="0"/>
                <w:sz w:val="20"/>
              </w:rPr>
            </w:pPr>
          </w:p>
        </w:tc>
        <w:tc>
          <w:tcPr>
            <w:tcW w:w="2126" w:type="dxa"/>
            <w:vAlign w:val="center"/>
          </w:tcPr>
          <w:p w14:paraId="50F9B94E" w14:textId="77777777" w:rsidR="00CA09B2" w:rsidRDefault="00CA09B2">
            <w:pPr>
              <w:pStyle w:val="T2"/>
              <w:spacing w:after="0"/>
              <w:ind w:left="0" w:right="0"/>
              <w:rPr>
                <w:b w:val="0"/>
                <w:sz w:val="20"/>
              </w:rPr>
            </w:pPr>
          </w:p>
        </w:tc>
        <w:tc>
          <w:tcPr>
            <w:tcW w:w="2108" w:type="dxa"/>
            <w:vAlign w:val="center"/>
          </w:tcPr>
          <w:p w14:paraId="1746D2BC" w14:textId="77777777" w:rsidR="00CA09B2" w:rsidRDefault="00CA09B2">
            <w:pPr>
              <w:pStyle w:val="T2"/>
              <w:spacing w:after="0"/>
              <w:ind w:left="0" w:right="0"/>
              <w:rPr>
                <w:b w:val="0"/>
                <w:sz w:val="20"/>
              </w:rPr>
            </w:pPr>
          </w:p>
        </w:tc>
        <w:tc>
          <w:tcPr>
            <w:tcW w:w="1152" w:type="dxa"/>
            <w:vAlign w:val="center"/>
          </w:tcPr>
          <w:p w14:paraId="130F3145" w14:textId="77777777" w:rsidR="00CA09B2" w:rsidRDefault="00CA09B2">
            <w:pPr>
              <w:pStyle w:val="T2"/>
              <w:spacing w:after="0"/>
              <w:ind w:left="0" w:right="0"/>
              <w:rPr>
                <w:b w:val="0"/>
                <w:sz w:val="20"/>
              </w:rPr>
            </w:pPr>
          </w:p>
        </w:tc>
        <w:tc>
          <w:tcPr>
            <w:tcW w:w="2210" w:type="dxa"/>
            <w:vAlign w:val="center"/>
          </w:tcPr>
          <w:p w14:paraId="48E1D5AB" w14:textId="77777777" w:rsidR="00CA09B2" w:rsidRDefault="00CA09B2">
            <w:pPr>
              <w:pStyle w:val="T2"/>
              <w:spacing w:after="0"/>
              <w:ind w:left="0" w:right="0"/>
              <w:rPr>
                <w:b w:val="0"/>
                <w:sz w:val="16"/>
              </w:rPr>
            </w:pPr>
          </w:p>
        </w:tc>
      </w:tr>
    </w:tbl>
    <w:p w14:paraId="0E1D10BF" w14:textId="77777777" w:rsidR="00CA09B2" w:rsidRDefault="00716B0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074A59A" wp14:editId="3EB72531">
                <wp:simplePos x="0" y="0"/>
                <wp:positionH relativeFrom="column">
                  <wp:posOffset>-76325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8A81B" w14:textId="77777777" w:rsidR="0029020B" w:rsidRDefault="0029020B">
                            <w:pPr>
                              <w:pStyle w:val="T1"/>
                              <w:spacing w:after="120"/>
                            </w:pPr>
                            <w:r>
                              <w:t>Abstract</w:t>
                            </w:r>
                          </w:p>
                          <w:p w14:paraId="0085D659" w14:textId="0FD77CD0" w:rsidR="0029020B" w:rsidRDefault="00430A94">
                            <w:pPr>
                              <w:jc w:val="both"/>
                            </w:pPr>
                            <w:r>
                              <w:t xml:space="preserve">This document discusses LB 244 (P802.11ax/D5.0) comment CID 22018 and proposes a resolution to it. The proposed changes introduce a new Clause 12 subclause to specify constraints on which security parameters cannot be used in various cases. This subclause is easily extensible to cover other cases, but the changes in this document address the specific item discussed in CID 22018 to cover operation </w:t>
                            </w:r>
                            <w:r w:rsidR="00EB511E">
                              <w:t>i</w:t>
                            </w:r>
                            <w:r>
                              <w:t>n the new 6 GHz band.</w:t>
                            </w:r>
                          </w:p>
                          <w:p w14:paraId="58DBDF93" w14:textId="061CE418" w:rsidR="009F4D60" w:rsidRDefault="009F4D60">
                            <w:pPr>
                              <w:jc w:val="both"/>
                            </w:pPr>
                          </w:p>
                          <w:p w14:paraId="1D673075" w14:textId="3B9EAEA5" w:rsidR="009F4D60" w:rsidRDefault="009F4D60">
                            <w:pPr>
                              <w:jc w:val="both"/>
                            </w:pPr>
                            <w:r>
                              <w:t>r1:</w:t>
                            </w:r>
                          </w:p>
                          <w:p w14:paraId="519ED3D2" w14:textId="30DEC4B6" w:rsidR="009F4D60" w:rsidRDefault="009F4D60" w:rsidP="009F4D60">
                            <w:pPr>
                              <w:pStyle w:val="ListParagraph"/>
                              <w:numPr>
                                <w:ilvl w:val="0"/>
                                <w:numId w:val="2"/>
                              </w:numPr>
                              <w:jc w:val="both"/>
                            </w:pPr>
                            <w:r>
                              <w:t xml:space="preserve">add forgotten PSK AKMs 00-0F-AC:19 and 00-0F-AC:20 to the </w:t>
                            </w:r>
                            <w:proofErr w:type="spellStart"/>
                            <w:r>
                              <w:t>shall</w:t>
                            </w:r>
                            <w:proofErr w:type="spellEnd"/>
                            <w:r>
                              <w:t>-not-use list</w:t>
                            </w:r>
                          </w:p>
                          <w:p w14:paraId="29BD9F25" w14:textId="2F1089DC" w:rsidR="009F4D60" w:rsidRDefault="009F4D60" w:rsidP="009F4D60">
                            <w:pPr>
                              <w:pStyle w:val="ListParagraph"/>
                              <w:numPr>
                                <w:ilvl w:val="0"/>
                                <w:numId w:val="2"/>
                              </w:numPr>
                              <w:jc w:val="both"/>
                            </w:pPr>
                            <w:r>
                              <w:t>clarify language for the use-something-as-a-replacement descriptions to make them easier to understand</w:t>
                            </w:r>
                          </w:p>
                          <w:p w14:paraId="1889EFD3" w14:textId="27F1F478" w:rsidR="009F4D60" w:rsidRDefault="009F4D60" w:rsidP="009F4D60">
                            <w:pPr>
                              <w:pStyle w:val="ListParagraph"/>
                              <w:numPr>
                                <w:ilvl w:val="0"/>
                                <w:numId w:val="2"/>
                              </w:numPr>
                              <w:jc w:val="both"/>
                            </w:pPr>
                            <w:r>
                              <w:t>add discussion on should vs. shall on the recommended replacement AKMs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4A59A" id="_x0000_t202" coordsize="21600,21600" o:spt="202" path="m,l,21600r21600,l21600,xe">
                <v:stroke joinstyle="miter"/>
                <v:path gradientshapeok="t" o:connecttype="rect"/>
              </v:shapetype>
              <v:shape id="Text Box 3" o:spid="_x0000_s1026" type="#_x0000_t202" style="position:absolute;left:0;text-align:left;margin-left:-6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" o:allowincell="f" stroked="f">
                <v:path arrowok="t"/>
                <v:textbox>
                  <w:txbxContent>
                    <w:p w14:paraId="28E8A81B" w14:textId="77777777" w:rsidR="0029020B" w:rsidRDefault="0029020B">
                      <w:pPr>
                        <w:pStyle w:val="T1"/>
                        <w:spacing w:after="120"/>
                      </w:pPr>
                      <w:r>
                        <w:t>Abstract</w:t>
                      </w:r>
                    </w:p>
                    <w:p w14:paraId="0085D659" w14:textId="0FD77CD0" w:rsidR="0029020B" w:rsidRDefault="00430A94">
                      <w:pPr>
                        <w:jc w:val="both"/>
                      </w:pPr>
                      <w:r>
                        <w:t xml:space="preserve">This document discusses LB 244 (P802.11ax/D5.0) comment CID 22018 and proposes a resolution to it. The proposed changes introduce a new Clause 12 subclause to specify constraints on which security parameters cannot be used in various cases. This subclause is easily extensible to cover other cases, but the changes in this document address the specific item discussed in CID 22018 to cover operation </w:t>
                      </w:r>
                      <w:r w:rsidR="00EB511E">
                        <w:t>i</w:t>
                      </w:r>
                      <w:r>
                        <w:t>n the new 6 GHz band.</w:t>
                      </w:r>
                    </w:p>
                    <w:p w14:paraId="58DBDF93" w14:textId="061CE418" w:rsidR="009F4D60" w:rsidRDefault="009F4D60">
                      <w:pPr>
                        <w:jc w:val="both"/>
                      </w:pPr>
                    </w:p>
                    <w:p w14:paraId="1D673075" w14:textId="3B9EAEA5" w:rsidR="009F4D60" w:rsidRDefault="009F4D60">
                      <w:pPr>
                        <w:jc w:val="both"/>
                      </w:pPr>
                      <w:r>
                        <w:t>r1:</w:t>
                      </w:r>
                    </w:p>
                    <w:p w14:paraId="519ED3D2" w14:textId="30DEC4B6" w:rsidR="009F4D60" w:rsidRDefault="009F4D60" w:rsidP="009F4D60">
                      <w:pPr>
                        <w:pStyle w:val="ListParagraph"/>
                        <w:numPr>
                          <w:ilvl w:val="0"/>
                          <w:numId w:val="2"/>
                        </w:numPr>
                        <w:jc w:val="both"/>
                      </w:pPr>
                      <w:r>
                        <w:t xml:space="preserve">add forgotten PSK AKMs 00-0F-AC:19 and 00-0F-AC:20 to the </w:t>
                      </w:r>
                      <w:proofErr w:type="spellStart"/>
                      <w:r>
                        <w:t>shall</w:t>
                      </w:r>
                      <w:proofErr w:type="spellEnd"/>
                      <w:r>
                        <w:t>-not-use list</w:t>
                      </w:r>
                    </w:p>
                    <w:p w14:paraId="29BD9F25" w14:textId="2F1089DC" w:rsidR="009F4D60" w:rsidRDefault="009F4D60" w:rsidP="009F4D60">
                      <w:pPr>
                        <w:pStyle w:val="ListParagraph"/>
                        <w:numPr>
                          <w:ilvl w:val="0"/>
                          <w:numId w:val="2"/>
                        </w:numPr>
                        <w:jc w:val="both"/>
                      </w:pPr>
                      <w:r>
                        <w:t>clarify language for the use-something-as-a-replacement descriptions to make them easier to understand</w:t>
                      </w:r>
                    </w:p>
                    <w:p w14:paraId="1889EFD3" w14:textId="27F1F478" w:rsidR="009F4D60" w:rsidRDefault="009F4D60" w:rsidP="009F4D60">
                      <w:pPr>
                        <w:pStyle w:val="ListParagraph"/>
                        <w:numPr>
                          <w:ilvl w:val="0"/>
                          <w:numId w:val="2"/>
                        </w:numPr>
                        <w:jc w:val="both"/>
                      </w:pPr>
                      <w:r>
                        <w:t>add discussion on should vs. shall on the recommended replacement AKMs</w:t>
                      </w:r>
                    </w:p>
                  </w:txbxContent>
                </v:textbox>
              </v:shape>
            </w:pict>
          </mc:Fallback>
        </mc:AlternateContent>
      </w:r>
    </w:p>
    <w:p w14:paraId="033240F6" w14:textId="139D1857" w:rsidR="00CA09B2" w:rsidRDefault="00CA09B2" w:rsidP="00A874D8">
      <w:r>
        <w:br w:type="page"/>
      </w:r>
    </w:p>
    <w:p w14:paraId="114BF80A" w14:textId="77777777" w:rsidR="00CA09B2" w:rsidRDefault="00CA09B2"/>
    <w:p w14:paraId="74ACBCF7" w14:textId="690297F8" w:rsidR="00C11E78" w:rsidRPr="00C01C4D" w:rsidRDefault="00C11E78">
      <w:pPr>
        <w:rPr>
          <w:b/>
          <w:bCs/>
          <w:sz w:val="28"/>
          <w:szCs w:val="28"/>
        </w:rPr>
      </w:pPr>
      <w:r w:rsidRPr="00C01C4D">
        <w:rPr>
          <w:b/>
          <w:bCs/>
          <w:sz w:val="28"/>
          <w:szCs w:val="28"/>
        </w:rPr>
        <w:t>CID 22018</w:t>
      </w:r>
    </w:p>
    <w:p w14:paraId="4D310D0E" w14:textId="77777777" w:rsidR="00C11E78" w:rsidRDefault="00C11E78"/>
    <w:p w14:paraId="3232ECBC" w14:textId="3D1C7815" w:rsidR="00C11E78" w:rsidRDefault="00C11E78">
      <w:r>
        <w:t>LB 244 (P802.11ax/D5.0) CID 22018</w:t>
      </w:r>
    </w:p>
    <w:p w14:paraId="0837844A" w14:textId="6286FE84" w:rsidR="0055685A" w:rsidRDefault="0055685A">
      <w:r>
        <w:t>Clause: 12 (no page/line identified)</w:t>
      </w:r>
    </w:p>
    <w:p w14:paraId="088521A1" w14:textId="77777777" w:rsidR="00C11E78" w:rsidRDefault="00C11E78">
      <w:r>
        <w:t>Comment:</w:t>
      </w:r>
    </w:p>
    <w:p w14:paraId="268892CE" w14:textId="0850381B" w:rsidR="00CA09B2" w:rsidRDefault="00C11E78">
      <w:r w:rsidRPr="00C11E78">
        <w:t>Disallow legacy security suites and smaller key sizes in 6 GHz including Pre-RSNA and TKIP</w:t>
      </w:r>
    </w:p>
    <w:p w14:paraId="5F45F415" w14:textId="77777777" w:rsidR="00C11E78" w:rsidRDefault="00C11E78">
      <w:r>
        <w:t>Proposed Change:</w:t>
      </w:r>
    </w:p>
    <w:p w14:paraId="20935FD1" w14:textId="19B1A917" w:rsidR="00C11E78" w:rsidRDefault="00C11E78">
      <w:r w:rsidRPr="00C11E78">
        <w:t>Disallow legacy security suites and smaller key sizes in 6 GHz including Pre-RSNA and TKIP</w:t>
      </w:r>
    </w:p>
    <w:p w14:paraId="4FB09A91" w14:textId="452683E4" w:rsidR="00C11E78" w:rsidRDefault="00C11E78"/>
    <w:p w14:paraId="148366F4" w14:textId="3CA9BE3A" w:rsidR="00C11E78" w:rsidRDefault="00C11E78">
      <w:r>
        <w:t>Discussion:</w:t>
      </w:r>
    </w:p>
    <w:p w14:paraId="56F38D89" w14:textId="5889B223" w:rsidR="0055685A" w:rsidRDefault="0055685A"/>
    <w:p w14:paraId="3583BBBD" w14:textId="6421C28C" w:rsidR="0055685A" w:rsidRDefault="0055685A">
      <w:r>
        <w:t>The comment is requesting legacy security options to be disallowed in the new 6 GHz band. While many of the legacy security options are already explicitly or implicitly disallowed for HE in general, such constraints on what can be enabled and negotiated are listed in various different locations in the standard and it may be helpful to provide a clear location for listing specific constraints on what shall not be used. Furthermore, 6 GHz makes it easier to push for stronger security since there is no legacy STAs to consider on the new band and as such, there is no need to allow legacy security options to be used for backwards compatibility.</w:t>
      </w:r>
    </w:p>
    <w:p w14:paraId="7E316D31" w14:textId="4936E610" w:rsidR="0055685A" w:rsidRDefault="0055685A"/>
    <w:p w14:paraId="5D25D06A" w14:textId="77777777" w:rsidR="00E565CE" w:rsidRDefault="0055685A">
      <w:r>
        <w:t>The cleanest approach for addressing this comment seems to be introduction of a new subclause under Clause 12 (Security). P802.11ax can start this by defining the constraints for the new 6 GHz band. Future amendments may consider extending this to other bands and cases that place additional constraints on which security parameters are appropriate. This allows the standard to maintain description of legacy security functionality for backwards compatibility while still allowing clear push for more secure options by disabling legacy parameters where appropriate.</w:t>
      </w:r>
    </w:p>
    <w:p w14:paraId="75C1235B" w14:textId="77777777" w:rsidR="00E565CE" w:rsidRDefault="00E565CE"/>
    <w:p w14:paraId="5A24D7FE" w14:textId="04991BB1" w:rsidR="0055685A" w:rsidRDefault="00E565CE">
      <w:r>
        <w:t xml:space="preserve">These subclauses can also recommend or require replacement mechanism to use instead of a legacy option. For the 6 GHz band, this case covers replacement of Open System authentication (without encryption) with Opportunistic Wireless Encryption and replacement of PSK with SAE. </w:t>
      </w:r>
      <w:r w:rsidR="006C2D07">
        <w:t>These replacements are described with “should” instead of “shall” since the IEEE 802.11 standard allows vendor specific AKMs to be used and it might be considered to be outside the scope of the standard to enforce a single option for these cases. However, if there is preference for using “shall” instead, that could be acceptable with the justification being that the standard itself does not provide acceptable other options.</w:t>
      </w:r>
    </w:p>
    <w:p w14:paraId="63EF273C" w14:textId="77777777" w:rsidR="0055685A" w:rsidRDefault="0055685A"/>
    <w:p w14:paraId="56F1C4DF" w14:textId="141A7243" w:rsidR="00C11E78" w:rsidRDefault="00C11E78"/>
    <w:p w14:paraId="559E203F" w14:textId="6ABD74D2" w:rsidR="00C11E78" w:rsidRPr="0055685A" w:rsidRDefault="00C11E78">
      <w:pPr>
        <w:rPr>
          <w:b/>
          <w:bCs/>
        </w:rPr>
      </w:pPr>
      <w:r w:rsidRPr="0055685A">
        <w:rPr>
          <w:b/>
          <w:bCs/>
        </w:rPr>
        <w:t>Proposed Resolution for CID 22018:</w:t>
      </w:r>
    </w:p>
    <w:p w14:paraId="5235B8DE" w14:textId="77777777" w:rsidR="00C11E78" w:rsidRDefault="00C11E78">
      <w:r>
        <w:t>REVISED – Agree with the commenter in principle. Introduce a new subclause to define which legacy security options are not allowed in 6 GHz.</w:t>
      </w:r>
    </w:p>
    <w:p w14:paraId="01377BE7" w14:textId="3DFD0B0D" w:rsidR="00C11E78" w:rsidRDefault="00C11E78">
      <w:proofErr w:type="spellStart"/>
      <w:r>
        <w:t>TGax</w:t>
      </w:r>
      <w:proofErr w:type="spellEnd"/>
      <w:r>
        <w:t xml:space="preserve"> editor, please make changes as shown in &lt;</w:t>
      </w:r>
      <w:r w:rsidRPr="00C11E78">
        <w:rPr>
          <w:i/>
          <w:iCs/>
        </w:rPr>
        <w:t>this document</w:t>
      </w:r>
      <w:r>
        <w:t>&gt; in the “Proposed changes to the amendment” section.</w:t>
      </w:r>
    </w:p>
    <w:p w14:paraId="2516A141" w14:textId="182E1458" w:rsidR="00C11E78" w:rsidRDefault="00C11E78"/>
    <w:p w14:paraId="3ACF457E" w14:textId="77777777" w:rsidR="0055685A" w:rsidRDefault="0055685A"/>
    <w:p w14:paraId="3A06355F" w14:textId="454B1E48" w:rsidR="00C11E78" w:rsidRPr="00C01C4D" w:rsidRDefault="00C11E78">
      <w:pPr>
        <w:rPr>
          <w:b/>
          <w:bCs/>
          <w:sz w:val="28"/>
          <w:szCs w:val="28"/>
        </w:rPr>
      </w:pPr>
      <w:r w:rsidRPr="00C01C4D">
        <w:rPr>
          <w:b/>
          <w:bCs/>
          <w:sz w:val="28"/>
          <w:szCs w:val="28"/>
        </w:rPr>
        <w:t>Proposed changes to the amendment</w:t>
      </w:r>
    </w:p>
    <w:p w14:paraId="6DD5953B" w14:textId="5FAA0D4E" w:rsidR="00C11E78" w:rsidRDefault="00C11E78"/>
    <w:p w14:paraId="19CD5E27" w14:textId="0D04D99B" w:rsidR="00C01C4D" w:rsidRPr="00C01C4D" w:rsidRDefault="00C01C4D">
      <w:pPr>
        <w:rPr>
          <w:b/>
          <w:bCs/>
        </w:rPr>
      </w:pPr>
      <w:r w:rsidRPr="00C01C4D">
        <w:rPr>
          <w:b/>
          <w:bCs/>
        </w:rPr>
        <w:t>2. Normative references</w:t>
      </w:r>
    </w:p>
    <w:p w14:paraId="0E1CC051" w14:textId="000A8EF7" w:rsidR="00C01C4D" w:rsidRDefault="00C01C4D"/>
    <w:p w14:paraId="301B3B4D" w14:textId="7A01687E" w:rsidR="00C01C4D" w:rsidRPr="00C01C4D" w:rsidRDefault="00C01C4D">
      <w:pPr>
        <w:rPr>
          <w:i/>
          <w:iCs/>
        </w:rPr>
      </w:pPr>
      <w:r w:rsidRPr="00C01C4D">
        <w:rPr>
          <w:i/>
          <w:iCs/>
          <w:color w:val="FF0000"/>
        </w:rPr>
        <w:t>Add the following reference into Clause 2:</w:t>
      </w:r>
    </w:p>
    <w:p w14:paraId="28570FC6" w14:textId="77777777" w:rsidR="00C01C4D" w:rsidRDefault="00C01C4D"/>
    <w:p w14:paraId="46E234B0" w14:textId="560BF09A" w:rsidR="00C11E78" w:rsidRDefault="00C01C4D">
      <w:r>
        <w:t xml:space="preserve">IETF RFC 8110, </w:t>
      </w:r>
      <w:r w:rsidRPr="00C01C4D">
        <w:t>Opportunistic Wireless Encryption</w:t>
      </w:r>
      <w:r>
        <w:t xml:space="preserve">, </w:t>
      </w:r>
      <w:r w:rsidRPr="00C01C4D">
        <w:t>D. Harkins</w:t>
      </w:r>
      <w:r>
        <w:t xml:space="preserve">, </w:t>
      </w:r>
      <w:r w:rsidRPr="00C01C4D">
        <w:t>W. Kumari</w:t>
      </w:r>
      <w:r>
        <w:t>, March 2017.</w:t>
      </w:r>
    </w:p>
    <w:p w14:paraId="01FFECAF" w14:textId="231A285A" w:rsidR="00C11E78" w:rsidRDefault="00C11E78"/>
    <w:p w14:paraId="3D8AC775" w14:textId="34D73992" w:rsidR="00C01C4D" w:rsidRDefault="00C01C4D"/>
    <w:p w14:paraId="2A142D13" w14:textId="46A3D971" w:rsidR="00264935" w:rsidRPr="00C01C4D" w:rsidRDefault="00264935" w:rsidP="00264935">
      <w:pPr>
        <w:rPr>
          <w:b/>
          <w:bCs/>
        </w:rPr>
      </w:pPr>
      <w:r>
        <w:rPr>
          <w:b/>
          <w:bCs/>
        </w:rPr>
        <w:lastRenderedPageBreak/>
        <w:t>1</w:t>
      </w:r>
      <w:r w:rsidRPr="00C01C4D">
        <w:rPr>
          <w:b/>
          <w:bCs/>
        </w:rPr>
        <w:t xml:space="preserve">2. </w:t>
      </w:r>
      <w:r>
        <w:rPr>
          <w:b/>
          <w:bCs/>
        </w:rPr>
        <w:t>Security</w:t>
      </w:r>
    </w:p>
    <w:p w14:paraId="6311F3B0" w14:textId="77777777" w:rsidR="00264935" w:rsidRDefault="00264935" w:rsidP="00264935"/>
    <w:p w14:paraId="42BE9336" w14:textId="021AD84A" w:rsidR="00264935" w:rsidRPr="00C01C4D" w:rsidRDefault="00264935" w:rsidP="00264935">
      <w:pPr>
        <w:rPr>
          <w:i/>
          <w:iCs/>
        </w:rPr>
      </w:pPr>
      <w:r w:rsidRPr="00C01C4D">
        <w:rPr>
          <w:i/>
          <w:iCs/>
          <w:color w:val="FF0000"/>
        </w:rPr>
        <w:t xml:space="preserve">Add the following </w:t>
      </w:r>
      <w:r>
        <w:rPr>
          <w:i/>
          <w:iCs/>
          <w:color w:val="FF0000"/>
        </w:rPr>
        <w:t>subclauses</w:t>
      </w:r>
      <w:r w:rsidRPr="00C01C4D">
        <w:rPr>
          <w:i/>
          <w:iCs/>
          <w:color w:val="FF0000"/>
        </w:rPr>
        <w:t xml:space="preserve"> </w:t>
      </w:r>
      <w:r>
        <w:rPr>
          <w:i/>
          <w:iCs/>
          <w:color w:val="FF0000"/>
        </w:rPr>
        <w:t>at the end of</w:t>
      </w:r>
      <w:r w:rsidRPr="00C01C4D">
        <w:rPr>
          <w:i/>
          <w:iCs/>
          <w:color w:val="FF0000"/>
        </w:rPr>
        <w:t xml:space="preserve"> Clause </w:t>
      </w:r>
      <w:r>
        <w:rPr>
          <w:i/>
          <w:iCs/>
          <w:color w:val="FF0000"/>
        </w:rPr>
        <w:t>1</w:t>
      </w:r>
      <w:r w:rsidRPr="00C01C4D">
        <w:rPr>
          <w:i/>
          <w:iCs/>
          <w:color w:val="FF0000"/>
        </w:rPr>
        <w:t>2:</w:t>
      </w:r>
    </w:p>
    <w:p w14:paraId="24224427" w14:textId="77777777" w:rsidR="00264935" w:rsidRDefault="00264935" w:rsidP="00264935"/>
    <w:p w14:paraId="155FE074" w14:textId="6E416796" w:rsidR="00264935" w:rsidRPr="00C01C4D" w:rsidRDefault="00264935" w:rsidP="00264935">
      <w:pPr>
        <w:rPr>
          <w:b/>
          <w:bCs/>
        </w:rPr>
      </w:pPr>
      <w:r>
        <w:rPr>
          <w:b/>
          <w:bCs/>
        </w:rPr>
        <w:t>1</w:t>
      </w:r>
      <w:r w:rsidRPr="00C01C4D">
        <w:rPr>
          <w:b/>
          <w:bCs/>
        </w:rPr>
        <w:t>2.</w:t>
      </w:r>
      <w:r>
        <w:rPr>
          <w:b/>
          <w:bCs/>
        </w:rPr>
        <w:t>13</w:t>
      </w:r>
      <w:r w:rsidRPr="00C01C4D">
        <w:rPr>
          <w:b/>
          <w:bCs/>
        </w:rPr>
        <w:t xml:space="preserve"> </w:t>
      </w:r>
      <w:r>
        <w:rPr>
          <w:b/>
          <w:bCs/>
        </w:rPr>
        <w:t>Constraints on allowed security parameters</w:t>
      </w:r>
    </w:p>
    <w:p w14:paraId="6D3E3E69" w14:textId="77777777" w:rsidR="00264935" w:rsidRDefault="00264935" w:rsidP="00264935"/>
    <w:p w14:paraId="5B10FCEB" w14:textId="20B469D2" w:rsidR="00264935" w:rsidRDefault="00264935" w:rsidP="00264935">
      <w:r>
        <w:t xml:space="preserve">This standard defines various security </w:t>
      </w:r>
      <w:r w:rsidR="00981B2C">
        <w:t>mechanisms</w:t>
      </w:r>
      <w:r>
        <w:t xml:space="preserve"> of which some are </w:t>
      </w:r>
      <w:r w:rsidR="00981B2C">
        <w:t xml:space="preserve">deprecated or </w:t>
      </w:r>
      <w:r>
        <w:t xml:space="preserve">obsolete and are not considered to meet current requirements for security. Such </w:t>
      </w:r>
      <w:r w:rsidR="00981B2C">
        <w:t>mechanisms</w:t>
      </w:r>
      <w:r>
        <w:t xml:space="preserve"> </w:t>
      </w:r>
      <w:r w:rsidR="00981B2C">
        <w:t>enable</w:t>
      </w:r>
      <w:r>
        <w:t xml:space="preserve"> interoperability with legacy </w:t>
      </w:r>
      <w:proofErr w:type="gramStart"/>
      <w:r>
        <w:t>devices, but</w:t>
      </w:r>
      <w:proofErr w:type="gramEnd"/>
      <w:r>
        <w:t xml:space="preserve"> are not suitable for new uses where legacy support is not needed. This subclause describes constraints on security parameter selection for some use cases.</w:t>
      </w:r>
    </w:p>
    <w:p w14:paraId="3FC8786C" w14:textId="2BAA93D6" w:rsidR="00264935" w:rsidRDefault="00264935"/>
    <w:p w14:paraId="49F64F36" w14:textId="29D93C31" w:rsidR="00264935" w:rsidRPr="00264935" w:rsidRDefault="00264935">
      <w:pPr>
        <w:rPr>
          <w:b/>
          <w:bCs/>
        </w:rPr>
      </w:pPr>
      <w:r w:rsidRPr="00264935">
        <w:rPr>
          <w:b/>
          <w:bCs/>
        </w:rPr>
        <w:t xml:space="preserve">12.13.1 Security constraints </w:t>
      </w:r>
      <w:r w:rsidR="007D196A">
        <w:rPr>
          <w:b/>
          <w:bCs/>
        </w:rPr>
        <w:t>i</w:t>
      </w:r>
      <w:r w:rsidRPr="00264935">
        <w:rPr>
          <w:b/>
          <w:bCs/>
        </w:rPr>
        <w:t>n the 6 GHz band</w:t>
      </w:r>
    </w:p>
    <w:p w14:paraId="5E07A911" w14:textId="6E0BC09D" w:rsidR="00264935" w:rsidRDefault="00264935"/>
    <w:p w14:paraId="53E94A62" w14:textId="669D51A3" w:rsidR="00264935" w:rsidRDefault="00264935">
      <w:r>
        <w:t xml:space="preserve">A STA operating </w:t>
      </w:r>
      <w:r w:rsidR="007D196A">
        <w:t>i</w:t>
      </w:r>
      <w:r>
        <w:t>n the 6 GHz band,</w:t>
      </w:r>
    </w:p>
    <w:p w14:paraId="0E52D038" w14:textId="3B645214" w:rsidR="00264935" w:rsidRDefault="00CB4966" w:rsidP="00CB4966">
      <w:pPr>
        <w:pStyle w:val="ListParagraph"/>
        <w:numPr>
          <w:ilvl w:val="0"/>
          <w:numId w:val="1"/>
        </w:numPr>
      </w:pPr>
      <w:r>
        <w:t>shall not use</w:t>
      </w:r>
      <w:r w:rsidR="00BC5273">
        <w:t xml:space="preserve"> </w:t>
      </w:r>
      <w:r w:rsidR="00592D1D">
        <w:t xml:space="preserve">the </w:t>
      </w:r>
      <w:r w:rsidR="00BC5273">
        <w:t>following</w:t>
      </w:r>
      <w:r>
        <w:t xml:space="preserve"> pre-RSNA security methods: WEP, Open System authentication without encryption, Shared Key authentication</w:t>
      </w:r>
    </w:p>
    <w:p w14:paraId="6F42A08A" w14:textId="77777777" w:rsidR="00FD7856" w:rsidRDefault="00FD7856" w:rsidP="00FD7856">
      <w:pPr>
        <w:pStyle w:val="ListParagraph"/>
        <w:numPr>
          <w:ilvl w:val="0"/>
          <w:numId w:val="1"/>
        </w:numPr>
      </w:pPr>
      <w:r>
        <w:t>shall not use cipher suite selector 00-0F-AC:0 (Use group cipher suite)</w:t>
      </w:r>
    </w:p>
    <w:p w14:paraId="443544A6" w14:textId="5C25CBF5" w:rsidR="00FD7856" w:rsidRDefault="00FD7856" w:rsidP="00FD7856">
      <w:pPr>
        <w:pStyle w:val="ListParagraph"/>
        <w:numPr>
          <w:ilvl w:val="0"/>
          <w:numId w:val="1"/>
        </w:numPr>
      </w:pPr>
      <w:r>
        <w:t>shall not use cipher suite selector 00-0F-AC:1 (WEP-40)</w:t>
      </w:r>
    </w:p>
    <w:p w14:paraId="4A975B09" w14:textId="77777777" w:rsidR="00FD7856" w:rsidRDefault="00FD7856" w:rsidP="00FD7856">
      <w:pPr>
        <w:pStyle w:val="ListParagraph"/>
        <w:numPr>
          <w:ilvl w:val="0"/>
          <w:numId w:val="1"/>
        </w:numPr>
      </w:pPr>
      <w:r>
        <w:t>shall not use cipher suite selector 00-0F-AC:2 (TKIP)</w:t>
      </w:r>
    </w:p>
    <w:p w14:paraId="7EFA767F" w14:textId="6B601150" w:rsidR="00CB4966" w:rsidRDefault="00CB4966" w:rsidP="00CB4966">
      <w:pPr>
        <w:pStyle w:val="ListParagraph"/>
        <w:numPr>
          <w:ilvl w:val="0"/>
          <w:numId w:val="1"/>
        </w:numPr>
      </w:pPr>
      <w:r>
        <w:t xml:space="preserve">shall not use </w:t>
      </w:r>
      <w:r w:rsidR="00FD7856">
        <w:t>cipher suite selector 00-0F-AC:5 (WEP-104)</w:t>
      </w:r>
    </w:p>
    <w:p w14:paraId="503B1474" w14:textId="3F6549C7" w:rsidR="00264935" w:rsidRDefault="00264935" w:rsidP="00CB4966">
      <w:pPr>
        <w:pStyle w:val="ListParagraph"/>
        <w:numPr>
          <w:ilvl w:val="0"/>
          <w:numId w:val="1"/>
        </w:numPr>
      </w:pPr>
      <w:r>
        <w:t>should use Opportunistic Wireless Encryption, as specifi</w:t>
      </w:r>
      <w:r w:rsidR="00FD7856">
        <w:t>e</w:t>
      </w:r>
      <w:r>
        <w:t xml:space="preserve">d in IETF RFC 8110, </w:t>
      </w:r>
      <w:r w:rsidR="00EB511E">
        <w:t xml:space="preserve">when connecting </w:t>
      </w:r>
      <w:r>
        <w:t>in an infrastructure BSS without authentication</w:t>
      </w:r>
      <w:r w:rsidR="00FD7856">
        <w:t xml:space="preserve"> </w:t>
      </w:r>
      <w:r w:rsidR="00EB511E">
        <w:t>(</w:t>
      </w:r>
      <w:r w:rsidR="00FD7856">
        <w:t>as a replacement for Open System authentication without encryption</w:t>
      </w:r>
      <w:r w:rsidR="00EB511E">
        <w:t>)</w:t>
      </w:r>
    </w:p>
    <w:p w14:paraId="5F9EE553" w14:textId="7D1FCDE4" w:rsidR="00FD7856" w:rsidRDefault="00FD7856" w:rsidP="00CB4966">
      <w:pPr>
        <w:pStyle w:val="ListParagraph"/>
        <w:numPr>
          <w:ilvl w:val="0"/>
          <w:numId w:val="1"/>
        </w:numPr>
      </w:pPr>
      <w:r>
        <w:t>shall not use AKM suite selector 00-0F-AC:2 (PSK)</w:t>
      </w:r>
    </w:p>
    <w:p w14:paraId="4248FE94" w14:textId="27EECFCD" w:rsidR="00FD7856" w:rsidRDefault="00FD7856" w:rsidP="00FD7856">
      <w:pPr>
        <w:pStyle w:val="ListParagraph"/>
        <w:numPr>
          <w:ilvl w:val="0"/>
          <w:numId w:val="1"/>
        </w:numPr>
      </w:pPr>
      <w:r>
        <w:t>shall not use AKM suite selector 00-0F-AC:4 (FT authentication using PSK)</w:t>
      </w:r>
    </w:p>
    <w:p w14:paraId="055B3EEC" w14:textId="6F40DAFA" w:rsidR="00FD7856" w:rsidRDefault="00FD7856" w:rsidP="00FD7856">
      <w:pPr>
        <w:pStyle w:val="ListParagraph"/>
        <w:numPr>
          <w:ilvl w:val="0"/>
          <w:numId w:val="1"/>
        </w:numPr>
      </w:pPr>
      <w:r>
        <w:t>shall not use AKM suite selector 00-0F-AC:6 (PSK with SHA-256)</w:t>
      </w:r>
    </w:p>
    <w:p w14:paraId="2A5060C3" w14:textId="09BE266D" w:rsidR="00EB511E" w:rsidRDefault="00EB511E" w:rsidP="00EB511E">
      <w:pPr>
        <w:pStyle w:val="ListParagraph"/>
        <w:numPr>
          <w:ilvl w:val="0"/>
          <w:numId w:val="1"/>
        </w:numPr>
      </w:pPr>
      <w:r>
        <w:t>shall not use AKM suite selector 00-0F-AC:</w:t>
      </w:r>
      <w:r>
        <w:t>19</w:t>
      </w:r>
      <w:r>
        <w:t xml:space="preserve"> (FT authentication using PSK</w:t>
      </w:r>
      <w:r>
        <w:t xml:space="preserve"> with SHA-384</w:t>
      </w:r>
      <w:r>
        <w:t>)</w:t>
      </w:r>
    </w:p>
    <w:p w14:paraId="28E98771" w14:textId="46BB646E" w:rsidR="00EB511E" w:rsidRDefault="00EB511E" w:rsidP="00EB511E">
      <w:pPr>
        <w:pStyle w:val="ListParagraph"/>
        <w:numPr>
          <w:ilvl w:val="0"/>
          <w:numId w:val="1"/>
        </w:numPr>
      </w:pPr>
      <w:r>
        <w:t>shall not use AKM suite selector 00-0F-AC:</w:t>
      </w:r>
      <w:r>
        <w:t>20</w:t>
      </w:r>
      <w:r>
        <w:t xml:space="preserve"> (PSK with SHA-</w:t>
      </w:r>
      <w:r>
        <w:t>384</w:t>
      </w:r>
      <w:r>
        <w:t>)</w:t>
      </w:r>
    </w:p>
    <w:p w14:paraId="482AA647" w14:textId="1A3CCEAF" w:rsidR="00FD7856" w:rsidRDefault="00BC5273" w:rsidP="00CB4966">
      <w:pPr>
        <w:pStyle w:val="ListParagraph"/>
        <w:numPr>
          <w:ilvl w:val="0"/>
          <w:numId w:val="1"/>
        </w:numPr>
      </w:pPr>
      <w:r>
        <w:t xml:space="preserve">should use SAE (AKM suite selectors 00-0F-AC:8 </w:t>
      </w:r>
      <w:r w:rsidR="009F4D60">
        <w:t>and/</w:t>
      </w:r>
      <w:r>
        <w:t>or 00-0F-AC:</w:t>
      </w:r>
      <w:bookmarkStart w:id="0" w:name="_GoBack"/>
      <w:bookmarkEnd w:id="0"/>
      <w:r>
        <w:t xml:space="preserve">9) when authenticating using </w:t>
      </w:r>
      <w:r w:rsidR="00EB511E">
        <w:t xml:space="preserve">a </w:t>
      </w:r>
      <w:r>
        <w:t>password w</w:t>
      </w:r>
      <w:r w:rsidR="00EB511E">
        <w:t xml:space="preserve">here </w:t>
      </w:r>
      <w:r>
        <w:t>IEEE Std 802.1X</w:t>
      </w:r>
      <w:r w:rsidR="00EB511E">
        <w:t xml:space="preserve"> is not used (as a replacement for PSK)</w:t>
      </w:r>
    </w:p>
    <w:p w14:paraId="72C00C32" w14:textId="67860667" w:rsidR="00FD7856" w:rsidRDefault="00FD7856" w:rsidP="00CB4966">
      <w:pPr>
        <w:pStyle w:val="ListParagraph"/>
        <w:numPr>
          <w:ilvl w:val="0"/>
          <w:numId w:val="1"/>
        </w:numPr>
      </w:pPr>
      <w:r>
        <w:t>shall use management frame protection (MFPR=1) when using RSN</w:t>
      </w:r>
    </w:p>
    <w:p w14:paraId="57AEC779" w14:textId="77777777" w:rsidR="00264935" w:rsidRPr="00C11E78" w:rsidRDefault="00264935"/>
    <w:sectPr w:rsidR="00264935" w:rsidRPr="00C11E7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A1D6D" w14:textId="77777777" w:rsidR="00307E85" w:rsidRDefault="00307E85">
      <w:r>
        <w:separator/>
      </w:r>
    </w:p>
  </w:endnote>
  <w:endnote w:type="continuationSeparator" w:id="0">
    <w:p w14:paraId="791531FC" w14:textId="77777777" w:rsidR="00307E85" w:rsidRDefault="0030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8595" w14:textId="0563E675" w:rsidR="0029020B" w:rsidRDefault="00307E85">
    <w:pPr>
      <w:pStyle w:val="Footer"/>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F2FBC">
      <w:t>Jo</w:t>
    </w:r>
    <w:r w:rsidR="00F020EA">
      <w:t>uni</w:t>
    </w:r>
    <w:r w:rsidR="009F2FBC">
      <w:t xml:space="preserve"> </w:t>
    </w:r>
    <w:r w:rsidR="00F020EA">
      <w:t>Malinen</w:t>
    </w:r>
    <w:r w:rsidR="009F2FBC">
      <w:t xml:space="preserve">, </w:t>
    </w:r>
    <w:r w:rsidR="00F020EA">
      <w:t>Qualcomm</w:t>
    </w:r>
    <w:r>
      <w:fldChar w:fldCharType="end"/>
    </w:r>
  </w:p>
  <w:p w14:paraId="6AF25C2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7EE6C" w14:textId="77777777" w:rsidR="00307E85" w:rsidRDefault="00307E85">
      <w:r>
        <w:separator/>
      </w:r>
    </w:p>
  </w:footnote>
  <w:footnote w:type="continuationSeparator" w:id="0">
    <w:p w14:paraId="20681600" w14:textId="77777777" w:rsidR="00307E85" w:rsidRDefault="0030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1C60" w14:textId="4B4A8433" w:rsidR="0029020B" w:rsidRDefault="00307E85">
    <w:pPr>
      <w:pStyle w:val="Header"/>
      <w:tabs>
        <w:tab w:val="clear" w:pos="6480"/>
        <w:tab w:val="center" w:pos="4680"/>
        <w:tab w:val="right" w:pos="9360"/>
      </w:tabs>
    </w:pPr>
    <w:r>
      <w:fldChar w:fldCharType="begin"/>
    </w:r>
    <w:r>
      <w:instrText xml:space="preserve"> KEYWORDS  \* MERGEFORMAT </w:instrText>
    </w:r>
    <w:r>
      <w:fldChar w:fldCharType="separate"/>
    </w:r>
    <w:r w:rsidR="00F020EA">
      <w:t>November 2019</w:t>
    </w:r>
    <w:r>
      <w:fldChar w:fldCharType="end"/>
    </w:r>
    <w:r w:rsidR="0029020B">
      <w:tab/>
    </w:r>
    <w:r w:rsidR="0029020B">
      <w:tab/>
    </w:r>
    <w:r>
      <w:fldChar w:fldCharType="begin"/>
    </w:r>
    <w:r>
      <w:instrText xml:space="preserve"> TITLE  \* MERGEFORMAT </w:instrText>
    </w:r>
    <w:r>
      <w:fldChar w:fldCharType="separate"/>
    </w:r>
    <w:r w:rsidR="009F2FBC">
      <w:t>doc.: IEEE 802.11-</w:t>
    </w:r>
    <w:r w:rsidR="00F020EA">
      <w:t>19</w:t>
    </w:r>
    <w:r w:rsidR="009F2FBC">
      <w:t>/</w:t>
    </w:r>
    <w:r w:rsidR="00A874D8">
      <w:t>2021</w:t>
    </w:r>
    <w:r w:rsidR="009F2FBC">
      <w:t>r</w:t>
    </w:r>
    <w:r w:rsidR="00EB511E">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E2477"/>
    <w:multiLevelType w:val="hybridMultilevel"/>
    <w:tmpl w:val="93BC3958"/>
    <w:lvl w:ilvl="0" w:tplc="7E8AD7F6">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565D01"/>
    <w:multiLevelType w:val="hybridMultilevel"/>
    <w:tmpl w:val="B7D881A8"/>
    <w:lvl w:ilvl="0" w:tplc="B89E3E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46BA5"/>
    <w:rsid w:val="001D723B"/>
    <w:rsid w:val="00264935"/>
    <w:rsid w:val="0029020B"/>
    <w:rsid w:val="002B04EA"/>
    <w:rsid w:val="002D44BE"/>
    <w:rsid w:val="00307E85"/>
    <w:rsid w:val="00430A94"/>
    <w:rsid w:val="00442037"/>
    <w:rsid w:val="004B064B"/>
    <w:rsid w:val="0055685A"/>
    <w:rsid w:val="00592D1D"/>
    <w:rsid w:val="0062440B"/>
    <w:rsid w:val="006626D0"/>
    <w:rsid w:val="006C0727"/>
    <w:rsid w:val="006C2D07"/>
    <w:rsid w:val="006E145F"/>
    <w:rsid w:val="00716B08"/>
    <w:rsid w:val="00770572"/>
    <w:rsid w:val="007D196A"/>
    <w:rsid w:val="00981B2C"/>
    <w:rsid w:val="009F2FBC"/>
    <w:rsid w:val="009F4D60"/>
    <w:rsid w:val="00A874D8"/>
    <w:rsid w:val="00AA427C"/>
    <w:rsid w:val="00BC5273"/>
    <w:rsid w:val="00BE68C2"/>
    <w:rsid w:val="00C01C4D"/>
    <w:rsid w:val="00C11E78"/>
    <w:rsid w:val="00C22F4F"/>
    <w:rsid w:val="00CA09B2"/>
    <w:rsid w:val="00CB4966"/>
    <w:rsid w:val="00CC42B8"/>
    <w:rsid w:val="00D23252"/>
    <w:rsid w:val="00DC5A7B"/>
    <w:rsid w:val="00E565CE"/>
    <w:rsid w:val="00EB511E"/>
    <w:rsid w:val="00F020EA"/>
    <w:rsid w:val="00FD78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CB59C"/>
  <w15:chartTrackingRefBased/>
  <w15:docId w15:val="{DA969C41-5290-5B46-B3DA-E4926A1B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B4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374342">
      <w:bodyDiv w:val="1"/>
      <w:marLeft w:val="0"/>
      <w:marRight w:val="0"/>
      <w:marTop w:val="0"/>
      <w:marBottom w:val="0"/>
      <w:divBdr>
        <w:top w:val="none" w:sz="0" w:space="0" w:color="auto"/>
        <w:left w:val="none" w:sz="0" w:space="0" w:color="auto"/>
        <w:bottom w:val="none" w:sz="0" w:space="0" w:color="auto"/>
        <w:right w:val="none" w:sz="0" w:space="0" w:color="auto"/>
      </w:divBdr>
    </w:div>
    <w:div w:id="1025058612">
      <w:bodyDiv w:val="1"/>
      <w:marLeft w:val="0"/>
      <w:marRight w:val="0"/>
      <w:marTop w:val="0"/>
      <w:marBottom w:val="0"/>
      <w:divBdr>
        <w:top w:val="none" w:sz="0" w:space="0" w:color="auto"/>
        <w:left w:val="none" w:sz="0" w:space="0" w:color="auto"/>
        <w:bottom w:val="none" w:sz="0" w:space="0" w:color="auto"/>
        <w:right w:val="none" w:sz="0" w:space="0" w:color="auto"/>
      </w:divBdr>
    </w:div>
    <w:div w:id="1757362907">
      <w:bodyDiv w:val="1"/>
      <w:marLeft w:val="0"/>
      <w:marRight w:val="0"/>
      <w:marTop w:val="0"/>
      <w:marBottom w:val="0"/>
      <w:divBdr>
        <w:top w:val="none" w:sz="0" w:space="0" w:color="auto"/>
        <w:left w:val="none" w:sz="0" w:space="0" w:color="auto"/>
        <w:bottom w:val="none" w:sz="0" w:space="0" w:color="auto"/>
        <w:right w:val="none" w:sz="0" w:space="0" w:color="auto"/>
      </w:divBdr>
    </w:div>
    <w:div w:id="204632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707</Words>
  <Characters>3923</Characters>
  <Application>Microsoft Office Word</Application>
  <DocSecurity>0</DocSecurity>
  <Lines>118</Lines>
  <Paragraphs>67</Paragraphs>
  <ScaleCrop>false</ScaleCrop>
  <HeadingPairs>
    <vt:vector size="2" baseType="variant">
      <vt:variant>
        <vt:lpstr>Title</vt:lpstr>
      </vt:variant>
      <vt:variant>
        <vt:i4>1</vt:i4>
      </vt:variant>
    </vt:vector>
  </HeadingPairs>
  <TitlesOfParts>
    <vt:vector size="1" baseType="lpstr">
      <vt:lpstr>doc.: IEEE 802.11-19/2021r1</vt:lpstr>
    </vt:vector>
  </TitlesOfParts>
  <Manager/>
  <Company>Qualcomm</Company>
  <LinksUpToDate>false</LinksUpToDate>
  <CharactersWithSpaces>4563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802.11-19/2021r1</dc:title>
  <dc:subject>Submission</dc:subject>
  <dc:creator>Jouni Malinen</dc:creator>
  <cp:keywords>November 2019</cp:keywords>
  <dc:description>Jouni Malinen, Qualcomm</dc:description>
  <cp:lastModifiedBy>Jouni Malinen</cp:lastModifiedBy>
  <cp:revision>5</cp:revision>
  <cp:lastPrinted>1899-12-31T22:20:11Z</cp:lastPrinted>
  <dcterms:created xsi:type="dcterms:W3CDTF">2019-11-13T14:01:00Z</dcterms:created>
  <dcterms:modified xsi:type="dcterms:W3CDTF">2019-11-13T14:17:00Z</dcterms:modified>
  <cp:category/>
</cp:coreProperties>
</file>