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2EFCDF55" w:rsidR="00BF369F" w:rsidRPr="00A3133E" w:rsidRDefault="00E26CBE" w:rsidP="00D12E27">
            <w:pPr>
              <w:pStyle w:val="T2"/>
              <w:rPr>
                <w:b w:val="0"/>
                <w:sz w:val="32"/>
                <w:szCs w:val="32"/>
              </w:rPr>
            </w:pPr>
            <w:r w:rsidRPr="00A3133E">
              <w:rPr>
                <w:b w:val="0"/>
                <w:sz w:val="32"/>
                <w:szCs w:val="32"/>
                <w:lang w:eastAsia="ko-KR"/>
              </w:rPr>
              <w:t xml:space="preserve">11ax </w:t>
            </w:r>
            <w:r w:rsidR="00A3133E" w:rsidRPr="00A3133E">
              <w:rPr>
                <w:b w:val="0"/>
                <w:sz w:val="32"/>
                <w:szCs w:val="32"/>
                <w:lang w:eastAsia="ko-KR"/>
              </w:rPr>
              <w:t>D5</w:t>
            </w:r>
            <w:r w:rsidRPr="00A3133E">
              <w:rPr>
                <w:b w:val="0"/>
                <w:sz w:val="32"/>
                <w:szCs w:val="32"/>
                <w:lang w:eastAsia="ko-KR"/>
              </w:rPr>
              <w:t xml:space="preserve">.0 </w:t>
            </w:r>
            <w:r w:rsidR="00A3133E" w:rsidRPr="00A3133E">
              <w:rPr>
                <w:b w:val="0"/>
                <w:sz w:val="32"/>
                <w:szCs w:val="32"/>
                <w:lang w:eastAsia="ko-KR"/>
              </w:rPr>
              <w:t xml:space="preserve">comment resolution of </w:t>
            </w:r>
            <w:r w:rsidR="008150B5">
              <w:rPr>
                <w:b w:val="0"/>
                <w:color w:val="000000"/>
                <w:sz w:val="32"/>
                <w:szCs w:val="32"/>
                <w:shd w:val="clear" w:color="auto" w:fill="FFFFFF"/>
              </w:rPr>
              <w:t xml:space="preserve">various </w:t>
            </w:r>
            <w:proofErr w:type="spellStart"/>
            <w:r w:rsidR="008150B5">
              <w:rPr>
                <w:b w:val="0"/>
                <w:color w:val="000000"/>
                <w:sz w:val="32"/>
                <w:szCs w:val="32"/>
                <w:shd w:val="clear" w:color="auto" w:fill="FFFFFF"/>
              </w:rPr>
              <w:t>cubclauses</w:t>
            </w:r>
            <w:proofErr w:type="spellEnd"/>
          </w:p>
        </w:tc>
      </w:tr>
      <w:tr w:rsidR="00BF369F" w:rsidRPr="00183F4C" w14:paraId="482C4792" w14:textId="77777777" w:rsidTr="00EF6EDC">
        <w:trPr>
          <w:trHeight w:val="359"/>
          <w:jc w:val="center"/>
        </w:trPr>
        <w:tc>
          <w:tcPr>
            <w:tcW w:w="9576" w:type="dxa"/>
            <w:gridSpan w:val="5"/>
            <w:vAlign w:val="center"/>
          </w:tcPr>
          <w:p w14:paraId="5C0508B7" w14:textId="2657F6A4"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474731">
              <w:rPr>
                <w:b w:val="0"/>
                <w:sz w:val="20"/>
                <w:lang w:eastAsia="ko-KR"/>
              </w:rPr>
              <w:t>9</w:t>
            </w:r>
            <w:r w:rsidRPr="00183F4C">
              <w:rPr>
                <w:b w:val="0"/>
                <w:sz w:val="20"/>
              </w:rPr>
              <w:t>-</w:t>
            </w:r>
            <w:r w:rsidR="00A3133E">
              <w:rPr>
                <w:b w:val="0"/>
                <w:sz w:val="20"/>
                <w:lang w:eastAsia="ko-KR"/>
              </w:rPr>
              <w:t>11</w:t>
            </w:r>
            <w:r w:rsidR="0027226F">
              <w:rPr>
                <w:b w:val="0"/>
                <w:sz w:val="20"/>
                <w:lang w:eastAsia="ko-KR"/>
              </w:rPr>
              <w:t>-</w:t>
            </w:r>
            <w:r w:rsidR="00A3133E">
              <w:rPr>
                <w:b w:val="0"/>
                <w:sz w:val="20"/>
                <w:lang w:eastAsia="ko-KR"/>
              </w:rPr>
              <w:t>08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DA877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27A52">
        <w:rPr>
          <w:lang w:eastAsia="ko-KR"/>
        </w:rPr>
        <w:t>4</w:t>
      </w:r>
      <w:r w:rsidR="00E26CBE">
        <w:rPr>
          <w:lang w:eastAsia="ko-KR"/>
        </w:rPr>
        <w:t>.0</w:t>
      </w:r>
      <w:r w:rsidR="00E920E1">
        <w:rPr>
          <w:lang w:eastAsia="ko-KR"/>
        </w:rPr>
        <w:t xml:space="preserve"> with the following CIDs:</w:t>
      </w:r>
    </w:p>
    <w:p w14:paraId="26750586" w14:textId="2616F2A5" w:rsidR="00350BC9" w:rsidRPr="00350BC9" w:rsidRDefault="00350BC9" w:rsidP="008A2FAB">
      <w:pPr>
        <w:pStyle w:val="ListParagraph"/>
        <w:numPr>
          <w:ilvl w:val="0"/>
          <w:numId w:val="2"/>
        </w:numPr>
        <w:ind w:leftChars="0"/>
        <w:jc w:val="both"/>
        <w:rPr>
          <w:rFonts w:ascii="Arial" w:hAnsi="Arial" w:cs="Arial"/>
          <w:sz w:val="20"/>
          <w:lang w:val="en-US" w:eastAsia="zh-CN"/>
        </w:rPr>
      </w:pPr>
      <w:r w:rsidRPr="00350BC9">
        <w:rPr>
          <w:rFonts w:ascii="Arial" w:hAnsi="Arial" w:cs="Arial"/>
          <w:sz w:val="20"/>
        </w:rPr>
        <w:t>22062</w:t>
      </w:r>
      <w:r w:rsidRPr="00350BC9">
        <w:rPr>
          <w:rFonts w:ascii="Arial" w:hAnsi="Arial" w:cs="Arial"/>
          <w:sz w:val="20"/>
        </w:rPr>
        <w:t xml:space="preserve">, </w:t>
      </w:r>
      <w:r w:rsidRPr="00350BC9">
        <w:rPr>
          <w:rFonts w:ascii="Arial" w:hAnsi="Arial" w:cs="Arial"/>
          <w:sz w:val="20"/>
        </w:rPr>
        <w:t>22276</w:t>
      </w:r>
      <w:r w:rsidRPr="00350BC9">
        <w:rPr>
          <w:rFonts w:ascii="Arial" w:hAnsi="Arial" w:cs="Arial"/>
          <w:sz w:val="20"/>
        </w:rPr>
        <w:t xml:space="preserve">, </w:t>
      </w:r>
      <w:r w:rsidRPr="00350BC9">
        <w:rPr>
          <w:rFonts w:ascii="Arial" w:hAnsi="Arial" w:cs="Arial"/>
          <w:sz w:val="20"/>
        </w:rPr>
        <w:t>22343</w:t>
      </w:r>
      <w:r w:rsidRPr="00350BC9">
        <w:rPr>
          <w:rFonts w:ascii="Arial" w:hAnsi="Arial" w:cs="Arial"/>
          <w:sz w:val="20"/>
        </w:rPr>
        <w:t xml:space="preserve">, </w:t>
      </w:r>
      <w:r w:rsidRPr="00350BC9">
        <w:rPr>
          <w:rFonts w:ascii="Arial" w:hAnsi="Arial" w:cs="Arial"/>
          <w:sz w:val="20"/>
        </w:rPr>
        <w:t>22394</w:t>
      </w:r>
      <w:r>
        <w:rPr>
          <w:rFonts w:ascii="Arial" w:hAnsi="Arial" w:cs="Arial"/>
          <w:sz w:val="20"/>
        </w:rPr>
        <w:t>.</w:t>
      </w:r>
      <w:bookmarkStart w:id="0" w:name="_GoBack"/>
      <w:bookmarkEnd w:id="0"/>
    </w:p>
    <w:p w14:paraId="68231F4F" w14:textId="77777777" w:rsidR="00350BC9" w:rsidRPr="00557710" w:rsidRDefault="00350BC9" w:rsidP="0020097B">
      <w:pPr>
        <w:pStyle w:val="ListParagraph"/>
        <w:numPr>
          <w:ilvl w:val="0"/>
          <w:numId w:val="2"/>
        </w:numPr>
        <w:ind w:leftChars="0"/>
        <w:jc w:val="both"/>
        <w:rPr>
          <w:rFonts w:ascii="Arial" w:eastAsia="Times New Roman" w:hAnsi="Arial" w:cs="Arial"/>
          <w:sz w:val="20"/>
          <w:lang w:val="en-US"/>
        </w:rPr>
      </w:pP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1C5A6F" w:rsidRPr="004112A3" w14:paraId="110EA1F9" w14:textId="77777777" w:rsidTr="00B302DA">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10"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5248A6" w:rsidRPr="004112A3" w14:paraId="1DABD8D1" w14:textId="77777777" w:rsidTr="00297B5E">
        <w:trPr>
          <w:trHeight w:val="220"/>
        </w:trPr>
        <w:tc>
          <w:tcPr>
            <w:tcW w:w="787" w:type="dxa"/>
            <w:shd w:val="clear" w:color="auto" w:fill="auto"/>
            <w:noWrap/>
          </w:tcPr>
          <w:p w14:paraId="2A9F5745" w14:textId="6A6840F3" w:rsidR="005248A6" w:rsidRPr="00F31102" w:rsidRDefault="005248A6" w:rsidP="005248A6">
            <w:pPr>
              <w:jc w:val="center"/>
              <w:rPr>
                <w:rFonts w:eastAsia="Times New Roman"/>
                <w:b/>
                <w:bCs/>
                <w:color w:val="000000"/>
                <w:szCs w:val="18"/>
                <w:lang w:val="en-US"/>
              </w:rPr>
            </w:pPr>
            <w:r>
              <w:rPr>
                <w:rFonts w:ascii="Arial" w:hAnsi="Arial" w:cs="Arial"/>
                <w:sz w:val="20"/>
              </w:rPr>
              <w:t>22062</w:t>
            </w:r>
          </w:p>
        </w:tc>
        <w:tc>
          <w:tcPr>
            <w:tcW w:w="810" w:type="dxa"/>
            <w:shd w:val="clear" w:color="auto" w:fill="auto"/>
            <w:noWrap/>
          </w:tcPr>
          <w:p w14:paraId="3DE3B175" w14:textId="2220A136" w:rsidR="005248A6" w:rsidRPr="00F31102" w:rsidRDefault="005248A6" w:rsidP="005248A6">
            <w:pPr>
              <w:jc w:val="center"/>
              <w:rPr>
                <w:rFonts w:eastAsia="Times New Roman"/>
                <w:b/>
                <w:bCs/>
                <w:color w:val="000000"/>
                <w:szCs w:val="18"/>
                <w:lang w:val="en-US"/>
              </w:rPr>
            </w:pPr>
            <w:r>
              <w:rPr>
                <w:rFonts w:ascii="Arial" w:hAnsi="Arial" w:cs="Arial"/>
                <w:sz w:val="20"/>
              </w:rPr>
              <w:t>235</w:t>
            </w:r>
          </w:p>
        </w:tc>
        <w:tc>
          <w:tcPr>
            <w:tcW w:w="720" w:type="dxa"/>
            <w:shd w:val="clear" w:color="auto" w:fill="auto"/>
            <w:noWrap/>
          </w:tcPr>
          <w:p w14:paraId="631BA29A" w14:textId="58D54EE9" w:rsidR="005248A6" w:rsidRPr="00F31102" w:rsidRDefault="005248A6" w:rsidP="005248A6">
            <w:pPr>
              <w:jc w:val="center"/>
              <w:rPr>
                <w:rFonts w:eastAsia="Times New Roman"/>
                <w:b/>
                <w:bCs/>
                <w:color w:val="000000"/>
                <w:szCs w:val="18"/>
                <w:lang w:val="en-US"/>
              </w:rPr>
            </w:pPr>
            <w:r>
              <w:rPr>
                <w:rFonts w:ascii="Arial" w:hAnsi="Arial" w:cs="Arial"/>
                <w:sz w:val="20"/>
              </w:rPr>
              <w:t>37</w:t>
            </w:r>
          </w:p>
        </w:tc>
        <w:tc>
          <w:tcPr>
            <w:tcW w:w="2970" w:type="dxa"/>
            <w:shd w:val="clear" w:color="auto" w:fill="auto"/>
            <w:noWrap/>
          </w:tcPr>
          <w:p w14:paraId="3639EAA0" w14:textId="2B6749A5" w:rsidR="005248A6" w:rsidRPr="00F31102" w:rsidRDefault="005248A6" w:rsidP="005248A6">
            <w:pPr>
              <w:jc w:val="center"/>
              <w:rPr>
                <w:rFonts w:eastAsia="Times New Roman"/>
                <w:b/>
                <w:bCs/>
                <w:color w:val="000000"/>
                <w:szCs w:val="18"/>
                <w:lang w:val="en-US"/>
              </w:rPr>
            </w:pPr>
            <w:r>
              <w:rPr>
                <w:rFonts w:ascii="Arial" w:hAnsi="Arial" w:cs="Arial"/>
                <w:sz w:val="20"/>
              </w:rPr>
              <w:t>"At most one Management frame that does not solicit acknowledgement"</w:t>
            </w:r>
          </w:p>
        </w:tc>
        <w:tc>
          <w:tcPr>
            <w:tcW w:w="2520" w:type="dxa"/>
            <w:shd w:val="clear" w:color="auto" w:fill="auto"/>
            <w:noWrap/>
          </w:tcPr>
          <w:p w14:paraId="66EADF8E" w14:textId="34810141" w:rsidR="005248A6" w:rsidRPr="00F31102" w:rsidRDefault="005248A6" w:rsidP="005248A6">
            <w:pPr>
              <w:jc w:val="center"/>
              <w:rPr>
                <w:rFonts w:eastAsia="Times New Roman"/>
                <w:b/>
                <w:bCs/>
                <w:color w:val="000000"/>
                <w:szCs w:val="18"/>
                <w:lang w:val="en-US"/>
              </w:rPr>
            </w:pPr>
            <w:r>
              <w:rPr>
                <w:rFonts w:ascii="Arial" w:hAnsi="Arial" w:cs="Arial"/>
                <w:sz w:val="20"/>
              </w:rPr>
              <w:t>remove "does not"</w:t>
            </w:r>
          </w:p>
        </w:tc>
        <w:tc>
          <w:tcPr>
            <w:tcW w:w="3420" w:type="dxa"/>
            <w:shd w:val="clear" w:color="auto" w:fill="auto"/>
            <w:vAlign w:val="center"/>
          </w:tcPr>
          <w:p w14:paraId="5B8F25D9" w14:textId="1BFB5F92" w:rsidR="005248A6" w:rsidRPr="009E4242" w:rsidRDefault="002133F2" w:rsidP="002133F2">
            <w:pPr>
              <w:rPr>
                <w:rFonts w:eastAsia="Times New Roman"/>
                <w:b/>
                <w:bCs/>
                <w:color w:val="000000"/>
                <w:sz w:val="16"/>
                <w:lang w:val="en-US"/>
              </w:rPr>
            </w:pPr>
            <w:r>
              <w:rPr>
                <w:rFonts w:eastAsia="Times New Roman"/>
                <w:b/>
                <w:bCs/>
                <w:color w:val="000000"/>
                <w:sz w:val="16"/>
                <w:lang w:val="en-US"/>
              </w:rPr>
              <w:t>Accepted</w:t>
            </w:r>
          </w:p>
        </w:tc>
      </w:tr>
      <w:tr w:rsidR="005248A6" w:rsidRPr="004112A3" w14:paraId="4FE8C756" w14:textId="77777777" w:rsidTr="00B302DA">
        <w:trPr>
          <w:trHeight w:val="220"/>
        </w:trPr>
        <w:tc>
          <w:tcPr>
            <w:tcW w:w="787" w:type="dxa"/>
            <w:shd w:val="clear" w:color="auto" w:fill="auto"/>
            <w:noWrap/>
          </w:tcPr>
          <w:p w14:paraId="355AAAC3" w14:textId="3C909A39" w:rsidR="005248A6" w:rsidRDefault="005248A6" w:rsidP="005248A6">
            <w:pPr>
              <w:rPr>
                <w:rFonts w:ascii="Arial" w:hAnsi="Arial" w:cs="Arial"/>
                <w:sz w:val="20"/>
              </w:rPr>
            </w:pPr>
            <w:r>
              <w:rPr>
                <w:rFonts w:ascii="Arial" w:hAnsi="Arial" w:cs="Arial"/>
                <w:sz w:val="20"/>
              </w:rPr>
              <w:t>22276</w:t>
            </w:r>
          </w:p>
        </w:tc>
        <w:tc>
          <w:tcPr>
            <w:tcW w:w="810" w:type="dxa"/>
            <w:shd w:val="clear" w:color="auto" w:fill="auto"/>
            <w:noWrap/>
          </w:tcPr>
          <w:p w14:paraId="7255C16B" w14:textId="69134F37" w:rsidR="005248A6" w:rsidRDefault="005248A6" w:rsidP="005248A6">
            <w:pPr>
              <w:rPr>
                <w:rFonts w:ascii="Arial" w:hAnsi="Arial" w:cs="Arial"/>
                <w:sz w:val="20"/>
              </w:rPr>
            </w:pPr>
          </w:p>
        </w:tc>
        <w:tc>
          <w:tcPr>
            <w:tcW w:w="720" w:type="dxa"/>
            <w:shd w:val="clear" w:color="auto" w:fill="auto"/>
            <w:noWrap/>
          </w:tcPr>
          <w:p w14:paraId="5EEA2A1E" w14:textId="435D3050" w:rsidR="005248A6" w:rsidRDefault="005248A6" w:rsidP="005248A6">
            <w:pPr>
              <w:rPr>
                <w:rFonts w:ascii="Arial" w:hAnsi="Arial" w:cs="Arial"/>
                <w:sz w:val="20"/>
              </w:rPr>
            </w:pPr>
          </w:p>
        </w:tc>
        <w:tc>
          <w:tcPr>
            <w:tcW w:w="2970" w:type="dxa"/>
            <w:shd w:val="clear" w:color="auto" w:fill="auto"/>
            <w:noWrap/>
          </w:tcPr>
          <w:p w14:paraId="585EB1AA" w14:textId="5419EAEF" w:rsidR="005248A6" w:rsidRDefault="005248A6" w:rsidP="005248A6">
            <w:pPr>
              <w:rPr>
                <w:rFonts w:ascii="Arial" w:hAnsi="Arial" w:cs="Arial"/>
                <w:sz w:val="20"/>
              </w:rPr>
            </w:pPr>
            <w:r>
              <w:rPr>
                <w:rFonts w:ascii="Arial" w:hAnsi="Arial" w:cs="Arial"/>
                <w:sz w:val="20"/>
              </w:rPr>
              <w:t xml:space="preserve">There is no reason to require all Trigger frames to be first in the A-MPDU (after any immediate ack).  The point of having multiple Trigger frames is to mitigate </w:t>
            </w:r>
            <w:proofErr w:type="gramStart"/>
            <w:r>
              <w:rPr>
                <w:rFonts w:ascii="Arial" w:hAnsi="Arial" w:cs="Arial"/>
                <w:sz w:val="20"/>
              </w:rPr>
              <w:t>corruption, but</w:t>
            </w:r>
            <w:proofErr w:type="gramEnd"/>
            <w:r>
              <w:rPr>
                <w:rFonts w:ascii="Arial" w:hAnsi="Arial" w:cs="Arial"/>
                <w:sz w:val="20"/>
              </w:rPr>
              <w:t xml:space="preserve"> having them all bunched up means they are more vulnerable to periodic interference.  The AP should be allowed to decide where best to place multiple Trigger frames, if it decides to include them</w:t>
            </w:r>
          </w:p>
        </w:tc>
        <w:tc>
          <w:tcPr>
            <w:tcW w:w="2520" w:type="dxa"/>
            <w:shd w:val="clear" w:color="auto" w:fill="auto"/>
            <w:noWrap/>
          </w:tcPr>
          <w:p w14:paraId="43D2AEC2" w14:textId="0156C83E" w:rsidR="005248A6" w:rsidRDefault="005248A6" w:rsidP="005248A6">
            <w:pPr>
              <w:rPr>
                <w:rFonts w:ascii="Arial" w:hAnsi="Arial" w:cs="Arial"/>
                <w:sz w:val="20"/>
              </w:rPr>
            </w:pPr>
            <w:r>
              <w:rPr>
                <w:rFonts w:ascii="Arial" w:hAnsi="Arial" w:cs="Arial"/>
                <w:sz w:val="20"/>
              </w:rPr>
              <w:t>Delete "The Trigger frames are the first MPDUs of the A-MPDU unless the A-MPDU also</w:t>
            </w:r>
            <w:r>
              <w:rPr>
                <w:rFonts w:ascii="Arial" w:hAnsi="Arial" w:cs="Arial"/>
                <w:sz w:val="20"/>
              </w:rPr>
              <w:br/>
              <w:t xml:space="preserve">carries an Ack or </w:t>
            </w:r>
            <w:proofErr w:type="spellStart"/>
            <w:r>
              <w:rPr>
                <w:rFonts w:ascii="Arial" w:hAnsi="Arial" w:cs="Arial"/>
                <w:sz w:val="20"/>
              </w:rPr>
              <w:t>BlockAck</w:t>
            </w:r>
            <w:proofErr w:type="spellEnd"/>
            <w:r>
              <w:rPr>
                <w:rFonts w:ascii="Arial" w:hAnsi="Arial" w:cs="Arial"/>
                <w:sz w:val="20"/>
              </w:rPr>
              <w:t xml:space="preserve"> frame in which case the Trigger frames are included</w:t>
            </w:r>
            <w:r>
              <w:rPr>
                <w:rFonts w:ascii="Arial" w:hAnsi="Arial" w:cs="Arial"/>
                <w:sz w:val="20"/>
              </w:rPr>
              <w:br/>
              <w:t xml:space="preserve">immediately after the Ack or </w:t>
            </w:r>
            <w:proofErr w:type="spellStart"/>
            <w:r>
              <w:rPr>
                <w:rFonts w:ascii="Arial" w:hAnsi="Arial" w:cs="Arial"/>
                <w:sz w:val="20"/>
              </w:rPr>
              <w:t>BlockAck</w:t>
            </w:r>
            <w:proofErr w:type="spellEnd"/>
            <w:r>
              <w:rPr>
                <w:rFonts w:ascii="Arial" w:hAnsi="Arial" w:cs="Arial"/>
                <w:sz w:val="20"/>
              </w:rPr>
              <w:t xml:space="preserve"> frame." in the tables in the referenced subclause</w:t>
            </w:r>
          </w:p>
        </w:tc>
        <w:tc>
          <w:tcPr>
            <w:tcW w:w="3420" w:type="dxa"/>
            <w:shd w:val="clear" w:color="auto" w:fill="auto"/>
            <w:vAlign w:val="center"/>
          </w:tcPr>
          <w:p w14:paraId="280D27D3" w14:textId="77777777" w:rsidR="005248A6" w:rsidRDefault="00054C62" w:rsidP="002133F2">
            <w:pPr>
              <w:rPr>
                <w:rFonts w:eastAsia="Times New Roman"/>
                <w:bCs/>
                <w:color w:val="000000"/>
                <w:sz w:val="22"/>
                <w:szCs w:val="22"/>
                <w:lang w:val="en-US"/>
              </w:rPr>
            </w:pPr>
            <w:r>
              <w:rPr>
                <w:rFonts w:eastAsia="Times New Roman"/>
                <w:bCs/>
                <w:color w:val="000000"/>
                <w:sz w:val="22"/>
                <w:szCs w:val="22"/>
                <w:lang w:val="en-US"/>
              </w:rPr>
              <w:t>Rejected.</w:t>
            </w:r>
          </w:p>
          <w:p w14:paraId="522DCD5D" w14:textId="77777777" w:rsidR="0033388E" w:rsidRDefault="0033388E" w:rsidP="002133F2">
            <w:pPr>
              <w:rPr>
                <w:rFonts w:eastAsia="Times New Roman"/>
                <w:bCs/>
                <w:color w:val="000000"/>
                <w:sz w:val="22"/>
                <w:szCs w:val="22"/>
                <w:lang w:val="en-US"/>
              </w:rPr>
            </w:pPr>
          </w:p>
          <w:p w14:paraId="048726D1" w14:textId="2F9E656D" w:rsidR="0033388E" w:rsidRDefault="0033388E" w:rsidP="002133F2">
            <w:pPr>
              <w:rPr>
                <w:rFonts w:eastAsia="Times New Roman"/>
                <w:bCs/>
                <w:color w:val="000000"/>
                <w:sz w:val="22"/>
                <w:szCs w:val="22"/>
                <w:lang w:val="en-US"/>
              </w:rPr>
            </w:pPr>
            <w:proofErr w:type="spellStart"/>
            <w:r>
              <w:rPr>
                <w:rFonts w:eastAsia="Times New Roman"/>
                <w:bCs/>
                <w:color w:val="000000"/>
                <w:sz w:val="22"/>
                <w:szCs w:val="22"/>
                <w:lang w:val="en-US"/>
              </w:rPr>
              <w:t>Dsicussion</w:t>
            </w:r>
            <w:proofErr w:type="spellEnd"/>
            <w:r>
              <w:rPr>
                <w:rFonts w:eastAsia="Times New Roman"/>
                <w:bCs/>
                <w:color w:val="000000"/>
                <w:sz w:val="22"/>
                <w:szCs w:val="22"/>
                <w:lang w:val="en-US"/>
              </w:rPr>
              <w:t>: this (all Trigger frames are at the beginning of A-MPDU) can gave the destinated STAs more time to prepare the HE TB PPDU.</w:t>
            </w:r>
          </w:p>
        </w:tc>
      </w:tr>
      <w:tr w:rsidR="005248A6" w:rsidRPr="004112A3" w14:paraId="0E55312B" w14:textId="77777777" w:rsidTr="00B302DA">
        <w:trPr>
          <w:trHeight w:val="220"/>
        </w:trPr>
        <w:tc>
          <w:tcPr>
            <w:tcW w:w="787" w:type="dxa"/>
            <w:shd w:val="clear" w:color="auto" w:fill="auto"/>
            <w:noWrap/>
          </w:tcPr>
          <w:p w14:paraId="315AF5A4" w14:textId="12793E6C" w:rsidR="005248A6" w:rsidRDefault="005248A6" w:rsidP="005248A6">
            <w:pPr>
              <w:rPr>
                <w:rFonts w:ascii="Arial" w:hAnsi="Arial" w:cs="Arial"/>
                <w:sz w:val="20"/>
              </w:rPr>
            </w:pPr>
            <w:r>
              <w:rPr>
                <w:rFonts w:ascii="Arial" w:hAnsi="Arial" w:cs="Arial"/>
                <w:sz w:val="20"/>
              </w:rPr>
              <w:t>22343</w:t>
            </w:r>
          </w:p>
        </w:tc>
        <w:tc>
          <w:tcPr>
            <w:tcW w:w="810" w:type="dxa"/>
            <w:shd w:val="clear" w:color="auto" w:fill="auto"/>
            <w:noWrap/>
          </w:tcPr>
          <w:p w14:paraId="098E60C9" w14:textId="0A4126A0" w:rsidR="005248A6" w:rsidRDefault="005248A6" w:rsidP="005248A6">
            <w:pPr>
              <w:rPr>
                <w:rFonts w:ascii="Arial" w:hAnsi="Arial" w:cs="Arial"/>
                <w:sz w:val="20"/>
              </w:rPr>
            </w:pPr>
            <w:r>
              <w:rPr>
                <w:rFonts w:ascii="Arial" w:hAnsi="Arial" w:cs="Arial"/>
                <w:sz w:val="20"/>
              </w:rPr>
              <w:t>235</w:t>
            </w:r>
          </w:p>
        </w:tc>
        <w:tc>
          <w:tcPr>
            <w:tcW w:w="720" w:type="dxa"/>
            <w:shd w:val="clear" w:color="auto" w:fill="auto"/>
            <w:noWrap/>
          </w:tcPr>
          <w:p w14:paraId="3623A815" w14:textId="007383C6" w:rsidR="005248A6" w:rsidRDefault="005248A6" w:rsidP="005248A6">
            <w:pPr>
              <w:rPr>
                <w:rFonts w:ascii="Arial" w:hAnsi="Arial" w:cs="Arial"/>
                <w:sz w:val="20"/>
              </w:rPr>
            </w:pPr>
            <w:r>
              <w:rPr>
                <w:rFonts w:ascii="Arial" w:hAnsi="Arial" w:cs="Arial"/>
                <w:sz w:val="20"/>
              </w:rPr>
              <w:t>26</w:t>
            </w:r>
          </w:p>
        </w:tc>
        <w:tc>
          <w:tcPr>
            <w:tcW w:w="2970" w:type="dxa"/>
            <w:shd w:val="clear" w:color="auto" w:fill="auto"/>
            <w:noWrap/>
          </w:tcPr>
          <w:p w14:paraId="10F3F5CA" w14:textId="794C97D6" w:rsidR="005248A6" w:rsidRDefault="005248A6" w:rsidP="005248A6">
            <w:pPr>
              <w:rPr>
                <w:rFonts w:ascii="Arial" w:hAnsi="Arial" w:cs="Arial"/>
                <w:sz w:val="20"/>
              </w:rPr>
            </w:pPr>
            <w:r>
              <w:rPr>
                <w:rFonts w:ascii="Arial" w:hAnsi="Arial" w:cs="Arial"/>
                <w:sz w:val="20"/>
              </w:rPr>
              <w:t>"At most one Data frame with a TID</w:t>
            </w:r>
            <w:r>
              <w:rPr>
                <w:rFonts w:ascii="Arial" w:hAnsi="Arial" w:cs="Arial"/>
                <w:sz w:val="20"/>
              </w:rPr>
              <w:br/>
              <w:t>that does not correspond to an HT-</w:t>
            </w:r>
            <w:r>
              <w:rPr>
                <w:rFonts w:ascii="Arial" w:hAnsi="Arial" w:cs="Arial"/>
                <w:sz w:val="20"/>
              </w:rPr>
              <w:br/>
              <w:t>immediate block ack agreement" -- it is not clear that the rightmost cell excludes ack policy No Ack</w:t>
            </w:r>
          </w:p>
        </w:tc>
        <w:tc>
          <w:tcPr>
            <w:tcW w:w="2520" w:type="dxa"/>
            <w:shd w:val="clear" w:color="auto" w:fill="auto"/>
            <w:noWrap/>
          </w:tcPr>
          <w:p w14:paraId="7A28F6C9" w14:textId="0A69D81F" w:rsidR="005248A6" w:rsidRDefault="005248A6" w:rsidP="005248A6">
            <w:pPr>
              <w:rPr>
                <w:rFonts w:ascii="Arial" w:hAnsi="Arial" w:cs="Arial"/>
                <w:sz w:val="20"/>
              </w:rPr>
            </w:pPr>
            <w:r>
              <w:rPr>
                <w:rFonts w:ascii="Arial" w:hAnsi="Arial" w:cs="Arial"/>
                <w:sz w:val="20"/>
              </w:rPr>
              <w:t>As it says in the comment</w:t>
            </w:r>
          </w:p>
        </w:tc>
        <w:tc>
          <w:tcPr>
            <w:tcW w:w="3420" w:type="dxa"/>
            <w:shd w:val="clear" w:color="auto" w:fill="auto"/>
            <w:vAlign w:val="center"/>
          </w:tcPr>
          <w:p w14:paraId="27C461D1" w14:textId="77777777" w:rsidR="005248A6" w:rsidRDefault="00054C62" w:rsidP="002133F2">
            <w:pPr>
              <w:rPr>
                <w:rFonts w:eastAsia="Times New Roman"/>
                <w:bCs/>
                <w:color w:val="000000"/>
                <w:sz w:val="22"/>
                <w:szCs w:val="22"/>
                <w:lang w:val="en-US"/>
              </w:rPr>
            </w:pPr>
            <w:r>
              <w:rPr>
                <w:rFonts w:eastAsia="Times New Roman"/>
                <w:bCs/>
                <w:color w:val="000000"/>
                <w:sz w:val="22"/>
                <w:szCs w:val="22"/>
                <w:lang w:val="en-US"/>
              </w:rPr>
              <w:t>Rejected.</w:t>
            </w:r>
          </w:p>
          <w:p w14:paraId="1C92F6CF" w14:textId="77777777" w:rsidR="00054C62" w:rsidRDefault="00054C62" w:rsidP="002133F2">
            <w:pPr>
              <w:rPr>
                <w:rFonts w:eastAsia="Times New Roman"/>
                <w:bCs/>
                <w:color w:val="000000"/>
                <w:sz w:val="22"/>
                <w:szCs w:val="22"/>
                <w:lang w:val="en-US"/>
              </w:rPr>
            </w:pPr>
          </w:p>
          <w:p w14:paraId="109063E6" w14:textId="6592A464" w:rsidR="00054C62" w:rsidRDefault="00054C62" w:rsidP="002133F2">
            <w:pPr>
              <w:rPr>
                <w:rFonts w:eastAsia="Times New Roman"/>
                <w:bCs/>
                <w:color w:val="000000"/>
                <w:sz w:val="22"/>
                <w:szCs w:val="22"/>
                <w:lang w:val="en-US"/>
              </w:rPr>
            </w:pPr>
            <w:r>
              <w:rPr>
                <w:rFonts w:eastAsia="Times New Roman"/>
                <w:bCs/>
                <w:color w:val="000000"/>
                <w:sz w:val="22"/>
                <w:szCs w:val="22"/>
                <w:lang w:val="en-US"/>
              </w:rPr>
              <w:t xml:space="preserve">Discussion: the case that the commenter </w:t>
            </w:r>
            <w:proofErr w:type="spellStart"/>
            <w:r>
              <w:rPr>
                <w:rFonts w:eastAsia="Times New Roman"/>
                <w:bCs/>
                <w:color w:val="000000"/>
                <w:sz w:val="22"/>
                <w:szCs w:val="22"/>
                <w:lang w:val="en-US"/>
              </w:rPr>
              <w:t>refered</w:t>
            </w:r>
            <w:proofErr w:type="spellEnd"/>
            <w:r>
              <w:rPr>
                <w:rFonts w:eastAsia="Times New Roman"/>
                <w:bCs/>
                <w:color w:val="000000"/>
                <w:sz w:val="22"/>
                <w:szCs w:val="22"/>
                <w:lang w:val="en-US"/>
              </w:rPr>
              <w:t xml:space="preserve"> to means that for a TID without BA agreement, a QoS Data frame can be </w:t>
            </w:r>
            <w:proofErr w:type="spellStart"/>
            <w:r>
              <w:rPr>
                <w:rFonts w:eastAsia="Times New Roman"/>
                <w:bCs/>
                <w:color w:val="000000"/>
                <w:sz w:val="22"/>
                <w:szCs w:val="22"/>
                <w:lang w:val="en-US"/>
              </w:rPr>
              <w:t>EoF</w:t>
            </w:r>
            <w:proofErr w:type="spellEnd"/>
            <w:r>
              <w:rPr>
                <w:rFonts w:eastAsia="Times New Roman"/>
                <w:bCs/>
                <w:color w:val="000000"/>
                <w:sz w:val="22"/>
                <w:szCs w:val="22"/>
                <w:lang w:val="en-US"/>
              </w:rPr>
              <w:t xml:space="preserve"> MPDU to solicit Ack.</w:t>
            </w:r>
          </w:p>
        </w:tc>
      </w:tr>
      <w:tr w:rsidR="003A7F7F" w:rsidRPr="004112A3" w14:paraId="618AFD39" w14:textId="77777777" w:rsidTr="00B302DA">
        <w:trPr>
          <w:trHeight w:val="220"/>
        </w:trPr>
        <w:tc>
          <w:tcPr>
            <w:tcW w:w="787" w:type="dxa"/>
            <w:shd w:val="clear" w:color="auto" w:fill="auto"/>
            <w:noWrap/>
          </w:tcPr>
          <w:p w14:paraId="3332AF18" w14:textId="77777777" w:rsidR="003A7F7F" w:rsidRDefault="003A7F7F" w:rsidP="003A7F7F">
            <w:pPr>
              <w:rPr>
                <w:rFonts w:ascii="Arial" w:hAnsi="Arial" w:cs="Arial"/>
                <w:sz w:val="20"/>
                <w:lang w:val="en-US" w:eastAsia="zh-CN"/>
              </w:rPr>
            </w:pPr>
            <w:r>
              <w:rPr>
                <w:rFonts w:ascii="Arial" w:hAnsi="Arial" w:cs="Arial"/>
                <w:sz w:val="20"/>
              </w:rPr>
              <w:t>22394</w:t>
            </w:r>
          </w:p>
          <w:p w14:paraId="01C4439E" w14:textId="4EC85F6E" w:rsidR="003A7F7F" w:rsidRDefault="003A7F7F" w:rsidP="003A7F7F">
            <w:pPr>
              <w:rPr>
                <w:rFonts w:ascii="Arial" w:hAnsi="Arial" w:cs="Arial"/>
                <w:sz w:val="20"/>
              </w:rPr>
            </w:pPr>
          </w:p>
        </w:tc>
        <w:tc>
          <w:tcPr>
            <w:tcW w:w="810" w:type="dxa"/>
            <w:shd w:val="clear" w:color="auto" w:fill="auto"/>
            <w:noWrap/>
          </w:tcPr>
          <w:p w14:paraId="6162BBFE" w14:textId="50119D32" w:rsidR="003A7F7F" w:rsidRDefault="003A7F7F" w:rsidP="003A7F7F">
            <w:pPr>
              <w:rPr>
                <w:rFonts w:ascii="Arial" w:hAnsi="Arial" w:cs="Arial"/>
                <w:sz w:val="20"/>
              </w:rPr>
            </w:pPr>
          </w:p>
        </w:tc>
        <w:tc>
          <w:tcPr>
            <w:tcW w:w="720" w:type="dxa"/>
            <w:shd w:val="clear" w:color="auto" w:fill="auto"/>
            <w:noWrap/>
          </w:tcPr>
          <w:p w14:paraId="23D2F6F0" w14:textId="249A573E" w:rsidR="003A7F7F" w:rsidRDefault="003A7F7F" w:rsidP="003A7F7F">
            <w:pPr>
              <w:rPr>
                <w:rFonts w:ascii="Arial" w:hAnsi="Arial" w:cs="Arial"/>
                <w:sz w:val="20"/>
              </w:rPr>
            </w:pPr>
          </w:p>
        </w:tc>
        <w:tc>
          <w:tcPr>
            <w:tcW w:w="2970" w:type="dxa"/>
            <w:shd w:val="clear" w:color="auto" w:fill="auto"/>
            <w:noWrap/>
          </w:tcPr>
          <w:p w14:paraId="6F5822BC" w14:textId="559D87E5" w:rsidR="003A7F7F" w:rsidRDefault="003A7F7F" w:rsidP="003A7F7F">
            <w:pPr>
              <w:rPr>
                <w:rFonts w:ascii="Arial" w:hAnsi="Arial" w:cs="Arial"/>
                <w:sz w:val="20"/>
              </w:rPr>
            </w:pPr>
            <w:r>
              <w:rPr>
                <w:rFonts w:ascii="Arial" w:hAnsi="Arial" w:cs="Arial"/>
                <w:sz w:val="20"/>
              </w:rPr>
              <w:t>CID 20770.  OK, but you still can't change existing legacy behaviour</w:t>
            </w:r>
          </w:p>
        </w:tc>
        <w:tc>
          <w:tcPr>
            <w:tcW w:w="2520" w:type="dxa"/>
            <w:shd w:val="clear" w:color="auto" w:fill="auto"/>
            <w:noWrap/>
          </w:tcPr>
          <w:p w14:paraId="2339866D" w14:textId="17735162" w:rsidR="003A7F7F" w:rsidRDefault="003A7F7F" w:rsidP="003A7F7F">
            <w:pPr>
              <w:rPr>
                <w:rFonts w:ascii="Arial" w:hAnsi="Arial" w:cs="Arial"/>
                <w:sz w:val="20"/>
              </w:rPr>
            </w:pPr>
            <w:r>
              <w:rPr>
                <w:rFonts w:ascii="Arial" w:hAnsi="Arial" w:cs="Arial"/>
                <w:sz w:val="20"/>
              </w:rPr>
              <w:t>Change "All of the MPDUs within an A-</w:t>
            </w:r>
            <w:r>
              <w:rPr>
                <w:rFonts w:ascii="Arial" w:hAnsi="Arial" w:cs="Arial"/>
                <w:sz w:val="20"/>
              </w:rPr>
              <w:br/>
              <w:t>MPDU have the same TA." to "All of the MPDUs within an A-</w:t>
            </w:r>
            <w:r>
              <w:rPr>
                <w:rFonts w:ascii="Arial" w:hAnsi="Arial" w:cs="Arial"/>
                <w:sz w:val="20"/>
              </w:rPr>
              <w:br/>
              <w:t>MPDU sent by an HE STA to another HE STA have the same TA."</w:t>
            </w:r>
          </w:p>
        </w:tc>
        <w:tc>
          <w:tcPr>
            <w:tcW w:w="3420" w:type="dxa"/>
            <w:shd w:val="clear" w:color="auto" w:fill="auto"/>
            <w:vAlign w:val="center"/>
          </w:tcPr>
          <w:p w14:paraId="74BED080" w14:textId="77777777" w:rsidR="003A7F7F" w:rsidRDefault="00054C62" w:rsidP="002133F2">
            <w:pPr>
              <w:rPr>
                <w:rFonts w:eastAsia="Times New Roman"/>
                <w:bCs/>
                <w:color w:val="000000"/>
                <w:sz w:val="22"/>
                <w:szCs w:val="22"/>
                <w:lang w:val="en-US"/>
              </w:rPr>
            </w:pPr>
            <w:r>
              <w:rPr>
                <w:rFonts w:eastAsia="Times New Roman"/>
                <w:bCs/>
                <w:color w:val="000000"/>
                <w:sz w:val="22"/>
                <w:szCs w:val="22"/>
                <w:lang w:val="en-US"/>
              </w:rPr>
              <w:t>Rejected</w:t>
            </w:r>
          </w:p>
          <w:p w14:paraId="721FBE66" w14:textId="77777777" w:rsidR="00054C62" w:rsidRDefault="00054C62" w:rsidP="002133F2">
            <w:pPr>
              <w:rPr>
                <w:rFonts w:eastAsia="Times New Roman"/>
                <w:bCs/>
                <w:color w:val="000000"/>
                <w:sz w:val="22"/>
                <w:szCs w:val="22"/>
                <w:lang w:val="en-US"/>
              </w:rPr>
            </w:pPr>
          </w:p>
          <w:p w14:paraId="70E6CE73" w14:textId="29163BA3" w:rsidR="00054C62" w:rsidRPr="006B2826" w:rsidRDefault="00054C62" w:rsidP="002133F2">
            <w:pPr>
              <w:rPr>
                <w:rFonts w:eastAsia="Times New Roman"/>
                <w:bCs/>
                <w:color w:val="000000"/>
                <w:sz w:val="22"/>
                <w:szCs w:val="22"/>
                <w:lang w:val="en-US"/>
              </w:rPr>
            </w:pPr>
            <w:r>
              <w:rPr>
                <w:rFonts w:eastAsia="Times New Roman"/>
                <w:bCs/>
                <w:color w:val="000000"/>
                <w:sz w:val="22"/>
                <w:szCs w:val="22"/>
                <w:lang w:val="en-US"/>
              </w:rPr>
              <w:t>The added text doesn’t change the legacy behavior since the added text is always true to the STAs other than 11ax STAs.</w:t>
            </w:r>
          </w:p>
        </w:tc>
      </w:tr>
    </w:tbl>
    <w:p w14:paraId="789844B3" w14:textId="669591C8" w:rsidR="008150B5" w:rsidRDefault="008150B5" w:rsidP="005248A6">
      <w:pPr>
        <w:pStyle w:val="T"/>
        <w:rPr>
          <w:bCs/>
          <w:lang w:val="en-GB" w:eastAsia="ko-KR"/>
        </w:rPr>
      </w:pPr>
    </w:p>
    <w:p w14:paraId="13069860" w14:textId="7F1051DE" w:rsidR="006B4FF3" w:rsidRPr="006B4FF3" w:rsidRDefault="006B4FF3" w:rsidP="006B4FF3">
      <w:pPr>
        <w:rPr>
          <w:lang w:eastAsia="ko-KR"/>
        </w:rPr>
      </w:pPr>
    </w:p>
    <w:p w14:paraId="3021BE4A" w14:textId="198DF47A" w:rsidR="006B4FF3" w:rsidRPr="006B4FF3" w:rsidRDefault="006B4FF3" w:rsidP="006B4FF3">
      <w:pPr>
        <w:rPr>
          <w:lang w:eastAsia="ko-KR"/>
        </w:rPr>
      </w:pPr>
    </w:p>
    <w:p w14:paraId="75E8ACC1" w14:textId="7A387068" w:rsidR="006B4FF3" w:rsidRPr="006B4FF3" w:rsidRDefault="006B4FF3" w:rsidP="006B4FF3">
      <w:pPr>
        <w:rPr>
          <w:lang w:eastAsia="ko-KR"/>
        </w:rPr>
      </w:pPr>
    </w:p>
    <w:p w14:paraId="623D2F34" w14:textId="6048CD9B" w:rsidR="006B4FF3" w:rsidRPr="006B4FF3" w:rsidRDefault="006B4FF3" w:rsidP="006B4FF3">
      <w:pPr>
        <w:rPr>
          <w:lang w:eastAsia="ko-KR"/>
        </w:rPr>
      </w:pPr>
    </w:p>
    <w:p w14:paraId="6404ACD7" w14:textId="2267A5C6" w:rsidR="006B4FF3" w:rsidRPr="006B4FF3" w:rsidRDefault="006B4FF3" w:rsidP="006B4FF3">
      <w:pPr>
        <w:rPr>
          <w:lang w:eastAsia="ko-KR"/>
        </w:rPr>
      </w:pPr>
    </w:p>
    <w:p w14:paraId="7D4F6575" w14:textId="69F4331C" w:rsidR="006B4FF3" w:rsidRPr="006B4FF3" w:rsidRDefault="006B4FF3" w:rsidP="006B4FF3">
      <w:pPr>
        <w:rPr>
          <w:lang w:eastAsia="ko-KR"/>
        </w:rPr>
      </w:pPr>
    </w:p>
    <w:p w14:paraId="5859B1E1" w14:textId="0409F67C" w:rsidR="006B4FF3" w:rsidRPr="006B4FF3" w:rsidRDefault="006B4FF3" w:rsidP="006B4FF3">
      <w:pPr>
        <w:rPr>
          <w:lang w:eastAsia="ko-KR"/>
        </w:rPr>
      </w:pPr>
    </w:p>
    <w:p w14:paraId="0D419C30" w14:textId="29118633" w:rsidR="006B4FF3" w:rsidRDefault="006B4FF3" w:rsidP="006B4FF3">
      <w:pPr>
        <w:rPr>
          <w:rFonts w:eastAsia="MS Mincho"/>
          <w:bCs/>
          <w:color w:val="000000"/>
          <w:w w:val="0"/>
          <w:sz w:val="20"/>
          <w:lang w:eastAsia="ko-KR"/>
        </w:rPr>
      </w:pPr>
    </w:p>
    <w:p w14:paraId="2056252D" w14:textId="23DCF03D" w:rsidR="006B4FF3" w:rsidRDefault="006B4FF3" w:rsidP="006B4FF3">
      <w:pPr>
        <w:rPr>
          <w:rFonts w:eastAsia="MS Mincho"/>
          <w:bCs/>
          <w:color w:val="000000"/>
          <w:w w:val="0"/>
          <w:sz w:val="20"/>
          <w:lang w:eastAsia="ko-KR"/>
        </w:rPr>
      </w:pPr>
    </w:p>
    <w:p w14:paraId="6DF9132C" w14:textId="77777777" w:rsidR="006B4FF3" w:rsidRPr="006B4FF3" w:rsidRDefault="006B4FF3" w:rsidP="006B4FF3">
      <w:pPr>
        <w:jc w:val="right"/>
        <w:rPr>
          <w:lang w:eastAsia="ko-KR"/>
        </w:rPr>
      </w:pPr>
    </w:p>
    <w:sectPr w:rsidR="006B4FF3" w:rsidRPr="006B4FF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29729" w14:textId="77777777" w:rsidR="009F33AF" w:rsidRDefault="009F33AF">
      <w:r>
        <w:separator/>
      </w:r>
    </w:p>
  </w:endnote>
  <w:endnote w:type="continuationSeparator" w:id="0">
    <w:p w14:paraId="02049097" w14:textId="77777777" w:rsidR="009F33AF" w:rsidRDefault="009F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013EA7" w:rsidRDefault="00D12586">
    <w:pPr>
      <w:pStyle w:val="Footer"/>
      <w:tabs>
        <w:tab w:val="clear" w:pos="6480"/>
        <w:tab w:val="center" w:pos="4680"/>
        <w:tab w:val="right" w:pos="9360"/>
      </w:tabs>
    </w:pPr>
    <w:fldSimple w:instr=" SUBJECT  \* MERGEFORMAT ">
      <w:r w:rsidR="00013EA7">
        <w:t>Submission</w:t>
      </w:r>
    </w:fldSimple>
    <w:r w:rsidR="00013EA7">
      <w:tab/>
      <w:t xml:space="preserve">page </w:t>
    </w:r>
    <w:r w:rsidR="00013EA7">
      <w:fldChar w:fldCharType="begin"/>
    </w:r>
    <w:r w:rsidR="00013EA7">
      <w:instrText xml:space="preserve">page </w:instrText>
    </w:r>
    <w:r w:rsidR="00013EA7">
      <w:fldChar w:fldCharType="separate"/>
    </w:r>
    <w:r w:rsidR="0052148E">
      <w:rPr>
        <w:noProof/>
      </w:rPr>
      <w:t>5</w:t>
    </w:r>
    <w:r w:rsidR="00013EA7">
      <w:rPr>
        <w:noProof/>
      </w:rPr>
      <w:fldChar w:fldCharType="end"/>
    </w:r>
    <w:r w:rsidR="00013EA7">
      <w:tab/>
    </w:r>
    <w:r w:rsidR="00013EA7">
      <w:rPr>
        <w:lang w:eastAsia="ko-KR"/>
      </w:rPr>
      <w:t>Liwen Chu (Marvell)</w:t>
    </w:r>
  </w:p>
  <w:p w14:paraId="341245C4" w14:textId="77777777"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AFAAC" w14:textId="77777777" w:rsidR="009F33AF" w:rsidRDefault="009F33AF">
      <w:r>
        <w:separator/>
      </w:r>
    </w:p>
  </w:footnote>
  <w:footnote w:type="continuationSeparator" w:id="0">
    <w:p w14:paraId="1B314454" w14:textId="77777777" w:rsidR="009F33AF" w:rsidRDefault="009F3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31B42253" w:rsidR="00013EA7" w:rsidRDefault="00A3133E">
    <w:pPr>
      <w:pStyle w:val="Header"/>
      <w:tabs>
        <w:tab w:val="clear" w:pos="6480"/>
        <w:tab w:val="center" w:pos="4680"/>
        <w:tab w:val="right" w:pos="9360"/>
      </w:tabs>
    </w:pPr>
    <w:r>
      <w:rPr>
        <w:lang w:eastAsia="ko-KR"/>
      </w:rPr>
      <w:t>Nov</w:t>
    </w:r>
    <w:r w:rsidR="00C36623">
      <w:rPr>
        <w:lang w:eastAsia="ko-KR"/>
      </w:rPr>
      <w:t xml:space="preserve"> </w:t>
    </w:r>
    <w:r w:rsidR="00474731">
      <w:rPr>
        <w:lang w:eastAsia="ko-KR"/>
      </w:rPr>
      <w:t>2019</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013EA7">
        <w:t>doc.: IEEE 802.11-1</w:t>
      </w:r>
      <w:r w:rsidR="00474731">
        <w:t>9</w:t>
      </w:r>
      <w:r w:rsidR="00013EA7">
        <w:t>/</w:t>
      </w:r>
      <w:r w:rsidR="006B4FF3">
        <w:t>2020</w:t>
      </w:r>
      <w:r w:rsidR="00013EA7">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5186"/>
    <w:rsid w:val="00895A28"/>
    <w:rsid w:val="00895F31"/>
    <w:rsid w:val="00896683"/>
    <w:rsid w:val="00896728"/>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602A3"/>
    <w:rsid w:val="0096131C"/>
    <w:rsid w:val="00961347"/>
    <w:rsid w:val="00961D96"/>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E3965-1068-4492-A564-FBEAD5F46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2777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4</cp:revision>
  <cp:lastPrinted>2010-05-04T03:47:00Z</cp:lastPrinted>
  <dcterms:created xsi:type="dcterms:W3CDTF">2019-11-11T21:04:00Z</dcterms:created>
  <dcterms:modified xsi:type="dcterms:W3CDTF">2019-11-11T21:12:00Z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