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694F0A" w:rsidP="00893CC2">
            <w:pPr>
              <w:pStyle w:val="T2"/>
              <w:rPr>
                <w:szCs w:val="28"/>
                <w:lang w:val="en-US" w:eastAsia="zh-CN"/>
              </w:rPr>
            </w:pPr>
            <w:r w:rsidRPr="0049538A">
              <w:rPr>
                <w:szCs w:val="28"/>
                <w:lang w:val="en-US" w:eastAsia="zh-CN"/>
              </w:rPr>
              <w:t xml:space="preserve">CIDs on Clause </w:t>
            </w:r>
            <w:r w:rsidR="0049538A" w:rsidRPr="0049538A">
              <w:rPr>
                <w:bCs/>
                <w:szCs w:val="28"/>
              </w:rPr>
              <w:t>27.3.10.7</w:t>
            </w:r>
            <w:r w:rsidR="007A4362">
              <w:rPr>
                <w:bCs/>
                <w:szCs w:val="28"/>
              </w:rPr>
              <w:t xml:space="preserve"> for D5.1</w:t>
            </w:r>
          </w:p>
        </w:tc>
      </w:tr>
      <w:tr w:rsidR="00694F0A" w:rsidRPr="00FA777D" w:rsidTr="000F1EDC">
        <w:trPr>
          <w:trHeight w:val="359"/>
          <w:jc w:val="center"/>
        </w:trPr>
        <w:tc>
          <w:tcPr>
            <w:tcW w:w="10023" w:type="dxa"/>
            <w:gridSpan w:val="5"/>
            <w:vAlign w:val="center"/>
          </w:tcPr>
          <w:p w:rsidR="00694F0A" w:rsidRPr="00FA777D" w:rsidRDefault="00694F0A" w:rsidP="00AD1151">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sidR="00AD1151">
              <w:rPr>
                <w:b w:val="0"/>
                <w:sz w:val="20"/>
                <w:lang w:eastAsia="zh-CN"/>
              </w:rPr>
              <w:t>11</w:t>
            </w:r>
            <w:r>
              <w:rPr>
                <w:b w:val="0"/>
                <w:sz w:val="20"/>
                <w:lang w:eastAsia="zh-CN"/>
              </w:rPr>
              <w:t>-0</w:t>
            </w:r>
            <w:r w:rsidR="00AD1151">
              <w:rPr>
                <w:b w:val="0"/>
                <w:sz w:val="20"/>
                <w:lang w:eastAsia="zh-CN"/>
              </w:rPr>
              <w:t>7</w:t>
            </w:r>
          </w:p>
        </w:tc>
        <w:bookmarkStart w:id="0" w:name="_GoBack"/>
        <w:bookmarkEnd w:id="0"/>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2E376B" w:rsidRDefault="00694F0A" w:rsidP="00694F0A">
      <w:pPr>
        <w:rPr>
          <w:sz w:val="22"/>
          <w:szCs w:val="22"/>
        </w:rPr>
      </w:pPr>
      <w:r w:rsidRPr="00356392">
        <w:rPr>
          <w:sz w:val="22"/>
          <w:szCs w:val="22"/>
        </w:rPr>
        <w:t>This document contains comment resolution</w:t>
      </w:r>
      <w:r w:rsidR="00FA37F2">
        <w:rPr>
          <w:sz w:val="22"/>
          <w:szCs w:val="22"/>
        </w:rPr>
        <w:t>s</w:t>
      </w:r>
      <w:r w:rsidRPr="00356392">
        <w:rPr>
          <w:sz w:val="22"/>
          <w:szCs w:val="22"/>
        </w:rPr>
        <w:t xml:space="preserve"> on the following CIDs for </w:t>
      </w:r>
      <w:r w:rsidR="00893CC2" w:rsidRPr="00893CC2">
        <w:rPr>
          <w:bCs/>
          <w:sz w:val="22"/>
          <w:szCs w:val="22"/>
        </w:rPr>
        <w:t>27.3.10.7</w:t>
      </w:r>
      <w:r w:rsidR="00893CC2">
        <w:rPr>
          <w:bCs/>
          <w:sz w:val="22"/>
          <w:szCs w:val="22"/>
        </w:rPr>
        <w:t xml:space="preserve"> </w:t>
      </w:r>
      <w:r w:rsidR="005738F7" w:rsidRPr="00356392">
        <w:rPr>
          <w:bCs/>
          <w:sz w:val="22"/>
          <w:szCs w:val="22"/>
        </w:rPr>
        <w:t xml:space="preserve">and the proposed specification changes are </w:t>
      </w:r>
      <w:r w:rsidR="001D7986" w:rsidRPr="00356392">
        <w:rPr>
          <w:bCs/>
          <w:sz w:val="22"/>
          <w:szCs w:val="22"/>
        </w:rPr>
        <w:t xml:space="preserve">in draft </w:t>
      </w:r>
      <w:r w:rsidR="007A4362">
        <w:rPr>
          <w:bCs/>
          <w:sz w:val="22"/>
          <w:szCs w:val="22"/>
        </w:rPr>
        <w:t>5.1</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FA37F2" w:rsidRDefault="00992AE0" w:rsidP="00992AE0">
      <w:pPr>
        <w:rPr>
          <w:rFonts w:ascii="Arial" w:hAnsi="Arial" w:cs="Arial"/>
          <w:sz w:val="20"/>
          <w:szCs w:val="20"/>
        </w:rPr>
      </w:pPr>
      <w:r>
        <w:rPr>
          <w:rFonts w:ascii="Arial" w:hAnsi="Arial" w:cs="Arial"/>
          <w:sz w:val="20"/>
          <w:szCs w:val="20"/>
        </w:rPr>
        <w:t>386</w:t>
      </w:r>
      <w:r w:rsidR="007A4362">
        <w:rPr>
          <w:rFonts w:ascii="Arial" w:hAnsi="Arial" w:cs="Arial"/>
          <w:sz w:val="20"/>
          <w:szCs w:val="20"/>
        </w:rPr>
        <w:t>, 387, 411, 412, 413 and</w:t>
      </w:r>
      <w:r w:rsidR="007A01B6">
        <w:rPr>
          <w:rFonts w:ascii="Arial" w:hAnsi="Arial" w:cs="Arial"/>
          <w:sz w:val="20"/>
          <w:szCs w:val="20"/>
        </w:rPr>
        <w:t xml:space="preserve"> 455.</w:t>
      </w:r>
    </w:p>
    <w:p w:rsidR="00FA37F2" w:rsidRDefault="00FA37F2" w:rsidP="00FA37F2">
      <w:pPr>
        <w:jc w:val="right"/>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680276" w:rsidRDefault="00C876B9" w:rsidP="00680276">
            <w:pPr>
              <w:rPr>
                <w:rFonts w:ascii="Arial" w:hAnsi="Arial" w:cs="Arial"/>
                <w:sz w:val="20"/>
                <w:szCs w:val="20"/>
              </w:rPr>
            </w:pPr>
            <w:r>
              <w:rPr>
                <w:rFonts w:ascii="Arial" w:hAnsi="Arial" w:cs="Arial"/>
                <w:sz w:val="20"/>
                <w:szCs w:val="20"/>
              </w:rPr>
              <w:t>386</w:t>
            </w:r>
          </w:p>
        </w:tc>
        <w:tc>
          <w:tcPr>
            <w:tcW w:w="1217" w:type="dxa"/>
          </w:tcPr>
          <w:p w:rsidR="00680276" w:rsidRDefault="00680276" w:rsidP="00680276">
            <w:pPr>
              <w:rPr>
                <w:rFonts w:ascii="Arial" w:hAnsi="Arial" w:cs="Arial"/>
                <w:sz w:val="20"/>
                <w:szCs w:val="20"/>
              </w:rPr>
            </w:pPr>
            <w:r>
              <w:rPr>
                <w:rFonts w:ascii="Arial" w:hAnsi="Arial" w:cs="Arial"/>
                <w:sz w:val="20"/>
                <w:szCs w:val="20"/>
              </w:rPr>
              <w:t>27.3.10.7.2</w:t>
            </w:r>
          </w:p>
          <w:p w:rsidR="00680276" w:rsidRPr="00833A33" w:rsidRDefault="00680276" w:rsidP="003D077E">
            <w:pPr>
              <w:rPr>
                <w:sz w:val="20"/>
                <w:highlight w:val="yellow"/>
              </w:rPr>
            </w:pPr>
          </w:p>
        </w:tc>
        <w:tc>
          <w:tcPr>
            <w:tcW w:w="892" w:type="dxa"/>
          </w:tcPr>
          <w:p w:rsidR="00680276" w:rsidRPr="00833A33" w:rsidRDefault="00C876B9" w:rsidP="003D077E">
            <w:pPr>
              <w:rPr>
                <w:sz w:val="20"/>
                <w:highlight w:val="yellow"/>
              </w:rPr>
            </w:pPr>
            <w:r>
              <w:rPr>
                <w:sz w:val="20"/>
              </w:rPr>
              <w:t>552</w:t>
            </w:r>
          </w:p>
        </w:tc>
        <w:tc>
          <w:tcPr>
            <w:tcW w:w="803" w:type="dxa"/>
          </w:tcPr>
          <w:p w:rsidR="00680276" w:rsidRPr="00833A33" w:rsidRDefault="00B64A53" w:rsidP="003D077E">
            <w:pPr>
              <w:rPr>
                <w:sz w:val="20"/>
              </w:rPr>
            </w:pPr>
            <w:r>
              <w:rPr>
                <w:sz w:val="20"/>
              </w:rPr>
              <w:t>12</w:t>
            </w:r>
          </w:p>
        </w:tc>
        <w:tc>
          <w:tcPr>
            <w:tcW w:w="2723" w:type="dxa"/>
          </w:tcPr>
          <w:p w:rsidR="00C876B9" w:rsidRDefault="00C876B9" w:rsidP="00C876B9">
            <w:pPr>
              <w:rPr>
                <w:rFonts w:ascii="Arial" w:hAnsi="Arial" w:cs="Arial"/>
                <w:sz w:val="20"/>
                <w:szCs w:val="20"/>
                <w:lang w:eastAsia="en-US"/>
              </w:rPr>
            </w:pPr>
            <w:r>
              <w:rPr>
                <w:rFonts w:ascii="Arial" w:hAnsi="Arial" w:cs="Arial"/>
                <w:sz w:val="20"/>
                <w:szCs w:val="20"/>
              </w:rPr>
              <w:t>CID 20728.  But the quote from "page 411" indicates that the only exceptional case is an HE ER SU PPDU.  Table 27-20 is about HE MU PPDUs, so the proposed change was correct</w:t>
            </w:r>
          </w:p>
          <w:p w:rsidR="00680276" w:rsidRDefault="00680276" w:rsidP="00B64A53">
            <w:pPr>
              <w:rPr>
                <w:rFonts w:ascii="Arial" w:hAnsi="Arial" w:cs="Arial"/>
                <w:sz w:val="20"/>
                <w:szCs w:val="20"/>
              </w:rPr>
            </w:pPr>
          </w:p>
        </w:tc>
        <w:tc>
          <w:tcPr>
            <w:tcW w:w="1755" w:type="dxa"/>
          </w:tcPr>
          <w:p w:rsidR="00C876B9" w:rsidRDefault="00C876B9" w:rsidP="00C876B9">
            <w:pPr>
              <w:rPr>
                <w:rFonts w:ascii="Arial" w:hAnsi="Arial" w:cs="Arial"/>
                <w:sz w:val="20"/>
                <w:szCs w:val="20"/>
                <w:lang w:eastAsia="en-US"/>
              </w:rPr>
            </w:pPr>
            <w:r>
              <w:rPr>
                <w:rFonts w:ascii="Arial" w:hAnsi="Arial" w:cs="Arial"/>
                <w:sz w:val="20"/>
                <w:szCs w:val="20"/>
              </w:rPr>
              <w:t>In Table 27-20 for UL/DL change "Set to</w:t>
            </w:r>
            <w:r>
              <w:rPr>
                <w:rFonts w:ascii="Arial" w:hAnsi="Arial" w:cs="Arial"/>
                <w:sz w:val="20"/>
                <w:szCs w:val="20"/>
              </w:rPr>
              <w:br/>
              <w:t>the value indicated by the TXVECTOR parameter</w:t>
            </w:r>
            <w:r>
              <w:rPr>
                <w:rFonts w:ascii="Arial" w:hAnsi="Arial" w:cs="Arial"/>
                <w:sz w:val="20"/>
                <w:szCs w:val="20"/>
              </w:rPr>
              <w:br/>
              <w:t>UPLINK_FLAG." to "Set to 1 if the HE PPDU is addressed to an AP.  Set to 0 otherwise.  See the TXVECTOR parameter UPLINK_FLAG."</w:t>
            </w:r>
          </w:p>
          <w:p w:rsidR="00680276" w:rsidRPr="008837B5" w:rsidRDefault="00680276" w:rsidP="00B64A53">
            <w:pPr>
              <w:rPr>
                <w:sz w:val="20"/>
              </w:rPr>
            </w:pPr>
          </w:p>
        </w:tc>
        <w:tc>
          <w:tcPr>
            <w:tcW w:w="1705" w:type="dxa"/>
          </w:tcPr>
          <w:p w:rsidR="00680276" w:rsidRDefault="00966BA4" w:rsidP="00B64A53">
            <w:pPr>
              <w:rPr>
                <w:sz w:val="20"/>
              </w:rPr>
            </w:pPr>
            <w:r>
              <w:rPr>
                <w:sz w:val="20"/>
              </w:rPr>
              <w:t>Revised.</w:t>
            </w:r>
          </w:p>
          <w:p w:rsidR="00966BA4" w:rsidRDefault="00966BA4" w:rsidP="00B64A53">
            <w:pPr>
              <w:rPr>
                <w:sz w:val="20"/>
              </w:rPr>
            </w:pPr>
          </w:p>
          <w:p w:rsidR="00966BA4" w:rsidRPr="008837B5" w:rsidRDefault="00F14C8B" w:rsidP="00E2042B">
            <w:pPr>
              <w:rPr>
                <w:sz w:val="20"/>
              </w:rPr>
            </w:pPr>
            <w:r w:rsidRPr="0058465A">
              <w:rPr>
                <w:rFonts w:eastAsiaTheme="minorEastAsia"/>
                <w:sz w:val="20"/>
                <w:szCs w:val="20"/>
                <w:lang w:eastAsia="ja-JP"/>
              </w:rPr>
              <w:t xml:space="preserve">11ax editor, please see the discussion for instructions of CID </w:t>
            </w:r>
            <w:r>
              <w:rPr>
                <w:rFonts w:eastAsiaTheme="minorEastAsia"/>
                <w:sz w:val="20"/>
                <w:szCs w:val="20"/>
                <w:lang w:eastAsia="ja-JP"/>
              </w:rPr>
              <w:t>2</w:t>
            </w:r>
            <w:r w:rsidR="00D576A7">
              <w:rPr>
                <w:rFonts w:eastAsiaTheme="minorEastAsia"/>
                <w:sz w:val="20"/>
                <w:szCs w:val="20"/>
                <w:lang w:eastAsia="ja-JP"/>
              </w:rPr>
              <w:t>0738</w:t>
            </w:r>
            <w:r w:rsidRPr="0058465A">
              <w:rPr>
                <w:rFonts w:eastAsiaTheme="minorEastAsia"/>
                <w:sz w:val="20"/>
                <w:szCs w:val="20"/>
                <w:lang w:eastAsia="ja-JP"/>
              </w:rPr>
              <w:t xml:space="preserve"> </w:t>
            </w:r>
            <w:r w:rsidRPr="0058465A">
              <w:rPr>
                <w:sz w:val="20"/>
                <w:szCs w:val="20"/>
              </w:rPr>
              <w:t xml:space="preserve">in doc </w:t>
            </w:r>
            <w:r w:rsidRPr="0058465A">
              <w:t>IEEE</w:t>
            </w:r>
            <w:r w:rsidRPr="0058465A">
              <w:rPr>
                <w:sz w:val="20"/>
                <w:szCs w:val="20"/>
              </w:rPr>
              <w:t xml:space="preserve"> 802.11-1</w:t>
            </w:r>
            <w:r>
              <w:rPr>
                <w:sz w:val="20"/>
                <w:szCs w:val="20"/>
              </w:rPr>
              <w:t>9</w:t>
            </w:r>
            <w:r w:rsidRPr="0058465A">
              <w:rPr>
                <w:sz w:val="20"/>
                <w:szCs w:val="20"/>
              </w:rPr>
              <w:t>/</w:t>
            </w:r>
            <w:r w:rsidR="00E2042B">
              <w:rPr>
                <w:sz w:val="20"/>
                <w:szCs w:val="20"/>
              </w:rPr>
              <w:t>1127</w:t>
            </w:r>
            <w:r>
              <w:rPr>
                <w:sz w:val="20"/>
                <w:szCs w:val="20"/>
              </w:rPr>
              <w:t>r0</w:t>
            </w:r>
            <w:r w:rsidRPr="0058465A">
              <w:rPr>
                <w:sz w:val="20"/>
                <w:szCs w:val="20"/>
              </w:rPr>
              <w:t>.</w:t>
            </w:r>
          </w:p>
        </w:tc>
      </w:tr>
    </w:tbl>
    <w:p w:rsidR="00F14C8B" w:rsidRDefault="00F14C8B" w:rsidP="00F14C8B">
      <w:pPr>
        <w:rPr>
          <w:b/>
          <w:u w:val="single"/>
        </w:rPr>
      </w:pPr>
    </w:p>
    <w:p w:rsidR="00F14C8B" w:rsidRDefault="00F14C8B" w:rsidP="00F14C8B">
      <w:pPr>
        <w:rPr>
          <w:b/>
          <w:u w:val="single"/>
        </w:rPr>
      </w:pPr>
      <w:r w:rsidRPr="00C5453A">
        <w:rPr>
          <w:b/>
          <w:u w:val="single"/>
        </w:rPr>
        <w:t xml:space="preserve">Discussions for CID </w:t>
      </w:r>
      <w:r w:rsidR="00FE3D2D">
        <w:rPr>
          <w:b/>
          <w:bCs/>
          <w:u w:val="single"/>
        </w:rPr>
        <w:t>386</w:t>
      </w:r>
      <w:r w:rsidRPr="00C5453A">
        <w:rPr>
          <w:b/>
          <w:u w:val="single"/>
        </w:rPr>
        <w:t>:</w:t>
      </w:r>
    </w:p>
    <w:p w:rsidR="00F14C8B" w:rsidRDefault="00F14C8B" w:rsidP="00F14C8B">
      <w:pPr>
        <w:spacing w:after="160" w:line="259" w:lineRule="auto"/>
        <w:rPr>
          <w:b/>
          <w:i/>
          <w:color w:val="000000" w:themeColor="text1"/>
          <w:sz w:val="20"/>
          <w:highlight w:val="yellow"/>
        </w:rPr>
      </w:pPr>
    </w:p>
    <w:p w:rsidR="00DA3C41" w:rsidRDefault="00DA3C41" w:rsidP="00DA3C4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C876B9">
        <w:rPr>
          <w:b/>
          <w:i/>
          <w:color w:val="000000" w:themeColor="text1"/>
          <w:sz w:val="20"/>
          <w:highlight w:val="yellow"/>
        </w:rPr>
        <w:t>12</w:t>
      </w:r>
      <w:r>
        <w:rPr>
          <w:b/>
          <w:i/>
          <w:color w:val="000000" w:themeColor="text1"/>
          <w:sz w:val="20"/>
          <w:highlight w:val="yellow"/>
        </w:rPr>
        <w:t>-</w:t>
      </w:r>
      <w:r w:rsidR="00C876B9">
        <w:rPr>
          <w:b/>
          <w:i/>
          <w:color w:val="000000" w:themeColor="text1"/>
          <w:sz w:val="20"/>
          <w:highlight w:val="yellow"/>
        </w:rPr>
        <w:t>14, page 552</w:t>
      </w:r>
      <w:r>
        <w:rPr>
          <w:b/>
          <w:i/>
          <w:color w:val="000000" w:themeColor="text1"/>
          <w:sz w:val="20"/>
          <w:highlight w:val="yellow"/>
        </w:rPr>
        <w:t xml:space="preserve"> </w:t>
      </w:r>
      <w:r w:rsidRPr="007F7AE1">
        <w:rPr>
          <w:b/>
          <w:i/>
          <w:color w:val="000000" w:themeColor="text1"/>
          <w:sz w:val="20"/>
          <w:highlight w:val="yellow"/>
        </w:rPr>
        <w:t>of D</w:t>
      </w:r>
      <w:r w:rsidR="00C876B9">
        <w:rPr>
          <w:b/>
          <w:i/>
          <w:color w:val="000000" w:themeColor="text1"/>
          <w:sz w:val="20"/>
          <w:highlight w:val="yellow"/>
        </w:rPr>
        <w:t>5</w:t>
      </w:r>
      <w:r w:rsidRPr="007F7AE1">
        <w:rPr>
          <w:b/>
          <w:i/>
          <w:color w:val="000000" w:themeColor="text1"/>
          <w:sz w:val="20"/>
          <w:highlight w:val="yellow"/>
        </w:rPr>
        <w:t>.</w:t>
      </w:r>
      <w:r w:rsidR="00C876B9">
        <w:rPr>
          <w:b/>
          <w:i/>
          <w:color w:val="000000" w:themeColor="text1"/>
          <w:sz w:val="20"/>
          <w:highlight w:val="yellow"/>
        </w:rPr>
        <w:t>1</w:t>
      </w:r>
      <w:r w:rsidRPr="007F7AE1">
        <w:rPr>
          <w:color w:val="000000" w:themeColor="text1"/>
          <w:sz w:val="20"/>
          <w:highlight w:val="yellow"/>
        </w:rPr>
        <w:t>:</w:t>
      </w:r>
    </w:p>
    <w:p w:rsidR="00DA3C41" w:rsidRDefault="00DA3C41" w:rsidP="00DA3C41">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spacing w:after="160" w:line="259" w:lineRule="auto"/>
        <w:rPr>
          <w:b/>
          <w:i/>
          <w:color w:val="000000" w:themeColor="text1"/>
          <w:sz w:val="20"/>
          <w:highlight w:val="yellow"/>
        </w:rPr>
      </w:pPr>
    </w:p>
    <w:p w:rsidR="00F14C8B" w:rsidRDefault="00F14C8B" w:rsidP="00F14C8B">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change</w:t>
      </w:r>
      <w:r>
        <w:rPr>
          <w:b/>
          <w:i/>
          <w:color w:val="000000" w:themeColor="text1"/>
          <w:sz w:val="20"/>
          <w:highlight w:val="yellow"/>
        </w:rPr>
        <w:t>s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093529">
        <w:rPr>
          <w:b/>
          <w:i/>
          <w:color w:val="000000" w:themeColor="text1"/>
          <w:sz w:val="20"/>
          <w:highlight w:val="yellow"/>
        </w:rPr>
        <w:t>21</w:t>
      </w:r>
      <w:r w:rsidR="00893713">
        <w:rPr>
          <w:b/>
          <w:i/>
          <w:color w:val="000000" w:themeColor="text1"/>
          <w:sz w:val="20"/>
          <w:highlight w:val="yellow"/>
        </w:rPr>
        <w:t>-</w:t>
      </w:r>
      <w:r w:rsidR="00093529">
        <w:rPr>
          <w:b/>
          <w:i/>
          <w:color w:val="000000" w:themeColor="text1"/>
          <w:sz w:val="20"/>
          <w:highlight w:val="yellow"/>
        </w:rPr>
        <w:t>22</w:t>
      </w:r>
      <w:r>
        <w:rPr>
          <w:b/>
          <w:i/>
          <w:color w:val="000000" w:themeColor="text1"/>
          <w:sz w:val="20"/>
          <w:highlight w:val="yellow"/>
        </w:rPr>
        <w:t>, page 5</w:t>
      </w:r>
      <w:r w:rsidR="00093529">
        <w:rPr>
          <w:b/>
          <w:i/>
          <w:color w:val="000000" w:themeColor="text1"/>
          <w:sz w:val="20"/>
          <w:highlight w:val="yellow"/>
        </w:rPr>
        <w:t>4</w:t>
      </w:r>
      <w:r w:rsidR="00893713">
        <w:rPr>
          <w:b/>
          <w:i/>
          <w:color w:val="000000" w:themeColor="text1"/>
          <w:sz w:val="20"/>
          <w:highlight w:val="yellow"/>
        </w:rPr>
        <w:t>8</w:t>
      </w:r>
      <w:r>
        <w:rPr>
          <w:b/>
          <w:i/>
          <w:color w:val="000000" w:themeColor="text1"/>
          <w:sz w:val="20"/>
          <w:highlight w:val="yellow"/>
        </w:rPr>
        <w:t xml:space="preserve"> </w:t>
      </w:r>
      <w:r w:rsidRPr="007F7AE1">
        <w:rPr>
          <w:b/>
          <w:i/>
          <w:color w:val="000000" w:themeColor="text1"/>
          <w:sz w:val="20"/>
          <w:highlight w:val="yellow"/>
        </w:rPr>
        <w:t>of D</w:t>
      </w:r>
      <w:r w:rsidR="00093529">
        <w:rPr>
          <w:b/>
          <w:i/>
          <w:color w:val="000000" w:themeColor="text1"/>
          <w:sz w:val="20"/>
          <w:highlight w:val="yellow"/>
        </w:rPr>
        <w:t>5</w:t>
      </w:r>
      <w:r w:rsidRPr="007F7AE1">
        <w:rPr>
          <w:b/>
          <w:i/>
          <w:color w:val="000000" w:themeColor="text1"/>
          <w:sz w:val="20"/>
          <w:highlight w:val="yellow"/>
        </w:rPr>
        <w:t>.</w:t>
      </w:r>
      <w:r w:rsidR="00093529">
        <w:rPr>
          <w:b/>
          <w:i/>
          <w:color w:val="000000" w:themeColor="text1"/>
          <w:sz w:val="20"/>
          <w:highlight w:val="yellow"/>
        </w:rPr>
        <w:t>1</w:t>
      </w:r>
      <w:r w:rsidRPr="007F7AE1">
        <w:rPr>
          <w:color w:val="000000" w:themeColor="text1"/>
          <w:sz w:val="20"/>
          <w:highlight w:val="yellow"/>
        </w:rPr>
        <w:t>:</w:t>
      </w:r>
    </w:p>
    <w:p w:rsidR="00DA3C41" w:rsidRDefault="00893713" w:rsidP="00F14C8B">
      <w:pPr>
        <w:rPr>
          <w:rFonts w:ascii="Arial" w:hAnsi="Arial" w:cs="Arial"/>
          <w:color w:val="FF0000"/>
          <w:sz w:val="20"/>
          <w:szCs w:val="20"/>
        </w:rPr>
      </w:pPr>
      <w:r w:rsidRPr="00893713">
        <w:rPr>
          <w:sz w:val="22"/>
          <w:szCs w:val="22"/>
        </w:rPr>
        <w:t xml:space="preserve">Indicates whether the PPDU is sent UL or DL. </w:t>
      </w:r>
      <w:r w:rsidRPr="00893713">
        <w:rPr>
          <w:strike/>
          <w:color w:val="FF0000"/>
          <w:sz w:val="22"/>
          <w:szCs w:val="22"/>
        </w:rPr>
        <w:t>Set to the value indicated by the TXVECTOR parameter UPLINK_FLAG.</w:t>
      </w:r>
      <w:r w:rsidRPr="00893713">
        <w:rPr>
          <w:color w:val="FF0000"/>
          <w:sz w:val="22"/>
          <w:szCs w:val="22"/>
        </w:rPr>
        <w:t xml:space="preserve"> </w:t>
      </w:r>
      <w:r w:rsidR="00DA3C41" w:rsidRPr="00DA3C41">
        <w:rPr>
          <w:rFonts w:ascii="Arial" w:hAnsi="Arial" w:cs="Arial"/>
          <w:color w:val="FF0000"/>
          <w:sz w:val="20"/>
          <w:szCs w:val="20"/>
        </w:rPr>
        <w:t>Set to 1 if the PPDU is addressed to an AP.  Set to 0 otherwise.  See the TXVECTOR parameter UPLINK_FLAG."</w:t>
      </w:r>
    </w:p>
    <w:p w:rsidR="00DA3C41" w:rsidRDefault="00DA3C41" w:rsidP="00F14C8B">
      <w:pPr>
        <w:rPr>
          <w:rFonts w:ascii="Arial" w:hAnsi="Arial" w:cs="Arial"/>
          <w:color w:val="FF0000"/>
          <w:sz w:val="20"/>
          <w:szCs w:val="20"/>
        </w:rPr>
      </w:pPr>
    </w:p>
    <w:p w:rsidR="00B870B8" w:rsidRPr="00893713" w:rsidRDefault="00F14C8B" w:rsidP="00F14C8B">
      <w:pPr>
        <w:rPr>
          <w:b/>
          <w:i/>
          <w:strike/>
          <w:color w:val="FF0000"/>
          <w:sz w:val="22"/>
          <w:szCs w:val="22"/>
          <w:highlight w:val="yellow"/>
        </w:rPr>
      </w:pPr>
      <w:r w:rsidRPr="00893713">
        <w:rPr>
          <w:b/>
          <w:i/>
          <w:strike/>
          <w:color w:val="FF0000"/>
          <w:sz w:val="22"/>
          <w:szCs w:val="22"/>
          <w:highlight w:val="yellow"/>
        </w:rPr>
        <w:br w:type="page"/>
      </w:r>
    </w:p>
    <w:tbl>
      <w:tblPr>
        <w:tblStyle w:val="TableGrid"/>
        <w:tblW w:w="0" w:type="auto"/>
        <w:tblLook w:val="04A0" w:firstRow="1" w:lastRow="0" w:firstColumn="1" w:lastColumn="0" w:noHBand="0" w:noVBand="1"/>
      </w:tblPr>
      <w:tblGrid>
        <w:gridCol w:w="956"/>
        <w:gridCol w:w="1217"/>
        <w:gridCol w:w="873"/>
        <w:gridCol w:w="786"/>
        <w:gridCol w:w="2659"/>
        <w:gridCol w:w="1917"/>
        <w:gridCol w:w="1662"/>
      </w:tblGrid>
      <w:tr w:rsidR="00C70A0E" w:rsidTr="00F05296">
        <w:trPr>
          <w:trHeight w:val="485"/>
        </w:trPr>
        <w:tc>
          <w:tcPr>
            <w:tcW w:w="956" w:type="dxa"/>
          </w:tcPr>
          <w:p w:rsidR="00B870B8" w:rsidRDefault="00B870B8" w:rsidP="003D077E">
            <w:pPr>
              <w:rPr>
                <w:rFonts w:ascii="Arial" w:hAnsi="Arial" w:cs="Arial"/>
                <w:b/>
                <w:bCs/>
                <w:sz w:val="20"/>
              </w:rPr>
            </w:pPr>
            <w:r>
              <w:rPr>
                <w:rFonts w:ascii="Arial" w:hAnsi="Arial" w:cs="Arial"/>
                <w:b/>
                <w:bCs/>
                <w:sz w:val="20"/>
              </w:rPr>
              <w:lastRenderedPageBreak/>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C70A0E" w:rsidTr="00F05296">
        <w:tc>
          <w:tcPr>
            <w:tcW w:w="956" w:type="dxa"/>
          </w:tcPr>
          <w:p w:rsidR="00B870B8" w:rsidRDefault="00F05296" w:rsidP="00CE134A">
            <w:pPr>
              <w:rPr>
                <w:rFonts w:ascii="Arial" w:hAnsi="Arial" w:cs="Arial"/>
                <w:sz w:val="20"/>
                <w:szCs w:val="20"/>
              </w:rPr>
            </w:pPr>
            <w:r>
              <w:rPr>
                <w:rFonts w:ascii="Arial" w:hAnsi="Arial" w:cs="Arial"/>
                <w:sz w:val="20"/>
                <w:szCs w:val="20"/>
              </w:rPr>
              <w:t>387</w:t>
            </w:r>
          </w:p>
        </w:tc>
        <w:tc>
          <w:tcPr>
            <w:tcW w:w="1217" w:type="dxa"/>
          </w:tcPr>
          <w:p w:rsidR="00B870B8" w:rsidRDefault="00B870B8" w:rsidP="003D077E">
            <w:pPr>
              <w:rPr>
                <w:rFonts w:ascii="Arial" w:hAnsi="Arial" w:cs="Arial"/>
                <w:sz w:val="20"/>
                <w:szCs w:val="20"/>
              </w:rPr>
            </w:pPr>
            <w:r>
              <w:rPr>
                <w:rFonts w:ascii="Arial" w:hAnsi="Arial" w:cs="Arial"/>
                <w:sz w:val="20"/>
                <w:szCs w:val="20"/>
              </w:rPr>
              <w:t>27.3.10.7.2</w:t>
            </w:r>
          </w:p>
          <w:p w:rsidR="00B870B8" w:rsidRPr="00833A33" w:rsidRDefault="00B870B8" w:rsidP="003D077E">
            <w:pPr>
              <w:rPr>
                <w:sz w:val="20"/>
                <w:highlight w:val="yellow"/>
              </w:rPr>
            </w:pPr>
          </w:p>
        </w:tc>
        <w:tc>
          <w:tcPr>
            <w:tcW w:w="873" w:type="dxa"/>
          </w:tcPr>
          <w:p w:rsidR="00B870B8" w:rsidRPr="00833A33" w:rsidRDefault="00B870B8" w:rsidP="00C3032C">
            <w:pPr>
              <w:rPr>
                <w:sz w:val="20"/>
                <w:highlight w:val="yellow"/>
              </w:rPr>
            </w:pPr>
          </w:p>
        </w:tc>
        <w:tc>
          <w:tcPr>
            <w:tcW w:w="786" w:type="dxa"/>
          </w:tcPr>
          <w:p w:rsidR="00B870B8" w:rsidRPr="00833A33" w:rsidRDefault="00B870B8" w:rsidP="003D077E">
            <w:pPr>
              <w:rPr>
                <w:sz w:val="20"/>
              </w:rPr>
            </w:pPr>
          </w:p>
        </w:tc>
        <w:tc>
          <w:tcPr>
            <w:tcW w:w="2659" w:type="dxa"/>
          </w:tcPr>
          <w:p w:rsidR="00F05296" w:rsidRDefault="00F05296" w:rsidP="00F05296">
            <w:pPr>
              <w:rPr>
                <w:rFonts w:ascii="Arial" w:hAnsi="Arial" w:cs="Arial"/>
                <w:sz w:val="20"/>
                <w:szCs w:val="20"/>
                <w:lang w:eastAsia="en-US"/>
              </w:rPr>
            </w:pPr>
            <w:r>
              <w:rPr>
                <w:rFonts w:ascii="Arial" w:hAnsi="Arial" w:cs="Arial"/>
                <w:sz w:val="20"/>
                <w:szCs w:val="20"/>
              </w:rPr>
              <w:t xml:space="preserve">CID 20728/20729/20730.  </w:t>
            </w:r>
            <w:proofErr w:type="gramStart"/>
            <w:r>
              <w:rPr>
                <w:rFonts w:ascii="Arial" w:hAnsi="Arial" w:cs="Arial"/>
                <w:sz w:val="20"/>
                <w:szCs w:val="20"/>
              </w:rPr>
              <w:t>The HE</w:t>
            </w:r>
            <w:proofErr w:type="gramEnd"/>
            <w:r>
              <w:rPr>
                <w:rFonts w:ascii="Arial" w:hAnsi="Arial" w:cs="Arial"/>
                <w:sz w:val="20"/>
                <w:szCs w:val="20"/>
              </w:rPr>
              <w:t>-SIG field content tables should not be in terms of what the TXVECTOR was set to at the transmitter, since this is invisible and irrelevant to the receiver.  What matters is that each possible field value means</w:t>
            </w:r>
          </w:p>
          <w:p w:rsidR="00B870B8" w:rsidRDefault="00B870B8" w:rsidP="00CE134A">
            <w:pPr>
              <w:rPr>
                <w:rFonts w:ascii="Arial" w:hAnsi="Arial" w:cs="Arial"/>
                <w:sz w:val="20"/>
                <w:szCs w:val="20"/>
              </w:rPr>
            </w:pPr>
          </w:p>
        </w:tc>
        <w:tc>
          <w:tcPr>
            <w:tcW w:w="1917" w:type="dxa"/>
          </w:tcPr>
          <w:p w:rsidR="00F05296" w:rsidRDefault="00F05296" w:rsidP="00F05296">
            <w:pPr>
              <w:rPr>
                <w:rFonts w:ascii="Arial" w:hAnsi="Arial" w:cs="Arial"/>
                <w:sz w:val="20"/>
                <w:szCs w:val="20"/>
                <w:lang w:eastAsia="en-US"/>
              </w:rPr>
            </w:pPr>
            <w:r>
              <w:rPr>
                <w:rFonts w:ascii="Arial" w:hAnsi="Arial" w:cs="Arial"/>
                <w:sz w:val="20"/>
                <w:szCs w:val="20"/>
              </w:rPr>
              <w:t>Remove the references to TXVECTOR parameters from the HE-SIG field content tables (or only have them as a "see").  Instead describe what the meaning of each allowed field value is (e.g. UL/DL for MU PPDU is 1 if addressed to AP and 0 otherwise; "Set to 127 to indicate no duration information if</w:t>
            </w:r>
            <w:r>
              <w:rPr>
                <w:rFonts w:ascii="Arial" w:hAnsi="Arial" w:cs="Arial"/>
                <w:sz w:val="20"/>
                <w:szCs w:val="20"/>
              </w:rPr>
              <w:br/>
              <w:t xml:space="preserve">TXVECTOR parameter TXOP_DURATION </w:t>
            </w:r>
            <w:proofErr w:type="gramStart"/>
            <w:r>
              <w:rPr>
                <w:rFonts w:ascii="Arial" w:hAnsi="Arial" w:cs="Arial"/>
                <w:sz w:val="20"/>
                <w:szCs w:val="20"/>
              </w:rPr>
              <w:t>is</w:t>
            </w:r>
            <w:proofErr w:type="gramEnd"/>
            <w:r>
              <w:rPr>
                <w:rFonts w:ascii="Arial" w:hAnsi="Arial" w:cs="Arial"/>
                <w:sz w:val="20"/>
                <w:szCs w:val="20"/>
              </w:rPr>
              <w:br/>
              <w:t>[set to] UNSPECIFIED." -&gt; "Set to 127 to indicate no duration information."</w:t>
            </w:r>
          </w:p>
          <w:p w:rsidR="00B870B8" w:rsidRPr="008837B5" w:rsidRDefault="00B870B8" w:rsidP="00CE134A">
            <w:pPr>
              <w:rPr>
                <w:sz w:val="20"/>
              </w:rPr>
            </w:pPr>
          </w:p>
        </w:tc>
        <w:tc>
          <w:tcPr>
            <w:tcW w:w="1662" w:type="dxa"/>
          </w:tcPr>
          <w:p w:rsidR="005C3EEA" w:rsidRDefault="005C3EEA" w:rsidP="003D077E">
            <w:pPr>
              <w:rPr>
                <w:sz w:val="20"/>
              </w:rPr>
            </w:pPr>
            <w:r>
              <w:rPr>
                <w:sz w:val="20"/>
              </w:rPr>
              <w:t>Rejected:</w:t>
            </w:r>
          </w:p>
          <w:p w:rsidR="00F05296" w:rsidRDefault="00F05296" w:rsidP="003D077E">
            <w:pPr>
              <w:rPr>
                <w:sz w:val="20"/>
              </w:rPr>
            </w:pPr>
          </w:p>
          <w:p w:rsidR="00F05296" w:rsidRDefault="00F05296" w:rsidP="003D077E">
            <w:pPr>
              <w:rPr>
                <w:sz w:val="20"/>
              </w:rPr>
            </w:pPr>
            <w:r>
              <w:rPr>
                <w:sz w:val="20"/>
              </w:rPr>
              <w:t xml:space="preserve">CID20728 has been resolved in previous comment resolution. </w:t>
            </w:r>
          </w:p>
          <w:p w:rsidR="00F05296" w:rsidRDefault="00F05296" w:rsidP="003D077E">
            <w:pPr>
              <w:rPr>
                <w:sz w:val="20"/>
              </w:rPr>
            </w:pPr>
          </w:p>
          <w:p w:rsidR="00B870B8" w:rsidRDefault="00F05296" w:rsidP="003D077E">
            <w:pPr>
              <w:rPr>
                <w:sz w:val="20"/>
              </w:rPr>
            </w:pPr>
            <w:r>
              <w:rPr>
                <w:sz w:val="20"/>
              </w:rPr>
              <w:t xml:space="preserve">CID20729 had been </w:t>
            </w:r>
            <w:r w:rsidR="00CF6309">
              <w:rPr>
                <w:sz w:val="20"/>
              </w:rPr>
              <w:t>resolved in draft D4.2.</w:t>
            </w:r>
          </w:p>
          <w:p w:rsidR="009172AA" w:rsidRDefault="009172AA" w:rsidP="003D077E">
            <w:pPr>
              <w:rPr>
                <w:sz w:val="20"/>
              </w:rPr>
            </w:pPr>
          </w:p>
          <w:p w:rsidR="00F05296" w:rsidRDefault="00F05296" w:rsidP="00F05296">
            <w:pPr>
              <w:rPr>
                <w:sz w:val="20"/>
              </w:rPr>
            </w:pPr>
            <w:r>
              <w:rPr>
                <w:sz w:val="20"/>
              </w:rPr>
              <w:t xml:space="preserve">CID20730: </w:t>
            </w:r>
          </w:p>
          <w:p w:rsidR="00F05296" w:rsidRDefault="00F05296" w:rsidP="00F05296">
            <w:pPr>
              <w:rPr>
                <w:sz w:val="20"/>
              </w:rPr>
            </w:pPr>
            <w:r>
              <w:rPr>
                <w:sz w:val="20"/>
              </w:rPr>
              <w:t xml:space="preserve">For UL/DL, </w:t>
            </w:r>
            <w:proofErr w:type="spellStart"/>
            <w:r>
              <w:rPr>
                <w:rFonts w:ascii="Arial" w:hAnsi="Arial" w:cs="Arial"/>
                <w:sz w:val="20"/>
                <w:szCs w:val="20"/>
              </w:rPr>
              <w:t>Midamble</w:t>
            </w:r>
            <w:proofErr w:type="spellEnd"/>
            <w:r>
              <w:rPr>
                <w:rFonts w:ascii="Arial" w:hAnsi="Arial" w:cs="Arial"/>
                <w:sz w:val="20"/>
                <w:szCs w:val="20"/>
              </w:rPr>
              <w:t xml:space="preserve">, Periodicity, and TXOP, they are </w:t>
            </w:r>
            <w:r>
              <w:rPr>
                <w:sz w:val="20"/>
              </w:rPr>
              <w:t>already fixed in resolutions for comments 20727, 20728 and 20729.</w:t>
            </w:r>
          </w:p>
          <w:p w:rsidR="00F05296" w:rsidRDefault="00F05296" w:rsidP="00F05296">
            <w:pPr>
              <w:rPr>
                <w:sz w:val="20"/>
              </w:rPr>
            </w:pPr>
          </w:p>
          <w:p w:rsidR="00F05296" w:rsidRDefault="00F05296" w:rsidP="00F05296">
            <w:pPr>
              <w:rPr>
                <w:sz w:val="20"/>
              </w:rPr>
            </w:pPr>
            <w:r>
              <w:rPr>
                <w:sz w:val="20"/>
              </w:rPr>
              <w:t xml:space="preserve">For BSS color, it is a very long description that described in details in </w:t>
            </w:r>
            <w:proofErr w:type="spellStart"/>
            <w:r>
              <w:rPr>
                <w:sz w:val="20"/>
              </w:rPr>
              <w:t>Txvector</w:t>
            </w:r>
            <w:proofErr w:type="spellEnd"/>
            <w:r>
              <w:rPr>
                <w:sz w:val="20"/>
              </w:rPr>
              <w:t xml:space="preserve">. </w:t>
            </w:r>
          </w:p>
          <w:p w:rsidR="009172AA" w:rsidRPr="008837B5" w:rsidRDefault="009172AA" w:rsidP="003D077E">
            <w:pPr>
              <w:rPr>
                <w:sz w:val="20"/>
              </w:rPr>
            </w:pPr>
          </w:p>
        </w:tc>
      </w:tr>
      <w:tr w:rsidR="009F09CC" w:rsidTr="00F05296">
        <w:tc>
          <w:tcPr>
            <w:tcW w:w="956" w:type="dxa"/>
          </w:tcPr>
          <w:p w:rsidR="009F09CC" w:rsidRDefault="009F09CC" w:rsidP="009F09CC">
            <w:pPr>
              <w:rPr>
                <w:rFonts w:ascii="Arial" w:hAnsi="Arial" w:cs="Arial"/>
                <w:sz w:val="20"/>
                <w:szCs w:val="20"/>
              </w:rPr>
            </w:pPr>
            <w:r>
              <w:rPr>
                <w:rFonts w:ascii="Arial" w:hAnsi="Arial" w:cs="Arial"/>
                <w:sz w:val="20"/>
                <w:szCs w:val="20"/>
              </w:rPr>
              <w:t>413</w:t>
            </w:r>
          </w:p>
          <w:p w:rsidR="009F09CC" w:rsidRPr="00833A33" w:rsidRDefault="009F09CC" w:rsidP="009F09CC">
            <w:pPr>
              <w:rPr>
                <w:sz w:val="20"/>
                <w:highlight w:val="yellow"/>
              </w:rPr>
            </w:pPr>
          </w:p>
        </w:tc>
        <w:tc>
          <w:tcPr>
            <w:tcW w:w="1217" w:type="dxa"/>
          </w:tcPr>
          <w:p w:rsidR="009F09CC" w:rsidRDefault="009F09CC" w:rsidP="009F09CC">
            <w:pPr>
              <w:rPr>
                <w:rFonts w:ascii="Arial" w:hAnsi="Arial" w:cs="Arial"/>
                <w:sz w:val="20"/>
                <w:szCs w:val="20"/>
              </w:rPr>
            </w:pPr>
            <w:r>
              <w:rPr>
                <w:rFonts w:ascii="Arial" w:hAnsi="Arial" w:cs="Arial"/>
                <w:sz w:val="20"/>
                <w:szCs w:val="20"/>
              </w:rPr>
              <w:t>27.3.10.7.2</w:t>
            </w:r>
          </w:p>
          <w:p w:rsidR="009F09CC" w:rsidRPr="00833A33" w:rsidRDefault="009F09CC" w:rsidP="009F09CC">
            <w:pPr>
              <w:rPr>
                <w:sz w:val="20"/>
                <w:highlight w:val="yellow"/>
              </w:rPr>
            </w:pPr>
          </w:p>
        </w:tc>
        <w:tc>
          <w:tcPr>
            <w:tcW w:w="873" w:type="dxa"/>
          </w:tcPr>
          <w:p w:rsidR="009F09CC" w:rsidRPr="00833A33" w:rsidRDefault="009F09CC" w:rsidP="009F09CC">
            <w:pPr>
              <w:rPr>
                <w:sz w:val="20"/>
                <w:highlight w:val="yellow"/>
              </w:rPr>
            </w:pPr>
          </w:p>
        </w:tc>
        <w:tc>
          <w:tcPr>
            <w:tcW w:w="786" w:type="dxa"/>
          </w:tcPr>
          <w:p w:rsidR="009F09CC" w:rsidRPr="00833A33" w:rsidRDefault="009F09CC" w:rsidP="009F09CC">
            <w:pPr>
              <w:rPr>
                <w:sz w:val="20"/>
              </w:rPr>
            </w:pPr>
          </w:p>
        </w:tc>
        <w:tc>
          <w:tcPr>
            <w:tcW w:w="2659" w:type="dxa"/>
          </w:tcPr>
          <w:p w:rsidR="009F09CC" w:rsidRDefault="009F09CC" w:rsidP="009F09CC">
            <w:pPr>
              <w:rPr>
                <w:rFonts w:ascii="Arial" w:hAnsi="Arial" w:cs="Arial"/>
                <w:sz w:val="20"/>
                <w:szCs w:val="20"/>
                <w:lang w:eastAsia="en-US"/>
              </w:rPr>
            </w:pPr>
            <w:r>
              <w:rPr>
                <w:rFonts w:ascii="Arial" w:hAnsi="Arial" w:cs="Arial"/>
                <w:sz w:val="20"/>
                <w:szCs w:val="20"/>
              </w:rPr>
              <w:t>CID 20941.  Well, if per the resolution "In some of the text, "PPDU with DCM" means the DCM applied to HE-SIGB." then it's even worse!</w:t>
            </w:r>
          </w:p>
          <w:p w:rsidR="009F09CC" w:rsidRPr="00833A33" w:rsidRDefault="009F09CC" w:rsidP="009F09CC">
            <w:pPr>
              <w:rPr>
                <w:sz w:val="20"/>
                <w:highlight w:val="yellow"/>
              </w:rPr>
            </w:pPr>
          </w:p>
        </w:tc>
        <w:tc>
          <w:tcPr>
            <w:tcW w:w="1917" w:type="dxa"/>
          </w:tcPr>
          <w:p w:rsidR="009F09CC" w:rsidRDefault="009F09CC" w:rsidP="009F09CC">
            <w:pPr>
              <w:rPr>
                <w:rFonts w:ascii="Arial" w:hAnsi="Arial" w:cs="Arial"/>
                <w:sz w:val="20"/>
                <w:szCs w:val="20"/>
                <w:lang w:eastAsia="en-US"/>
              </w:rPr>
            </w:pPr>
            <w:r>
              <w:rPr>
                <w:rFonts w:ascii="Arial" w:hAnsi="Arial" w:cs="Arial"/>
                <w:sz w:val="20"/>
                <w:szCs w:val="20"/>
              </w:rPr>
              <w:t>Change "HE PPDU with DCM" to "HE PPDU with DCM applied to the HE-SIG-B</w:t>
            </w:r>
            <w:r>
              <w:rPr>
                <w:rFonts w:ascii="Arial" w:hAnsi="Arial" w:cs="Arial"/>
                <w:sz w:val="20"/>
                <w:szCs w:val="20"/>
              </w:rPr>
              <w:t xml:space="preserve"> and/or Data field" throughout the spec.</w:t>
            </w:r>
          </w:p>
          <w:p w:rsidR="009F09CC" w:rsidRDefault="009F09CC" w:rsidP="009F09CC">
            <w:pPr>
              <w:rPr>
                <w:rFonts w:ascii="Arial" w:hAnsi="Arial" w:cs="Arial"/>
                <w:sz w:val="20"/>
                <w:szCs w:val="20"/>
              </w:rPr>
            </w:pPr>
          </w:p>
          <w:p w:rsidR="009F09CC" w:rsidRPr="00833A33" w:rsidRDefault="009F09CC" w:rsidP="009F09CC">
            <w:pPr>
              <w:rPr>
                <w:sz w:val="20"/>
                <w:highlight w:val="yellow"/>
              </w:rPr>
            </w:pPr>
          </w:p>
        </w:tc>
        <w:tc>
          <w:tcPr>
            <w:tcW w:w="1662" w:type="dxa"/>
          </w:tcPr>
          <w:p w:rsidR="009F09CC" w:rsidRPr="008837B5" w:rsidRDefault="009F09CC" w:rsidP="009F09CC">
            <w:pPr>
              <w:rPr>
                <w:sz w:val="20"/>
              </w:rPr>
            </w:pPr>
            <w:r w:rsidRPr="008837B5">
              <w:rPr>
                <w:sz w:val="20"/>
              </w:rPr>
              <w:t>Accepted</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3A6429" w:rsidTr="00DC60D6">
        <w:tc>
          <w:tcPr>
            <w:tcW w:w="975" w:type="dxa"/>
          </w:tcPr>
          <w:p w:rsidR="003A6429" w:rsidRDefault="00F05296" w:rsidP="009F09CC">
            <w:pPr>
              <w:rPr>
                <w:rFonts w:ascii="Arial" w:hAnsi="Arial" w:cs="Arial"/>
                <w:sz w:val="20"/>
                <w:szCs w:val="20"/>
              </w:rPr>
            </w:pPr>
            <w:r>
              <w:rPr>
                <w:rFonts w:ascii="Arial" w:hAnsi="Arial" w:cs="Arial"/>
                <w:sz w:val="20"/>
                <w:szCs w:val="20"/>
              </w:rPr>
              <w:t>41</w:t>
            </w:r>
            <w:r w:rsidR="009F09CC">
              <w:rPr>
                <w:rFonts w:ascii="Arial" w:hAnsi="Arial" w:cs="Arial"/>
                <w:sz w:val="20"/>
                <w:szCs w:val="20"/>
              </w:rPr>
              <w:t xml:space="preserve">1 </w:t>
            </w:r>
          </w:p>
        </w:tc>
        <w:tc>
          <w:tcPr>
            <w:tcW w:w="1217" w:type="dxa"/>
          </w:tcPr>
          <w:p w:rsidR="00B64A53" w:rsidRDefault="00B64A53" w:rsidP="00B64A53">
            <w:pPr>
              <w:rPr>
                <w:rFonts w:ascii="Arial" w:hAnsi="Arial" w:cs="Arial"/>
                <w:sz w:val="20"/>
                <w:szCs w:val="20"/>
              </w:rPr>
            </w:pPr>
            <w:r>
              <w:rPr>
                <w:rFonts w:ascii="Arial" w:hAnsi="Arial" w:cs="Arial"/>
                <w:sz w:val="20"/>
                <w:szCs w:val="20"/>
              </w:rPr>
              <w:t>27.3.10.7.2</w:t>
            </w:r>
          </w:p>
          <w:p w:rsidR="003A6429" w:rsidRPr="00833A33" w:rsidRDefault="003A6429" w:rsidP="003A6429">
            <w:pPr>
              <w:rPr>
                <w:sz w:val="20"/>
                <w:highlight w:val="yellow"/>
              </w:rPr>
            </w:pPr>
          </w:p>
        </w:tc>
        <w:tc>
          <w:tcPr>
            <w:tcW w:w="892" w:type="dxa"/>
          </w:tcPr>
          <w:p w:rsidR="003A6429" w:rsidRPr="00833A33" w:rsidRDefault="003A6429" w:rsidP="003A6429">
            <w:pPr>
              <w:rPr>
                <w:sz w:val="20"/>
                <w:highlight w:val="yellow"/>
              </w:rPr>
            </w:pPr>
          </w:p>
        </w:tc>
        <w:tc>
          <w:tcPr>
            <w:tcW w:w="803" w:type="dxa"/>
          </w:tcPr>
          <w:p w:rsidR="003A6429" w:rsidRPr="00833A33" w:rsidRDefault="003A6429"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Resolution asserts that the proposed not is "not necessary. The note does not add further clarifications.", but the NOTE does clarify the ambiguity identified in the comment, an ambiguity which is both in the resolution to CID 16139 and in the referenced definitions from Clause 3</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Default="003A6429"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Pr="008837B5" w:rsidRDefault="003A6429" w:rsidP="009F09CC">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266955" w:rsidRDefault="009F09CC" w:rsidP="00266955">
            <w:pPr>
              <w:rPr>
                <w:b/>
                <w:u w:val="single"/>
              </w:rPr>
            </w:pPr>
            <w:r>
              <w:rPr>
                <w:rFonts w:ascii="Arial" w:hAnsi="Arial" w:cs="Arial"/>
                <w:sz w:val="20"/>
                <w:szCs w:val="20"/>
              </w:rPr>
              <w:t xml:space="preserve">This CID has been resolved in </w:t>
            </w:r>
            <w:r w:rsidR="00473DDD">
              <w:rPr>
                <w:rFonts w:ascii="Arial" w:hAnsi="Arial" w:cs="Arial"/>
                <w:sz w:val="20"/>
                <w:szCs w:val="20"/>
              </w:rPr>
              <w:t>1127/r4</w:t>
            </w:r>
          </w:p>
          <w:p w:rsidR="00B3721E" w:rsidRPr="008837B5" w:rsidRDefault="00B3721E" w:rsidP="00B3721E">
            <w:pPr>
              <w:rPr>
                <w:sz w:val="20"/>
              </w:rPr>
            </w:pPr>
          </w:p>
        </w:tc>
      </w:tr>
      <w:tr w:rsidR="009F09CC" w:rsidTr="00DC60D6">
        <w:tc>
          <w:tcPr>
            <w:tcW w:w="975" w:type="dxa"/>
          </w:tcPr>
          <w:p w:rsidR="009F09CC" w:rsidRDefault="009F09CC" w:rsidP="009F09CC">
            <w:pPr>
              <w:rPr>
                <w:rFonts w:ascii="Arial" w:hAnsi="Arial" w:cs="Arial"/>
                <w:sz w:val="20"/>
                <w:szCs w:val="20"/>
              </w:rPr>
            </w:pPr>
            <w:r>
              <w:rPr>
                <w:rFonts w:ascii="Arial" w:hAnsi="Arial" w:cs="Arial"/>
                <w:sz w:val="20"/>
                <w:szCs w:val="20"/>
              </w:rPr>
              <w:t>412</w:t>
            </w:r>
          </w:p>
        </w:tc>
        <w:tc>
          <w:tcPr>
            <w:tcW w:w="1217" w:type="dxa"/>
          </w:tcPr>
          <w:p w:rsidR="009F09CC" w:rsidRDefault="009F09CC" w:rsidP="00B64A53">
            <w:pPr>
              <w:rPr>
                <w:rFonts w:ascii="Arial" w:hAnsi="Arial" w:cs="Arial"/>
                <w:sz w:val="20"/>
                <w:szCs w:val="20"/>
              </w:rPr>
            </w:pPr>
          </w:p>
        </w:tc>
        <w:tc>
          <w:tcPr>
            <w:tcW w:w="892" w:type="dxa"/>
          </w:tcPr>
          <w:p w:rsidR="009F09CC" w:rsidRPr="00833A33" w:rsidRDefault="009F09CC" w:rsidP="003A6429">
            <w:pPr>
              <w:rPr>
                <w:sz w:val="20"/>
                <w:highlight w:val="yellow"/>
              </w:rPr>
            </w:pPr>
          </w:p>
        </w:tc>
        <w:tc>
          <w:tcPr>
            <w:tcW w:w="803" w:type="dxa"/>
          </w:tcPr>
          <w:p w:rsidR="009F09CC" w:rsidRPr="00833A33" w:rsidRDefault="009F09CC" w:rsidP="003A6429">
            <w:pPr>
              <w:rPr>
                <w:sz w:val="20"/>
              </w:rPr>
            </w:pPr>
          </w:p>
        </w:tc>
        <w:tc>
          <w:tcPr>
            <w:tcW w:w="2723" w:type="dxa"/>
          </w:tcPr>
          <w:p w:rsidR="009F09CC" w:rsidRDefault="009F09CC" w:rsidP="009F09CC">
            <w:pPr>
              <w:rPr>
                <w:rFonts w:ascii="Arial" w:hAnsi="Arial" w:cs="Arial"/>
                <w:sz w:val="20"/>
                <w:szCs w:val="20"/>
                <w:lang w:eastAsia="en-US"/>
              </w:rPr>
            </w:pPr>
            <w:r>
              <w:rPr>
                <w:rFonts w:ascii="Arial" w:hAnsi="Arial" w:cs="Arial"/>
                <w:sz w:val="20"/>
                <w:szCs w:val="20"/>
              </w:rPr>
              <w:t>CID 20936.  The proposed change to Table 27-20--HE-SIG-A field of an HE MU PPDU has been ignored in the resolution</w:t>
            </w:r>
          </w:p>
          <w:p w:rsidR="009F09CC" w:rsidRDefault="009F09CC" w:rsidP="009F09CC">
            <w:pPr>
              <w:rPr>
                <w:rFonts w:ascii="Arial" w:hAnsi="Arial" w:cs="Arial"/>
                <w:sz w:val="20"/>
                <w:szCs w:val="20"/>
              </w:rPr>
            </w:pPr>
          </w:p>
        </w:tc>
        <w:tc>
          <w:tcPr>
            <w:tcW w:w="2029" w:type="dxa"/>
          </w:tcPr>
          <w:p w:rsidR="009F09CC" w:rsidRDefault="009F09CC" w:rsidP="009F09CC">
            <w:pPr>
              <w:rPr>
                <w:rFonts w:ascii="Arial" w:hAnsi="Arial" w:cs="Arial"/>
                <w:sz w:val="20"/>
                <w:szCs w:val="20"/>
                <w:lang w:eastAsia="en-US"/>
              </w:rPr>
            </w:pPr>
            <w:r>
              <w:rPr>
                <w:rFonts w:ascii="Arial" w:hAnsi="Arial" w:cs="Arial"/>
                <w:sz w:val="20"/>
                <w:szCs w:val="20"/>
              </w:rPr>
              <w:t>Make the changes proposed for CID 20936</w:t>
            </w:r>
          </w:p>
          <w:p w:rsidR="009F09CC" w:rsidRDefault="009F09CC" w:rsidP="003A6429">
            <w:pPr>
              <w:rPr>
                <w:rFonts w:ascii="Arial" w:hAnsi="Arial" w:cs="Arial"/>
                <w:sz w:val="20"/>
                <w:szCs w:val="20"/>
              </w:rPr>
            </w:pPr>
          </w:p>
        </w:tc>
        <w:tc>
          <w:tcPr>
            <w:tcW w:w="1431" w:type="dxa"/>
          </w:tcPr>
          <w:p w:rsidR="009F09CC" w:rsidRDefault="009F09CC" w:rsidP="009F09CC">
            <w:pPr>
              <w:rPr>
                <w:sz w:val="20"/>
              </w:rPr>
            </w:pPr>
            <w:r>
              <w:rPr>
                <w:sz w:val="20"/>
              </w:rPr>
              <w:t xml:space="preserve">Rejected. </w:t>
            </w:r>
          </w:p>
          <w:p w:rsidR="009F09CC" w:rsidRDefault="009F09CC" w:rsidP="009F09CC">
            <w:pPr>
              <w:rPr>
                <w:sz w:val="20"/>
              </w:rPr>
            </w:pPr>
          </w:p>
          <w:p w:rsidR="009F09CC" w:rsidRDefault="009F09CC" w:rsidP="009F09CC">
            <w:pPr>
              <w:rPr>
                <w:b/>
                <w:u w:val="single"/>
              </w:rPr>
            </w:pPr>
            <w:r>
              <w:rPr>
                <w:rFonts w:ascii="Arial" w:hAnsi="Arial" w:cs="Arial"/>
                <w:sz w:val="20"/>
                <w:szCs w:val="20"/>
              </w:rPr>
              <w:t>This CID has been resolved in</w:t>
            </w:r>
            <w:r w:rsidR="00473DDD">
              <w:rPr>
                <w:rFonts w:ascii="Arial" w:hAnsi="Arial" w:cs="Arial"/>
                <w:sz w:val="20"/>
                <w:szCs w:val="20"/>
              </w:rPr>
              <w:t xml:space="preserve"> 1127/r4</w:t>
            </w:r>
            <w:r>
              <w:rPr>
                <w:rFonts w:ascii="Arial" w:hAnsi="Arial" w:cs="Arial"/>
                <w:sz w:val="20"/>
                <w:szCs w:val="20"/>
              </w:rPr>
              <w:t xml:space="preserve"> </w:t>
            </w:r>
          </w:p>
          <w:p w:rsidR="009F09CC" w:rsidRDefault="009F09CC" w:rsidP="003A6429">
            <w:pPr>
              <w:rPr>
                <w:sz w:val="20"/>
              </w:rPr>
            </w:pPr>
          </w:p>
        </w:tc>
      </w:tr>
    </w:tbl>
    <w:p w:rsidR="00B3721E" w:rsidRDefault="00B3721E" w:rsidP="00B3721E">
      <w:pPr>
        <w:rPr>
          <w:b/>
          <w:u w:val="single"/>
        </w:rPr>
      </w:pPr>
    </w:p>
    <w:p w:rsidR="00C84254" w:rsidRDefault="00C84254" w:rsidP="00B3721E">
      <w:pPr>
        <w:rPr>
          <w:b/>
          <w:u w:val="single"/>
        </w:rPr>
      </w:pPr>
    </w:p>
    <w:p w:rsidR="00997806" w:rsidRDefault="00997806" w:rsidP="00B3721E">
      <w:pPr>
        <w:rPr>
          <w:color w:val="FF0000"/>
          <w:sz w:val="20"/>
        </w:rPr>
      </w:pPr>
      <w:r w:rsidRPr="00D27D12">
        <w:rPr>
          <w:color w:val="FF0000"/>
          <w:sz w:val="20"/>
        </w:rPr>
        <w:br w:type="page"/>
      </w:r>
    </w:p>
    <w:p w:rsidR="00B3721E" w:rsidRPr="00D27D12" w:rsidRDefault="00B3721E" w:rsidP="00B3721E">
      <w:pPr>
        <w:rPr>
          <w:color w:val="FF0000"/>
          <w:sz w:val="20"/>
        </w:rPr>
      </w:pPr>
    </w:p>
    <w:p w:rsidR="00055E3F" w:rsidRPr="00893713" w:rsidRDefault="00055E3F">
      <w:pPr>
        <w:rPr>
          <w:b/>
          <w:i/>
          <w:strike/>
          <w:color w:val="FF0000"/>
          <w:sz w:val="22"/>
          <w:szCs w:val="22"/>
          <w:highlight w:val="yellow"/>
        </w:rPr>
      </w:pPr>
    </w:p>
    <w:tbl>
      <w:tblPr>
        <w:tblpPr w:leftFromText="180" w:rightFromText="180" w:vertAnchor="page" w:horzAnchor="margin" w:tblpY="169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757"/>
        <w:gridCol w:w="2079"/>
        <w:gridCol w:w="2246"/>
      </w:tblGrid>
      <w:tr w:rsidR="00055E3F" w:rsidTr="00055E3F">
        <w:trPr>
          <w:trHeight w:val="440"/>
        </w:trPr>
        <w:tc>
          <w:tcPr>
            <w:tcW w:w="970" w:type="dxa"/>
            <w:shd w:val="clear" w:color="auto" w:fill="auto"/>
          </w:tcPr>
          <w:p w:rsidR="00055E3F" w:rsidRDefault="00055E3F" w:rsidP="00055E3F">
            <w:pPr>
              <w:rPr>
                <w:rFonts w:ascii="Arial" w:hAnsi="Arial" w:cs="Arial"/>
                <w:b/>
                <w:bCs/>
                <w:sz w:val="20"/>
              </w:rPr>
            </w:pPr>
          </w:p>
        </w:tc>
        <w:tc>
          <w:tcPr>
            <w:tcW w:w="1042" w:type="dxa"/>
          </w:tcPr>
          <w:p w:rsidR="00055E3F" w:rsidRPr="00370EA5" w:rsidRDefault="00055E3F" w:rsidP="00055E3F">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055E3F" w:rsidRDefault="00055E3F" w:rsidP="00055E3F">
            <w:pPr>
              <w:rPr>
                <w:rFonts w:ascii="Arial" w:hAnsi="Arial" w:cs="Arial"/>
                <w:b/>
                <w:bCs/>
                <w:sz w:val="20"/>
              </w:rPr>
            </w:pPr>
            <w:r>
              <w:rPr>
                <w:rFonts w:ascii="Arial" w:hAnsi="Arial" w:cs="Arial"/>
                <w:b/>
                <w:bCs/>
                <w:sz w:val="20"/>
              </w:rPr>
              <w:t>Page</w:t>
            </w:r>
          </w:p>
        </w:tc>
        <w:tc>
          <w:tcPr>
            <w:tcW w:w="808" w:type="dxa"/>
          </w:tcPr>
          <w:p w:rsidR="00055E3F" w:rsidRDefault="00055E3F" w:rsidP="00055E3F">
            <w:pPr>
              <w:rPr>
                <w:rFonts w:ascii="Arial" w:hAnsi="Arial" w:cs="Arial"/>
                <w:b/>
                <w:bCs/>
                <w:sz w:val="20"/>
              </w:rPr>
            </w:pPr>
            <w:r>
              <w:rPr>
                <w:rFonts w:ascii="Arial" w:hAnsi="Arial" w:cs="Arial"/>
                <w:b/>
                <w:bCs/>
                <w:sz w:val="20"/>
              </w:rPr>
              <w:t>Line</w:t>
            </w:r>
          </w:p>
        </w:tc>
        <w:tc>
          <w:tcPr>
            <w:tcW w:w="2757" w:type="dxa"/>
            <w:shd w:val="clear" w:color="auto" w:fill="auto"/>
          </w:tcPr>
          <w:p w:rsidR="00055E3F" w:rsidRDefault="00055E3F" w:rsidP="00055E3F">
            <w:pPr>
              <w:rPr>
                <w:rFonts w:ascii="Arial" w:hAnsi="Arial" w:cs="Arial"/>
                <w:b/>
                <w:bCs/>
                <w:sz w:val="20"/>
              </w:rPr>
            </w:pPr>
            <w:r>
              <w:rPr>
                <w:rFonts w:ascii="Arial" w:hAnsi="Arial" w:cs="Arial"/>
                <w:b/>
                <w:bCs/>
                <w:sz w:val="20"/>
              </w:rPr>
              <w:t>Comment</w:t>
            </w:r>
          </w:p>
        </w:tc>
        <w:tc>
          <w:tcPr>
            <w:tcW w:w="2079" w:type="dxa"/>
            <w:shd w:val="clear" w:color="auto" w:fill="auto"/>
          </w:tcPr>
          <w:p w:rsidR="00055E3F" w:rsidRDefault="00055E3F" w:rsidP="00055E3F">
            <w:pPr>
              <w:rPr>
                <w:rFonts w:ascii="Arial" w:hAnsi="Arial" w:cs="Arial"/>
                <w:b/>
                <w:bCs/>
                <w:sz w:val="20"/>
              </w:rPr>
            </w:pPr>
            <w:r>
              <w:rPr>
                <w:rFonts w:ascii="Arial" w:hAnsi="Arial" w:cs="Arial"/>
                <w:b/>
                <w:bCs/>
                <w:sz w:val="20"/>
              </w:rPr>
              <w:t>Proposed Change</w:t>
            </w:r>
          </w:p>
        </w:tc>
        <w:tc>
          <w:tcPr>
            <w:tcW w:w="2246" w:type="dxa"/>
            <w:shd w:val="clear" w:color="auto" w:fill="auto"/>
          </w:tcPr>
          <w:p w:rsidR="00055E3F" w:rsidRDefault="00055E3F" w:rsidP="00055E3F">
            <w:pPr>
              <w:rPr>
                <w:rFonts w:ascii="Arial" w:hAnsi="Arial" w:cs="Arial"/>
                <w:b/>
                <w:bCs/>
                <w:sz w:val="20"/>
              </w:rPr>
            </w:pPr>
            <w:r>
              <w:rPr>
                <w:rFonts w:ascii="Arial" w:hAnsi="Arial" w:cs="Arial"/>
                <w:b/>
                <w:bCs/>
                <w:sz w:val="20"/>
              </w:rPr>
              <w:t>Resolution</w:t>
            </w:r>
          </w:p>
        </w:tc>
      </w:tr>
      <w:tr w:rsidR="00196BE1" w:rsidRPr="0058465A" w:rsidTr="00196BE1">
        <w:trPr>
          <w:trHeight w:val="2123"/>
        </w:trPr>
        <w:tc>
          <w:tcPr>
            <w:tcW w:w="970" w:type="dxa"/>
            <w:shd w:val="clear" w:color="auto" w:fill="auto"/>
          </w:tcPr>
          <w:tbl>
            <w:tblPr>
              <w:tblW w:w="620" w:type="dxa"/>
              <w:tblLayout w:type="fixed"/>
              <w:tblCellMar>
                <w:left w:w="0" w:type="dxa"/>
                <w:right w:w="0" w:type="dxa"/>
              </w:tblCellMar>
              <w:tblLook w:val="04A0" w:firstRow="1" w:lastRow="0" w:firstColumn="1" w:lastColumn="0" w:noHBand="0" w:noVBand="1"/>
            </w:tblPr>
            <w:tblGrid>
              <w:gridCol w:w="620"/>
            </w:tblGrid>
            <w:tr w:rsidR="00890152" w:rsidTr="00890152">
              <w:trPr>
                <w:trHeight w:val="2376"/>
              </w:trPr>
              <w:tc>
                <w:tcPr>
                  <w:tcW w:w="620" w:type="dxa"/>
                  <w:tcBorders>
                    <w:top w:val="nil"/>
                    <w:left w:val="nil"/>
                    <w:bottom w:val="nil"/>
                    <w:right w:val="nil"/>
                  </w:tcBorders>
                  <w:shd w:val="clear" w:color="auto" w:fill="auto"/>
                  <w:tcMar>
                    <w:top w:w="15" w:type="dxa"/>
                    <w:left w:w="15" w:type="dxa"/>
                    <w:bottom w:w="0" w:type="dxa"/>
                    <w:right w:w="15" w:type="dxa"/>
                  </w:tcMar>
                  <w:hideMark/>
                </w:tcPr>
                <w:p w:rsidR="00890152" w:rsidRDefault="002B4C27" w:rsidP="00890152">
                  <w:pPr>
                    <w:framePr w:hSpace="180" w:wrap="around" w:vAnchor="page" w:hAnchor="margin" w:y="1693"/>
                    <w:jc w:val="right"/>
                    <w:rPr>
                      <w:rFonts w:ascii="Arial" w:hAnsi="Arial" w:cs="Arial"/>
                      <w:sz w:val="20"/>
                      <w:szCs w:val="20"/>
                    </w:rPr>
                  </w:pPr>
                  <w:r>
                    <w:rPr>
                      <w:rFonts w:ascii="Arial" w:hAnsi="Arial" w:cs="Arial"/>
                      <w:sz w:val="20"/>
                      <w:szCs w:val="20"/>
                    </w:rPr>
                    <w:t>455</w:t>
                  </w:r>
                </w:p>
              </w:tc>
            </w:tr>
          </w:tbl>
          <w:p w:rsidR="00055E3F" w:rsidRPr="0058465A" w:rsidRDefault="00890152" w:rsidP="00055E3F">
            <w:pPr>
              <w:jc w:val="right"/>
              <w:rPr>
                <w:sz w:val="20"/>
                <w:szCs w:val="20"/>
              </w:rPr>
            </w:pPr>
            <w:r w:rsidRPr="0058465A">
              <w:rPr>
                <w:sz w:val="20"/>
                <w:szCs w:val="20"/>
              </w:rPr>
              <w:t xml:space="preserve"> </w:t>
            </w:r>
          </w:p>
        </w:tc>
        <w:tc>
          <w:tcPr>
            <w:tcW w:w="1042" w:type="dxa"/>
          </w:tcPr>
          <w:p w:rsidR="00055E3F" w:rsidRDefault="00055E3F" w:rsidP="00055E3F">
            <w:pPr>
              <w:rPr>
                <w:rFonts w:ascii="Arial" w:hAnsi="Arial" w:cs="Arial"/>
                <w:sz w:val="20"/>
                <w:szCs w:val="20"/>
              </w:rPr>
            </w:pPr>
            <w:r>
              <w:rPr>
                <w:rFonts w:ascii="Arial" w:hAnsi="Arial" w:cs="Arial"/>
                <w:sz w:val="20"/>
                <w:szCs w:val="20"/>
              </w:rPr>
              <w:t>27.3.10.7.2</w:t>
            </w:r>
          </w:p>
          <w:p w:rsidR="00055E3F" w:rsidRPr="0058465A" w:rsidRDefault="00055E3F" w:rsidP="00055E3F">
            <w:pPr>
              <w:rPr>
                <w:sz w:val="20"/>
                <w:szCs w:val="20"/>
              </w:rPr>
            </w:pPr>
          </w:p>
        </w:tc>
        <w:tc>
          <w:tcPr>
            <w:tcW w:w="808" w:type="dxa"/>
          </w:tcPr>
          <w:p w:rsidR="00055E3F" w:rsidRPr="0058465A" w:rsidRDefault="00055E3F" w:rsidP="002B4C27">
            <w:pPr>
              <w:rPr>
                <w:sz w:val="22"/>
                <w:szCs w:val="22"/>
              </w:rPr>
            </w:pPr>
            <w:r>
              <w:rPr>
                <w:sz w:val="22"/>
                <w:szCs w:val="22"/>
              </w:rPr>
              <w:t>5</w:t>
            </w:r>
            <w:r w:rsidR="002B4C27">
              <w:rPr>
                <w:sz w:val="22"/>
                <w:szCs w:val="22"/>
              </w:rPr>
              <w:t>53</w:t>
            </w:r>
          </w:p>
        </w:tc>
        <w:tc>
          <w:tcPr>
            <w:tcW w:w="808" w:type="dxa"/>
          </w:tcPr>
          <w:p w:rsidR="00055E3F" w:rsidRPr="0058465A" w:rsidRDefault="00890152" w:rsidP="002B4C27">
            <w:pPr>
              <w:rPr>
                <w:sz w:val="22"/>
                <w:szCs w:val="22"/>
              </w:rPr>
            </w:pPr>
            <w:r>
              <w:rPr>
                <w:sz w:val="22"/>
                <w:szCs w:val="22"/>
              </w:rPr>
              <w:t>3</w:t>
            </w:r>
            <w:r w:rsidR="002B4C27">
              <w:rPr>
                <w:sz w:val="22"/>
                <w:szCs w:val="22"/>
              </w:rPr>
              <w:t>2</w:t>
            </w:r>
          </w:p>
        </w:tc>
        <w:tc>
          <w:tcPr>
            <w:tcW w:w="2757" w:type="dxa"/>
            <w:shd w:val="clear" w:color="auto" w:fill="auto"/>
          </w:tcPr>
          <w:p w:rsidR="002B4C27" w:rsidRDefault="002B4C27" w:rsidP="002B4C27">
            <w:pPr>
              <w:rPr>
                <w:rFonts w:ascii="Arial" w:hAnsi="Arial" w:cs="Arial"/>
                <w:sz w:val="20"/>
                <w:szCs w:val="20"/>
                <w:lang w:eastAsia="en-US"/>
              </w:rPr>
            </w:pPr>
            <w:r>
              <w:rPr>
                <w:rFonts w:ascii="Arial" w:hAnsi="Arial" w:cs="Arial"/>
                <w:sz w:val="20"/>
                <w:szCs w:val="20"/>
              </w:rPr>
              <w:t xml:space="preserve">Need to address what to set if none of these (if) conditions is met, given the number of OFDM symbols in the HE_SIG-B </w:t>
            </w:r>
            <w:proofErr w:type="gramStart"/>
            <w:r>
              <w:rPr>
                <w:rFonts w:ascii="Arial" w:hAnsi="Arial" w:cs="Arial"/>
                <w:sz w:val="20"/>
                <w:szCs w:val="20"/>
              </w:rPr>
              <w:t>field  &gt;</w:t>
            </w:r>
            <w:proofErr w:type="gramEnd"/>
            <w:r>
              <w:rPr>
                <w:rFonts w:ascii="Arial" w:hAnsi="Arial" w:cs="Arial"/>
                <w:sz w:val="20"/>
                <w:szCs w:val="20"/>
              </w:rPr>
              <w:t>=16.  (Follow up on the disposition of CID 21412)</w:t>
            </w:r>
          </w:p>
          <w:p w:rsidR="002B4C27" w:rsidRDefault="002B4C27"/>
          <w:p w:rsidR="002B4C27" w:rsidRDefault="002B4C27"/>
          <w:p w:rsidR="002B4C27" w:rsidRDefault="002B4C27"/>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p>
              </w:tc>
            </w:tr>
          </w:tbl>
          <w:p w:rsidR="00055E3F" w:rsidRPr="0058465A" w:rsidRDefault="00196BE1" w:rsidP="00055E3F">
            <w:pPr>
              <w:rPr>
                <w:sz w:val="20"/>
                <w:szCs w:val="20"/>
              </w:rPr>
            </w:pPr>
            <w:r w:rsidRPr="0058465A">
              <w:rPr>
                <w:sz w:val="20"/>
                <w:szCs w:val="20"/>
              </w:rPr>
              <w:t xml:space="preserve"> </w:t>
            </w:r>
          </w:p>
        </w:tc>
        <w:tc>
          <w:tcPr>
            <w:tcW w:w="2079" w:type="dxa"/>
            <w:shd w:val="clear" w:color="auto" w:fill="auto"/>
          </w:tcPr>
          <w:tbl>
            <w:tblPr>
              <w:tblW w:w="2780" w:type="dxa"/>
              <w:tblLayout w:type="fixed"/>
              <w:tblCellMar>
                <w:left w:w="0" w:type="dxa"/>
                <w:right w:w="0" w:type="dxa"/>
              </w:tblCellMar>
              <w:tblLook w:val="04A0" w:firstRow="1" w:lastRow="0" w:firstColumn="1" w:lastColumn="0" w:noHBand="0" w:noVBand="1"/>
            </w:tblPr>
            <w:tblGrid>
              <w:gridCol w:w="2780"/>
            </w:tblGrid>
            <w:tr w:rsidR="00196BE1" w:rsidTr="00196BE1">
              <w:trPr>
                <w:trHeight w:val="2376"/>
              </w:trPr>
              <w:tc>
                <w:tcPr>
                  <w:tcW w:w="2780" w:type="dxa"/>
                  <w:tcBorders>
                    <w:top w:val="nil"/>
                    <w:left w:val="nil"/>
                    <w:bottom w:val="nil"/>
                    <w:right w:val="nil"/>
                  </w:tcBorders>
                  <w:shd w:val="clear" w:color="auto" w:fill="auto"/>
                  <w:tcMar>
                    <w:top w:w="15" w:type="dxa"/>
                    <w:left w:w="15" w:type="dxa"/>
                    <w:bottom w:w="0" w:type="dxa"/>
                    <w:right w:w="15" w:type="dxa"/>
                  </w:tcMar>
                  <w:hideMark/>
                </w:tcPr>
                <w:p w:rsidR="00196BE1" w:rsidRDefault="00196BE1" w:rsidP="00196BE1">
                  <w:pPr>
                    <w:framePr w:hSpace="180" w:wrap="around" w:vAnchor="page" w:hAnchor="margin" w:y="1693"/>
                    <w:rPr>
                      <w:rFonts w:ascii="Arial" w:hAnsi="Arial" w:cs="Arial"/>
                      <w:sz w:val="20"/>
                      <w:szCs w:val="20"/>
                    </w:rPr>
                  </w:pPr>
                  <w:r>
                    <w:rPr>
                      <w:rFonts w:ascii="Arial" w:hAnsi="Arial" w:cs="Arial"/>
                      <w:sz w:val="20"/>
                      <w:szCs w:val="20"/>
                    </w:rPr>
                    <w:t>Please clarify and update as needed.</w:t>
                  </w:r>
                </w:p>
              </w:tc>
            </w:tr>
          </w:tbl>
          <w:p w:rsidR="00055E3F" w:rsidRPr="0058465A" w:rsidRDefault="00196BE1" w:rsidP="00055E3F">
            <w:pPr>
              <w:rPr>
                <w:sz w:val="20"/>
                <w:szCs w:val="20"/>
              </w:rPr>
            </w:pPr>
            <w:r w:rsidRPr="0058465A">
              <w:rPr>
                <w:sz w:val="20"/>
                <w:szCs w:val="20"/>
              </w:rPr>
              <w:t xml:space="preserve"> </w:t>
            </w:r>
          </w:p>
        </w:tc>
        <w:tc>
          <w:tcPr>
            <w:tcW w:w="2246" w:type="dxa"/>
            <w:shd w:val="clear" w:color="auto" w:fill="auto"/>
          </w:tcPr>
          <w:p w:rsidR="00055E3F" w:rsidRDefault="00196BE1" w:rsidP="00055E3F">
            <w:pPr>
              <w:rPr>
                <w:rFonts w:eastAsiaTheme="minorEastAsia"/>
                <w:sz w:val="22"/>
                <w:szCs w:val="22"/>
                <w:lang w:eastAsia="ja-JP"/>
              </w:rPr>
            </w:pPr>
            <w:r>
              <w:rPr>
                <w:rFonts w:eastAsiaTheme="minorEastAsia"/>
                <w:sz w:val="22"/>
                <w:szCs w:val="22"/>
                <w:lang w:eastAsia="ja-JP"/>
              </w:rPr>
              <w:t>Reject</w:t>
            </w:r>
            <w:r w:rsidR="004B1820">
              <w:rPr>
                <w:rFonts w:eastAsiaTheme="minorEastAsia"/>
                <w:sz w:val="22"/>
                <w:szCs w:val="22"/>
                <w:lang w:eastAsia="ja-JP"/>
              </w:rPr>
              <w:t>ed</w:t>
            </w:r>
            <w:r>
              <w:rPr>
                <w:rFonts w:eastAsiaTheme="minorEastAsia"/>
                <w:sz w:val="22"/>
                <w:szCs w:val="22"/>
                <w:lang w:eastAsia="ja-JP"/>
              </w:rPr>
              <w:t>:</w:t>
            </w:r>
          </w:p>
          <w:p w:rsidR="00F14C8B" w:rsidRDefault="00F14C8B" w:rsidP="00055E3F">
            <w:pPr>
              <w:rPr>
                <w:rFonts w:eastAsiaTheme="minorEastAsia"/>
                <w:sz w:val="22"/>
                <w:szCs w:val="22"/>
                <w:lang w:eastAsia="ja-JP"/>
              </w:rPr>
            </w:pPr>
          </w:p>
          <w:p w:rsidR="00196BE1" w:rsidRDefault="00196BE1" w:rsidP="00055E3F">
            <w:pPr>
              <w:rPr>
                <w:rFonts w:ascii="Arial" w:hAnsi="Arial" w:cs="Arial"/>
                <w:sz w:val="20"/>
                <w:szCs w:val="20"/>
              </w:rPr>
            </w:pPr>
            <w:r>
              <w:rPr>
                <w:rFonts w:eastAsiaTheme="minorEastAsia"/>
                <w:sz w:val="22"/>
                <w:szCs w:val="22"/>
                <w:lang w:eastAsia="ja-JP"/>
              </w:rPr>
              <w:t xml:space="preserve">The text clearly say the conditions </w:t>
            </w:r>
            <w:proofErr w:type="gramStart"/>
            <w:r>
              <w:rPr>
                <w:rFonts w:eastAsiaTheme="minorEastAsia"/>
                <w:sz w:val="22"/>
                <w:szCs w:val="22"/>
                <w:lang w:eastAsia="ja-JP"/>
              </w:rPr>
              <w:t xml:space="preserve">for </w:t>
            </w:r>
            <w:r>
              <w:rPr>
                <w:rFonts w:ascii="Arial" w:hAnsi="Arial" w:cs="Arial"/>
                <w:sz w:val="20"/>
                <w:szCs w:val="20"/>
              </w:rPr>
              <w:t xml:space="preserve"> B18</w:t>
            </w:r>
            <w:proofErr w:type="gramEnd"/>
            <w:r>
              <w:rPr>
                <w:rFonts w:ascii="Arial" w:hAnsi="Arial" w:cs="Arial"/>
                <w:sz w:val="20"/>
                <w:szCs w:val="20"/>
              </w:rPr>
              <w:t>-B21 set to 15.</w:t>
            </w:r>
          </w:p>
          <w:p w:rsidR="002B4C27" w:rsidRDefault="002B4C27" w:rsidP="00055E3F">
            <w:pPr>
              <w:rPr>
                <w:rFonts w:ascii="Arial" w:hAnsi="Arial" w:cs="Arial"/>
                <w:sz w:val="20"/>
                <w:szCs w:val="20"/>
              </w:rPr>
            </w:pPr>
          </w:p>
          <w:p w:rsidR="002B4C27" w:rsidRPr="0058465A" w:rsidRDefault="002B4C27" w:rsidP="00055E3F">
            <w:pPr>
              <w:rPr>
                <w:rFonts w:eastAsiaTheme="minorEastAsia"/>
                <w:sz w:val="22"/>
                <w:szCs w:val="22"/>
                <w:lang w:eastAsia="ja-JP"/>
              </w:rPr>
            </w:pPr>
            <w:r>
              <w:rPr>
                <w:rFonts w:ascii="Arial" w:hAnsi="Arial" w:cs="Arial"/>
                <w:sz w:val="20"/>
                <w:szCs w:val="20"/>
              </w:rPr>
              <w:t>It is impossible to set a number greater than 15 given 4 bits.</w:t>
            </w:r>
          </w:p>
        </w:tc>
      </w:tr>
    </w:tbl>
    <w:p w:rsidR="007A4362" w:rsidRDefault="007A4362" w:rsidP="007A4362">
      <w:pPr>
        <w:rPr>
          <w:b/>
          <w:i/>
          <w:strike/>
          <w:color w:val="FF0000"/>
          <w:sz w:val="20"/>
          <w:highlight w:val="yellow"/>
        </w:rPr>
      </w:pPr>
    </w:p>
    <w:sectPr w:rsidR="007A4362"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BB" w:rsidRDefault="005655BB">
      <w:r>
        <w:separator/>
      </w:r>
    </w:p>
  </w:endnote>
  <w:endnote w:type="continuationSeparator" w:id="0">
    <w:p w:rsidR="005655BB" w:rsidRDefault="0056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BB" w:rsidRDefault="005655BB">
      <w:r>
        <w:separator/>
      </w:r>
    </w:p>
  </w:footnote>
  <w:footnote w:type="continuationSeparator" w:id="0">
    <w:p w:rsidR="005655BB" w:rsidRDefault="0056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1048C1"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Nov</w:t>
    </w:r>
    <w:r w:rsidR="000A6C43" w:rsidRPr="00D54162">
      <w:rPr>
        <w:color w:val="000000" w:themeColor="text1"/>
        <w:szCs w:val="28"/>
        <w:lang w:eastAsia="zh-CN"/>
      </w:rPr>
      <w:t>, 201</w:t>
    </w:r>
    <w:r w:rsidR="00893CC2">
      <w:rPr>
        <w:color w:val="000000" w:themeColor="text1"/>
        <w:szCs w:val="28"/>
        <w:lang w:eastAsia="zh-CN"/>
      </w:rPr>
      <w:t>9</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1-19</w:t>
    </w:r>
    <w:r w:rsidR="00FA6887" w:rsidRPr="00E12241">
      <w:rPr>
        <w:szCs w:val="28"/>
      </w:rPr>
      <w:t>/</w:t>
    </w:r>
    <w:r w:rsidR="00FA6887" w:rsidRPr="00E12241">
      <w:rPr>
        <w:bCs/>
        <w:szCs w:val="28"/>
        <w:shd w:val="clear" w:color="auto" w:fill="FFFFFF"/>
      </w:rPr>
      <w:t>1941r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1B3DC254-DE3B-412E-868E-32025E74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3497</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4139</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138</cp:revision>
  <cp:lastPrinted>2013-12-02T17:26:00Z</cp:lastPrinted>
  <dcterms:created xsi:type="dcterms:W3CDTF">2018-03-07T23:08:00Z</dcterms:created>
  <dcterms:modified xsi:type="dcterms:W3CDTF">2019-11-08T02:28:00Z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