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350"/>
        <w:gridCol w:w="2471"/>
      </w:tblGrid>
      <w:tr w:rsidR="00CA09B2" w:rsidTr="008B6EAE">
        <w:trPr>
          <w:trHeight w:val="485"/>
          <w:jc w:val="center"/>
        </w:trPr>
        <w:tc>
          <w:tcPr>
            <w:tcW w:w="9576" w:type="dxa"/>
            <w:gridSpan w:val="5"/>
            <w:vAlign w:val="center"/>
          </w:tcPr>
          <w:p w:rsidR="00CA09B2" w:rsidRDefault="008B6EAE">
            <w:pPr>
              <w:pStyle w:val="T2"/>
            </w:pPr>
            <w:r>
              <w:t xml:space="preserve">First Path </w:t>
            </w:r>
            <w:r w:rsidR="00425C23">
              <w:t>tap</w:t>
            </w:r>
            <w:r>
              <w:t xml:space="preserve"> measurement CIDs</w:t>
            </w:r>
          </w:p>
        </w:tc>
      </w:tr>
      <w:tr w:rsidR="00CA09B2" w:rsidTr="008B6EAE">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B6EAE">
              <w:rPr>
                <w:b w:val="0"/>
                <w:sz w:val="20"/>
              </w:rPr>
              <w:t>2019-11-04</w:t>
            </w:r>
          </w:p>
        </w:tc>
      </w:tr>
      <w:tr w:rsidR="00CA09B2" w:rsidTr="008B6EA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B6EAE">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355"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471" w:type="dxa"/>
            <w:vAlign w:val="center"/>
          </w:tcPr>
          <w:p w:rsidR="00CA09B2" w:rsidRDefault="00CA09B2">
            <w:pPr>
              <w:pStyle w:val="T2"/>
              <w:spacing w:after="0"/>
              <w:ind w:left="0" w:right="0"/>
              <w:jc w:val="left"/>
              <w:rPr>
                <w:sz w:val="20"/>
              </w:rPr>
            </w:pPr>
            <w:r>
              <w:rPr>
                <w:sz w:val="20"/>
              </w:rPr>
              <w:t>email</w:t>
            </w:r>
          </w:p>
        </w:tc>
      </w:tr>
      <w:tr w:rsidR="008B6EAE" w:rsidTr="008B6EAE">
        <w:trPr>
          <w:jc w:val="center"/>
        </w:trPr>
        <w:tc>
          <w:tcPr>
            <w:tcW w:w="1336" w:type="dxa"/>
            <w:vAlign w:val="center"/>
          </w:tcPr>
          <w:p w:rsidR="008B6EAE" w:rsidRDefault="008B6EAE" w:rsidP="008B6EAE">
            <w:pPr>
              <w:pStyle w:val="T2"/>
              <w:spacing w:after="0"/>
              <w:ind w:left="0" w:right="0"/>
              <w:rPr>
                <w:b w:val="0"/>
                <w:sz w:val="20"/>
              </w:rPr>
            </w:pPr>
            <w:r>
              <w:rPr>
                <w:b w:val="0"/>
                <w:sz w:val="20"/>
                <w:lang w:eastAsia="zh-CN"/>
              </w:rPr>
              <w:t>Assaf Kasher</w:t>
            </w:r>
          </w:p>
        </w:tc>
        <w:tc>
          <w:tcPr>
            <w:tcW w:w="2064" w:type="dxa"/>
            <w:vAlign w:val="center"/>
          </w:tcPr>
          <w:p w:rsidR="008B6EAE" w:rsidRDefault="008B6EAE" w:rsidP="008B6EAE">
            <w:pPr>
              <w:pStyle w:val="T2"/>
              <w:spacing w:after="0"/>
              <w:ind w:left="0" w:right="0"/>
              <w:rPr>
                <w:b w:val="0"/>
                <w:sz w:val="20"/>
              </w:rPr>
            </w:pPr>
            <w:r>
              <w:rPr>
                <w:b w:val="0"/>
                <w:sz w:val="20"/>
                <w:lang w:eastAsia="zh-CN"/>
              </w:rPr>
              <w:t>Qualcomm</w:t>
            </w:r>
          </w:p>
        </w:tc>
        <w:tc>
          <w:tcPr>
            <w:tcW w:w="2355" w:type="dxa"/>
            <w:vAlign w:val="center"/>
          </w:tcPr>
          <w:p w:rsidR="008B6EAE" w:rsidRDefault="008B6EAE" w:rsidP="008B6EAE">
            <w:pPr>
              <w:pStyle w:val="T2"/>
              <w:spacing w:after="0"/>
              <w:ind w:left="0" w:right="0"/>
              <w:rPr>
                <w:b w:val="0"/>
                <w:sz w:val="20"/>
              </w:rPr>
            </w:pPr>
          </w:p>
        </w:tc>
        <w:tc>
          <w:tcPr>
            <w:tcW w:w="1350" w:type="dxa"/>
            <w:vAlign w:val="center"/>
          </w:tcPr>
          <w:p w:rsidR="008B6EAE" w:rsidRDefault="008B6EAE" w:rsidP="008B6EAE">
            <w:pPr>
              <w:pStyle w:val="T2"/>
              <w:spacing w:after="0"/>
              <w:ind w:left="0" w:right="0"/>
              <w:rPr>
                <w:b w:val="0"/>
                <w:sz w:val="20"/>
              </w:rPr>
            </w:pPr>
          </w:p>
        </w:tc>
        <w:tc>
          <w:tcPr>
            <w:tcW w:w="2471" w:type="dxa"/>
            <w:vAlign w:val="center"/>
          </w:tcPr>
          <w:p w:rsidR="008B6EAE" w:rsidRDefault="008B6EAE" w:rsidP="008B6EAE">
            <w:pPr>
              <w:pStyle w:val="T2"/>
              <w:spacing w:after="0"/>
              <w:ind w:left="0" w:right="0"/>
              <w:rPr>
                <w:b w:val="0"/>
                <w:sz w:val="16"/>
              </w:rPr>
            </w:pPr>
            <w:r>
              <w:rPr>
                <w:sz w:val="16"/>
                <w:lang w:eastAsia="zh-CN"/>
              </w:rPr>
              <w:t>akasher@qti.qualcomm.com</w:t>
            </w:r>
          </w:p>
        </w:tc>
      </w:tr>
      <w:tr w:rsidR="008B6EAE" w:rsidTr="008B6EAE">
        <w:trPr>
          <w:jc w:val="center"/>
        </w:trPr>
        <w:tc>
          <w:tcPr>
            <w:tcW w:w="1336" w:type="dxa"/>
            <w:vAlign w:val="center"/>
          </w:tcPr>
          <w:p w:rsidR="008B6EAE" w:rsidRDefault="008B6EAE" w:rsidP="008B6EAE">
            <w:pPr>
              <w:pStyle w:val="T2"/>
              <w:spacing w:after="0"/>
              <w:ind w:left="0" w:right="0"/>
              <w:rPr>
                <w:b w:val="0"/>
                <w:sz w:val="20"/>
              </w:rPr>
            </w:pPr>
          </w:p>
        </w:tc>
        <w:tc>
          <w:tcPr>
            <w:tcW w:w="2064" w:type="dxa"/>
            <w:vAlign w:val="center"/>
          </w:tcPr>
          <w:p w:rsidR="008B6EAE" w:rsidRDefault="008B6EAE" w:rsidP="008B6EAE">
            <w:pPr>
              <w:pStyle w:val="T2"/>
              <w:spacing w:after="0"/>
              <w:ind w:left="0" w:right="0"/>
              <w:rPr>
                <w:b w:val="0"/>
                <w:sz w:val="20"/>
              </w:rPr>
            </w:pPr>
          </w:p>
        </w:tc>
        <w:tc>
          <w:tcPr>
            <w:tcW w:w="2355" w:type="dxa"/>
            <w:vAlign w:val="center"/>
          </w:tcPr>
          <w:p w:rsidR="008B6EAE" w:rsidRDefault="008B6EAE" w:rsidP="008B6EAE">
            <w:pPr>
              <w:pStyle w:val="T2"/>
              <w:spacing w:after="0"/>
              <w:ind w:left="0" w:right="0"/>
              <w:rPr>
                <w:b w:val="0"/>
                <w:sz w:val="20"/>
              </w:rPr>
            </w:pPr>
          </w:p>
        </w:tc>
        <w:tc>
          <w:tcPr>
            <w:tcW w:w="1350" w:type="dxa"/>
            <w:vAlign w:val="center"/>
          </w:tcPr>
          <w:p w:rsidR="008B6EAE" w:rsidRDefault="008B6EAE" w:rsidP="008B6EAE">
            <w:pPr>
              <w:pStyle w:val="T2"/>
              <w:spacing w:after="0"/>
              <w:ind w:left="0" w:right="0"/>
              <w:rPr>
                <w:b w:val="0"/>
                <w:sz w:val="20"/>
              </w:rPr>
            </w:pPr>
          </w:p>
        </w:tc>
        <w:tc>
          <w:tcPr>
            <w:tcW w:w="2471" w:type="dxa"/>
            <w:vAlign w:val="center"/>
          </w:tcPr>
          <w:p w:rsidR="008B6EAE" w:rsidRDefault="008B6EAE" w:rsidP="008B6EAE">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712D3">
                            <w:pPr>
                              <w:jc w:val="both"/>
                            </w:pPr>
                            <w:r>
                              <w:t>This document proposes resolution to CIDs 1427, 2349</w:t>
                            </w:r>
                          </w:p>
                          <w:p w:rsidR="00672430" w:rsidRDefault="00672430">
                            <w:pPr>
                              <w:jc w:val="both"/>
                            </w:pPr>
                            <w:r>
                              <w:t>The text changes are based on D1.5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712D3">
                      <w:pPr>
                        <w:jc w:val="both"/>
                      </w:pPr>
                      <w:r>
                        <w:t>This document proposes resolution to CIDs 1427, 2349</w:t>
                      </w:r>
                    </w:p>
                    <w:p w:rsidR="00672430" w:rsidRDefault="00672430">
                      <w:pPr>
                        <w:jc w:val="both"/>
                      </w:pPr>
                      <w:r>
                        <w:t>The text changes are based on D1.5</w:t>
                      </w:r>
                    </w:p>
                  </w:txbxContent>
                </v:textbox>
              </v:shape>
            </w:pict>
          </mc:Fallback>
        </mc:AlternateContent>
      </w:r>
    </w:p>
    <w:p w:rsidR="008B6EAE" w:rsidRDefault="00CA09B2" w:rsidP="008B6EAE">
      <w:r>
        <w:br w:type="page"/>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2"/>
        <w:gridCol w:w="1300"/>
        <w:gridCol w:w="3150"/>
        <w:gridCol w:w="2880"/>
        <w:gridCol w:w="1635"/>
      </w:tblGrid>
      <w:tr w:rsidR="008B6EAE" w:rsidRPr="008B6EAE" w:rsidTr="008B6EAE">
        <w:trPr>
          <w:trHeight w:val="3900"/>
        </w:trPr>
        <w:tc>
          <w:tcPr>
            <w:tcW w:w="663" w:type="dxa"/>
            <w:shd w:val="clear" w:color="auto" w:fill="auto"/>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lastRenderedPageBreak/>
              <w:t>1427</w:t>
            </w:r>
          </w:p>
        </w:tc>
        <w:tc>
          <w:tcPr>
            <w:tcW w:w="912" w:type="dxa"/>
            <w:shd w:val="clear" w:color="auto" w:fill="auto"/>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t>49.00</w:t>
            </w:r>
          </w:p>
        </w:tc>
        <w:tc>
          <w:tcPr>
            <w:tcW w:w="1300" w:type="dxa"/>
            <w:shd w:val="clear" w:color="auto" w:fill="auto"/>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9.4.2.279</w:t>
            </w:r>
          </w:p>
        </w:tc>
        <w:tc>
          <w:tcPr>
            <w:tcW w:w="3150" w:type="dxa"/>
            <w:shd w:val="clear" w:color="auto" w:fill="auto"/>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The R2I and I2R ToA Types are defined either based on first arrival path or average linear phase accros subcarriers. For EDMG positioning, it is beneficial to have in addition to the first arrival path timestamp, a timestamp based on the strongest path, to provide additional information for scenarios such as obstructed LOS.</w:t>
            </w:r>
          </w:p>
        </w:tc>
        <w:tc>
          <w:tcPr>
            <w:tcW w:w="2880" w:type="dxa"/>
            <w:shd w:val="clear" w:color="auto" w:fill="auto"/>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Define a ToA type based on strongest arrival path / strongest tap  for SC DMG/EDMG positioning e.g., For PDMG/PEDMG the I2R ToA Type subfield is set to 1 in the initial Fine Timing Measurement Request frame to indicate that the ISTA supports  ToA feedback based on strongest path in the ISTA-to-RSTA LMR.</w:t>
            </w:r>
          </w:p>
        </w:tc>
        <w:tc>
          <w:tcPr>
            <w:tcW w:w="1635" w:type="dxa"/>
            <w:shd w:val="clear" w:color="auto" w:fill="auto"/>
            <w:hideMark/>
          </w:tcPr>
          <w:p w:rsidR="008B6EAE" w:rsidRPr="008B6EAE" w:rsidRDefault="00FC4024" w:rsidP="008B6EAE">
            <w:pPr>
              <w:rPr>
                <w:rFonts w:ascii="Calibri" w:hAnsi="Calibri" w:cs="Calibri"/>
                <w:color w:val="000000"/>
                <w:szCs w:val="22"/>
                <w:lang w:val="en-US" w:bidi="he-IL"/>
              </w:rPr>
            </w:pPr>
            <w:r>
              <w:rPr>
                <w:rFonts w:ascii="Calibri" w:hAnsi="Calibri" w:cs="Calibri"/>
                <w:color w:val="000000"/>
                <w:szCs w:val="22"/>
                <w:lang w:val="en-US" w:bidi="he-IL"/>
              </w:rPr>
              <w:t>Reject – withdrawn by the commenter</w:t>
            </w:r>
          </w:p>
        </w:tc>
      </w:tr>
    </w:tbl>
    <w:tbl>
      <w:tblPr>
        <w:tblStyle w:val="TableGrid"/>
        <w:tblW w:w="10540" w:type="dxa"/>
        <w:tblInd w:w="-5" w:type="dxa"/>
        <w:tblLook w:val="04A0" w:firstRow="1" w:lastRow="0" w:firstColumn="1" w:lastColumn="0" w:noHBand="0" w:noVBand="1"/>
      </w:tblPr>
      <w:tblGrid>
        <w:gridCol w:w="663"/>
        <w:gridCol w:w="907"/>
        <w:gridCol w:w="1386"/>
        <w:gridCol w:w="3074"/>
        <w:gridCol w:w="2880"/>
        <w:gridCol w:w="1630"/>
      </w:tblGrid>
      <w:tr w:rsidR="008B6EAE" w:rsidRPr="008B6EAE" w:rsidTr="008B6EAE">
        <w:trPr>
          <w:trHeight w:val="3900"/>
        </w:trPr>
        <w:tc>
          <w:tcPr>
            <w:tcW w:w="663" w:type="dxa"/>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t>2349</w:t>
            </w:r>
          </w:p>
        </w:tc>
        <w:tc>
          <w:tcPr>
            <w:tcW w:w="907" w:type="dxa"/>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t>119.18</w:t>
            </w:r>
          </w:p>
        </w:tc>
        <w:tc>
          <w:tcPr>
            <w:tcW w:w="1386"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11.22.6.4.7.1</w:t>
            </w:r>
          </w:p>
        </w:tc>
        <w:tc>
          <w:tcPr>
            <w:tcW w:w="3074"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It may be beneficial to measure TOF of the strongest impulse response tap when using best path AWV.</w:t>
            </w:r>
          </w:p>
        </w:tc>
        <w:tc>
          <w:tcPr>
            <w:tcW w:w="2880"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One option would be to include trigger with value 5 indicating best path AWV and TOA feedback based on strongest tap of impulse response.</w:t>
            </w:r>
          </w:p>
        </w:tc>
        <w:tc>
          <w:tcPr>
            <w:tcW w:w="1630"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 xml:space="preserve"> </w:t>
            </w:r>
            <w:r w:rsidR="00FC4024">
              <w:rPr>
                <w:rFonts w:ascii="Calibri" w:hAnsi="Calibri" w:cs="Calibri"/>
                <w:color w:val="000000"/>
                <w:szCs w:val="22"/>
                <w:lang w:val="en-US" w:bidi="he-IL"/>
              </w:rPr>
              <w:t xml:space="preserve">Reject – the group could agree to a solution </w:t>
            </w:r>
          </w:p>
        </w:tc>
      </w:tr>
      <w:tr w:rsidR="0068198F" w:rsidRPr="008B6EAE" w:rsidTr="008B6EAE">
        <w:trPr>
          <w:trHeight w:val="3900"/>
        </w:trPr>
        <w:tc>
          <w:tcPr>
            <w:tcW w:w="663" w:type="dxa"/>
          </w:tcPr>
          <w:p w:rsidR="0068198F" w:rsidRDefault="0068198F" w:rsidP="0068198F">
            <w:pPr>
              <w:jc w:val="right"/>
              <w:rPr>
                <w:rFonts w:ascii="Calibri" w:hAnsi="Calibri" w:cs="Calibri"/>
                <w:color w:val="000000"/>
                <w:szCs w:val="22"/>
                <w:lang w:val="en-US" w:bidi="he-IL"/>
              </w:rPr>
            </w:pPr>
            <w:bookmarkStart w:id="0" w:name="_GoBack" w:colFirst="5" w:colLast="5"/>
            <w:r>
              <w:rPr>
                <w:rFonts w:ascii="Calibri" w:hAnsi="Calibri" w:cs="Calibri"/>
                <w:color w:val="000000"/>
                <w:szCs w:val="22"/>
              </w:rPr>
              <w:t>1425</w:t>
            </w:r>
          </w:p>
        </w:tc>
        <w:tc>
          <w:tcPr>
            <w:tcW w:w="907" w:type="dxa"/>
          </w:tcPr>
          <w:p w:rsidR="0068198F" w:rsidRDefault="0068198F" w:rsidP="0068198F">
            <w:pPr>
              <w:jc w:val="right"/>
              <w:rPr>
                <w:rFonts w:ascii="Calibri" w:hAnsi="Calibri" w:cs="Calibri"/>
                <w:color w:val="000000"/>
                <w:szCs w:val="22"/>
              </w:rPr>
            </w:pPr>
            <w:r>
              <w:rPr>
                <w:rFonts w:ascii="Calibri" w:hAnsi="Calibri" w:cs="Calibri"/>
                <w:color w:val="000000"/>
                <w:szCs w:val="22"/>
              </w:rPr>
              <w:t>37.17</w:t>
            </w:r>
          </w:p>
        </w:tc>
        <w:tc>
          <w:tcPr>
            <w:tcW w:w="1386" w:type="dxa"/>
          </w:tcPr>
          <w:p w:rsidR="0068198F" w:rsidRDefault="0068198F" w:rsidP="0068198F">
            <w:pPr>
              <w:rPr>
                <w:rFonts w:ascii="Calibri" w:hAnsi="Calibri" w:cs="Calibri"/>
                <w:color w:val="000000"/>
                <w:szCs w:val="22"/>
              </w:rPr>
            </w:pPr>
            <w:r>
              <w:rPr>
                <w:rFonts w:ascii="Calibri" w:hAnsi="Calibri" w:cs="Calibri"/>
                <w:color w:val="000000"/>
                <w:szCs w:val="22"/>
              </w:rPr>
              <w:t>9.4.2.127.8</w:t>
            </w:r>
          </w:p>
        </w:tc>
        <w:tc>
          <w:tcPr>
            <w:tcW w:w="3074" w:type="dxa"/>
          </w:tcPr>
          <w:p w:rsidR="0068198F" w:rsidRDefault="0068198F" w:rsidP="0068198F">
            <w:pPr>
              <w:rPr>
                <w:rFonts w:ascii="Calibri" w:hAnsi="Calibri" w:cs="Calibri"/>
                <w:color w:val="000000"/>
                <w:szCs w:val="22"/>
              </w:rPr>
            </w:pPr>
            <w:r>
              <w:rPr>
                <w:rFonts w:ascii="Calibri" w:hAnsi="Calibri" w:cs="Calibri"/>
                <w:color w:val="000000"/>
                <w:szCs w:val="22"/>
              </w:rPr>
              <w:t xml:space="preserve">For DMG positioning, it is beneficial to allow devices to measure ToF of </w:t>
            </w:r>
            <w:proofErr w:type="spellStart"/>
            <w:r>
              <w:rPr>
                <w:rFonts w:ascii="Calibri" w:hAnsi="Calibri" w:cs="Calibri"/>
                <w:color w:val="000000"/>
                <w:szCs w:val="22"/>
              </w:rPr>
              <w:t>strogest</w:t>
            </w:r>
            <w:proofErr w:type="spellEnd"/>
            <w:r>
              <w:rPr>
                <w:rFonts w:ascii="Calibri" w:hAnsi="Calibri" w:cs="Calibri"/>
                <w:color w:val="000000"/>
                <w:szCs w:val="22"/>
              </w:rPr>
              <w:t xml:space="preserve"> path as alternative to LOS path. It should however be present in the capabilities if a DMG STA can compute the ToF based only on First Arrival Path or also on strongest path.</w:t>
            </w:r>
          </w:p>
        </w:tc>
        <w:tc>
          <w:tcPr>
            <w:tcW w:w="2880" w:type="dxa"/>
          </w:tcPr>
          <w:p w:rsidR="0068198F" w:rsidRDefault="0068198F" w:rsidP="0068198F">
            <w:pPr>
              <w:rPr>
                <w:rFonts w:ascii="Calibri" w:hAnsi="Calibri" w:cs="Calibri"/>
                <w:color w:val="000000"/>
                <w:szCs w:val="22"/>
              </w:rPr>
            </w:pPr>
            <w:r>
              <w:rPr>
                <w:rFonts w:ascii="Calibri" w:hAnsi="Calibri" w:cs="Calibri"/>
                <w:color w:val="000000"/>
                <w:szCs w:val="22"/>
              </w:rPr>
              <w:t>Please add a capability bit, as suggested in comment.</w:t>
            </w:r>
          </w:p>
        </w:tc>
        <w:tc>
          <w:tcPr>
            <w:tcW w:w="1630" w:type="dxa"/>
          </w:tcPr>
          <w:p w:rsidR="0068198F" w:rsidRPr="008B6EAE" w:rsidRDefault="0068198F" w:rsidP="0068198F">
            <w:pPr>
              <w:rPr>
                <w:rFonts w:ascii="Calibri" w:hAnsi="Calibri" w:cs="Calibri"/>
                <w:color w:val="000000"/>
                <w:szCs w:val="22"/>
                <w:lang w:val="en-US" w:bidi="he-IL"/>
              </w:rPr>
            </w:pPr>
            <w:r>
              <w:rPr>
                <w:rFonts w:ascii="Calibri" w:hAnsi="Calibri" w:cs="Calibri"/>
                <w:color w:val="000000"/>
                <w:szCs w:val="22"/>
                <w:lang w:val="en-US" w:bidi="he-IL"/>
              </w:rPr>
              <w:t>Reject – withdrawn by the commenter</w:t>
            </w:r>
          </w:p>
        </w:tc>
      </w:tr>
    </w:tbl>
    <w:bookmarkEnd w:id="0"/>
    <w:p w:rsidR="008B6EAE" w:rsidRPr="0068198F" w:rsidRDefault="008B6EAE" w:rsidP="008B6EAE">
      <w:pPr>
        <w:rPr>
          <w:lang w:val="en-US"/>
        </w:rPr>
      </w:pPr>
      <w:r>
        <w:t xml:space="preserve"> </w:t>
      </w:r>
    </w:p>
    <w:p w:rsidR="00C712D3" w:rsidRPr="00C712D3" w:rsidRDefault="00C712D3">
      <w:pPr>
        <w:rPr>
          <w:lang w:val="en-US"/>
        </w:rPr>
      </w:pPr>
      <w:r w:rsidRPr="00C712D3">
        <w:rPr>
          <w:lang w:val="en-US"/>
        </w:rPr>
        <w:br w:type="page"/>
      </w:r>
    </w:p>
    <w:p w:rsidR="002E759D" w:rsidRDefault="002E759D" w:rsidP="002E759D">
      <w:pPr>
        <w:rPr>
          <w:b/>
          <w:bCs/>
          <w:lang w:val="en-US"/>
        </w:rPr>
      </w:pPr>
    </w:p>
    <w:p w:rsidR="002E759D" w:rsidRPr="002E759D" w:rsidRDefault="002E759D" w:rsidP="002E759D">
      <w:pPr>
        <w:rPr>
          <w:b/>
          <w:bCs/>
          <w:lang w:val="en-US"/>
        </w:rPr>
      </w:pPr>
    </w:p>
    <w:p w:rsidR="00CA09B2" w:rsidRDefault="00CA09B2" w:rsidP="00647951">
      <w:pPr>
        <w:rPr>
          <w:b/>
          <w:sz w:val="24"/>
        </w:rPr>
      </w:pPr>
      <w:r>
        <w:rPr>
          <w:b/>
          <w:sz w:val="24"/>
        </w:rPr>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D83" w:rsidRDefault="00A41D83">
      <w:r>
        <w:separator/>
      </w:r>
    </w:p>
  </w:endnote>
  <w:endnote w:type="continuationSeparator" w:id="0">
    <w:p w:rsidR="00A41D83" w:rsidRDefault="00A4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706A4">
    <w:pPr>
      <w:pStyle w:val="Footer"/>
      <w:tabs>
        <w:tab w:val="clear" w:pos="6480"/>
        <w:tab w:val="center" w:pos="4680"/>
        <w:tab w:val="right" w:pos="9360"/>
      </w:tabs>
    </w:pPr>
    <w:fldSimple w:instr=" SUBJECT  \* MERGEFORMAT ">
      <w:r w:rsidR="008B6EA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B6EAE">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D83" w:rsidRDefault="00A41D83">
      <w:r>
        <w:separator/>
      </w:r>
    </w:p>
  </w:footnote>
  <w:footnote w:type="continuationSeparator" w:id="0">
    <w:p w:rsidR="00A41D83" w:rsidRDefault="00A4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706A4">
    <w:pPr>
      <w:pStyle w:val="Header"/>
      <w:tabs>
        <w:tab w:val="clear" w:pos="6480"/>
        <w:tab w:val="center" w:pos="4680"/>
        <w:tab w:val="right" w:pos="9360"/>
      </w:tabs>
    </w:pPr>
    <w:fldSimple w:instr=" KEYWORDS  \* MERGEFORMAT ">
      <w:r w:rsidR="008B6EAE">
        <w:t>November 2019</w:t>
      </w:r>
    </w:fldSimple>
    <w:r w:rsidR="0029020B">
      <w:tab/>
    </w:r>
    <w:r w:rsidR="0029020B">
      <w:tab/>
    </w:r>
    <w:fldSimple w:instr=" TITLE  \* MERGEFORMAT ">
      <w:r w:rsidR="000710E4">
        <w:t>doc.: IEEE 802.11-19/1875r1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10A20"/>
    <w:multiLevelType w:val="hybridMultilevel"/>
    <w:tmpl w:val="4F109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AE"/>
    <w:rsid w:val="00065487"/>
    <w:rsid w:val="000710E4"/>
    <w:rsid w:val="00141C7A"/>
    <w:rsid w:val="001D723B"/>
    <w:rsid w:val="00205B1E"/>
    <w:rsid w:val="0029020B"/>
    <w:rsid w:val="002D44BE"/>
    <w:rsid w:val="002E141A"/>
    <w:rsid w:val="002E759D"/>
    <w:rsid w:val="003348E0"/>
    <w:rsid w:val="0038102A"/>
    <w:rsid w:val="003F6CCD"/>
    <w:rsid w:val="00405B98"/>
    <w:rsid w:val="00425C23"/>
    <w:rsid w:val="00442037"/>
    <w:rsid w:val="00465570"/>
    <w:rsid w:val="004706A4"/>
    <w:rsid w:val="004B064B"/>
    <w:rsid w:val="005F29B6"/>
    <w:rsid w:val="0062440B"/>
    <w:rsid w:val="00647951"/>
    <w:rsid w:val="00672430"/>
    <w:rsid w:val="00672C54"/>
    <w:rsid w:val="0068198F"/>
    <w:rsid w:val="006C0727"/>
    <w:rsid w:val="006E145F"/>
    <w:rsid w:val="00770572"/>
    <w:rsid w:val="007A5DD1"/>
    <w:rsid w:val="00871336"/>
    <w:rsid w:val="008B6EAE"/>
    <w:rsid w:val="008F0EED"/>
    <w:rsid w:val="009F2FBC"/>
    <w:rsid w:val="00A063B5"/>
    <w:rsid w:val="00A41D83"/>
    <w:rsid w:val="00AA427C"/>
    <w:rsid w:val="00AA6768"/>
    <w:rsid w:val="00AB2BE7"/>
    <w:rsid w:val="00AD6113"/>
    <w:rsid w:val="00B93F3B"/>
    <w:rsid w:val="00BD3D23"/>
    <w:rsid w:val="00BE68C2"/>
    <w:rsid w:val="00C712D3"/>
    <w:rsid w:val="00CA09B2"/>
    <w:rsid w:val="00DC0292"/>
    <w:rsid w:val="00DC5A7B"/>
    <w:rsid w:val="00EC558B"/>
    <w:rsid w:val="00F62CA3"/>
    <w:rsid w:val="00FB0FC4"/>
    <w:rsid w:val="00FC40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27D07"/>
  <w15:chartTrackingRefBased/>
  <w15:docId w15:val="{86B00863-B67A-4040-9155-B95E72F4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8E0"/>
    <w:pPr>
      <w:ind w:left="720"/>
      <w:contextualSpacing/>
    </w:pPr>
  </w:style>
  <w:style w:type="paragraph" w:customStyle="1" w:styleId="IEEEStdsTableData-Left">
    <w:name w:val="IEEEStds Table Data - Left"/>
    <w:basedOn w:val="Normal"/>
    <w:rsid w:val="00AA6768"/>
    <w:pPr>
      <w:keepNext/>
      <w:keepLines/>
    </w:pPr>
    <w:rPr>
      <w:rFonts w:eastAsia="MS Mincho"/>
      <w:sz w:val="18"/>
      <w:lang w:val="en-US" w:eastAsia="ja-JP"/>
    </w:rPr>
  </w:style>
  <w:style w:type="paragraph" w:styleId="BalloonText">
    <w:name w:val="Balloon Text"/>
    <w:basedOn w:val="Normal"/>
    <w:link w:val="BalloonTextChar"/>
    <w:rsid w:val="002E141A"/>
    <w:rPr>
      <w:rFonts w:ascii="Segoe UI" w:hAnsi="Segoe UI" w:cs="Segoe UI"/>
      <w:sz w:val="18"/>
      <w:szCs w:val="18"/>
    </w:rPr>
  </w:style>
  <w:style w:type="character" w:customStyle="1" w:styleId="BalloonTextChar">
    <w:name w:val="Balloon Text Char"/>
    <w:basedOn w:val="DefaultParagraphFont"/>
    <w:link w:val="BalloonText"/>
    <w:rsid w:val="002E141A"/>
    <w:rPr>
      <w:rFonts w:ascii="Segoe UI" w:hAnsi="Segoe UI" w:cs="Segoe UI"/>
      <w:sz w:val="18"/>
      <w:szCs w:val="18"/>
      <w:lang w:val="en-GB" w:bidi="ar-SA"/>
    </w:rPr>
  </w:style>
  <w:style w:type="paragraph" w:customStyle="1" w:styleId="Default">
    <w:name w:val="Default"/>
    <w:rsid w:val="002E759D"/>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C712D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7586">
      <w:bodyDiv w:val="1"/>
      <w:marLeft w:val="0"/>
      <w:marRight w:val="0"/>
      <w:marTop w:val="0"/>
      <w:marBottom w:val="0"/>
      <w:divBdr>
        <w:top w:val="none" w:sz="0" w:space="0" w:color="auto"/>
        <w:left w:val="none" w:sz="0" w:space="0" w:color="auto"/>
        <w:bottom w:val="none" w:sz="0" w:space="0" w:color="auto"/>
        <w:right w:val="none" w:sz="0" w:space="0" w:color="auto"/>
      </w:divBdr>
    </w:div>
    <w:div w:id="968825823">
      <w:bodyDiv w:val="1"/>
      <w:marLeft w:val="0"/>
      <w:marRight w:val="0"/>
      <w:marTop w:val="0"/>
      <w:marBottom w:val="0"/>
      <w:divBdr>
        <w:top w:val="none" w:sz="0" w:space="0" w:color="auto"/>
        <w:left w:val="none" w:sz="0" w:space="0" w:color="auto"/>
        <w:bottom w:val="none" w:sz="0" w:space="0" w:color="auto"/>
        <w:right w:val="none" w:sz="0" w:space="0" w:color="auto"/>
      </w:divBdr>
    </w:div>
    <w:div w:id="1629967956">
      <w:bodyDiv w:val="1"/>
      <w:marLeft w:val="0"/>
      <w:marRight w:val="0"/>
      <w:marTop w:val="0"/>
      <w:marBottom w:val="0"/>
      <w:divBdr>
        <w:top w:val="none" w:sz="0" w:space="0" w:color="auto"/>
        <w:left w:val="none" w:sz="0" w:space="0" w:color="auto"/>
        <w:bottom w:val="none" w:sz="0" w:space="0" w:color="auto"/>
        <w:right w:val="none" w:sz="0" w:space="0" w:color="auto"/>
      </w:divBdr>
    </w:div>
    <w:div w:id="1686663755">
      <w:bodyDiv w:val="1"/>
      <w:marLeft w:val="0"/>
      <w:marRight w:val="0"/>
      <w:marTop w:val="0"/>
      <w:marBottom w:val="0"/>
      <w:divBdr>
        <w:top w:val="none" w:sz="0" w:space="0" w:color="auto"/>
        <w:left w:val="none" w:sz="0" w:space="0" w:color="auto"/>
        <w:bottom w:val="none" w:sz="0" w:space="0" w:color="auto"/>
        <w:right w:val="none" w:sz="0" w:space="0" w:color="auto"/>
      </w:divBdr>
    </w:div>
    <w:div w:id="1967612689">
      <w:bodyDiv w:val="1"/>
      <w:marLeft w:val="0"/>
      <w:marRight w:val="0"/>
      <w:marTop w:val="0"/>
      <w:marBottom w:val="0"/>
      <w:divBdr>
        <w:top w:val="none" w:sz="0" w:space="0" w:color="auto"/>
        <w:left w:val="none" w:sz="0" w:space="0" w:color="auto"/>
        <w:bottom w:val="none" w:sz="0" w:space="0" w:color="auto"/>
        <w:right w:val="none" w:sz="0" w:space="0" w:color="auto"/>
      </w:divBdr>
    </w:div>
    <w:div w:id="20154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5</TotalTime>
  <Pages>3</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802.11-19/1875r0</vt:lpstr>
    </vt:vector>
  </TitlesOfParts>
  <Company>Some Company</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802.11-19/1875r1</dc:title>
  <dc:subject>Submission</dc:subject>
  <dc:creator>akasher@qti.qualcomm.com</dc:creator>
  <cp:keywords>November 2019</cp:keywords>
  <dc:description>Assaf Kasher (Qualcomm)</dc:description>
  <cp:lastModifiedBy>Assaf Kasher</cp:lastModifiedBy>
  <cp:revision>6</cp:revision>
  <cp:lastPrinted>1900-01-01T10:00:00Z</cp:lastPrinted>
  <dcterms:created xsi:type="dcterms:W3CDTF">2019-11-14T02:11:00Z</dcterms:created>
  <dcterms:modified xsi:type="dcterms:W3CDTF">2019-11-14T02:16:00Z</dcterms:modified>
</cp:coreProperties>
</file>