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23A4B" w14:textId="77777777" w:rsidR="00BD6FB0" w:rsidRDefault="00A64D7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proofErr w:type="spellStart"/>
            <w:r w:rsidR="00392276">
              <w:rPr>
                <w:b/>
                <w:bCs/>
                <w:color w:val="000000"/>
                <w:sz w:val="28"/>
                <w:szCs w:val="28"/>
                <w:lang w:val="en-US"/>
              </w:rPr>
              <w:t>TGbd</w:t>
            </w:r>
            <w:proofErr w:type="spellEnd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  <w:p w14:paraId="3A8EE7E2" w14:textId="2325F27E" w:rsidR="00330D10" w:rsidRPr="00BD6FB0" w:rsidRDefault="00330D10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330D10">
              <w:rPr>
                <w:b/>
                <w:bCs/>
                <w:color w:val="000000"/>
                <w:sz w:val="28"/>
                <w:szCs w:val="28"/>
                <w:lang w:val="en-US"/>
              </w:rPr>
              <w:t>NGV modulation and coding scheme (NGV-MCS)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FB86D29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92276">
              <w:t>9-</w:t>
            </w:r>
            <w:r w:rsidR="00330D10">
              <w:t>11</w:t>
            </w:r>
            <w:r w:rsidR="00361A7D">
              <w:t>-1</w:t>
            </w:r>
            <w:r w:rsidR="00330D10">
              <w:t>0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2689"/>
        <w:gridCol w:w="1350"/>
        <w:gridCol w:w="2420"/>
      </w:tblGrid>
      <w:tr w:rsidR="00A64D7D" w:rsidRPr="0019516D" w14:paraId="056DEAAA" w14:textId="77777777" w:rsidTr="006F4200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30D10" w:rsidRPr="0019516D" w14:paraId="27A1C5B7" w14:textId="77777777" w:rsidTr="00330D10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78EAB763" w:rsidR="00330D10" w:rsidRPr="0019516D" w:rsidRDefault="00330D10" w:rsidP="00330D10">
            <w:r w:rsidRPr="00E96819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F8A543D" w:rsidR="00330D10" w:rsidRPr="0019516D" w:rsidRDefault="00330D10" w:rsidP="00330D10">
            <w:pPr>
              <w:spacing w:after="160" w:line="259" w:lineRule="auto"/>
              <w:jc w:val="center"/>
            </w:pPr>
            <w:r w:rsidRPr="00E96819">
              <w:rPr>
                <w:sz w:val="20"/>
              </w:rPr>
              <w:t>Newracom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6777BCFE" w:rsidR="00330D10" w:rsidRPr="0019516D" w:rsidRDefault="00330D10" w:rsidP="00330D10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0ACCA237" w:rsidR="00330D10" w:rsidRPr="0019516D" w:rsidRDefault="00330D10" w:rsidP="00330D10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58CE8AFD" w:rsidR="00330D10" w:rsidRPr="0019516D" w:rsidRDefault="00330D10" w:rsidP="00330D10">
            <w:pPr>
              <w:rPr>
                <w:sz w:val="18"/>
              </w:rPr>
            </w:pPr>
            <w:proofErr w:type="spellStart"/>
            <w:r w:rsidRPr="00E96819">
              <w:rPr>
                <w:sz w:val="20"/>
              </w:rPr>
              <w:t>yujin.noh</w:t>
            </w:r>
            <w:proofErr w:type="spellEnd"/>
            <w:r w:rsidRPr="00E96819">
              <w:rPr>
                <w:sz w:val="20"/>
              </w:rPr>
              <w:t xml:space="preserve"> at newracom.com</w:t>
            </w:r>
          </w:p>
        </w:tc>
      </w:tr>
      <w:tr w:rsidR="00330D10" w:rsidRPr="0019516D" w14:paraId="594B88B7" w14:textId="77777777" w:rsidTr="00B33BA6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6FC28" w14:textId="77777777" w:rsidR="00330D10" w:rsidRPr="00E96819" w:rsidRDefault="00330D10" w:rsidP="00330D10">
            <w:pPr>
              <w:rPr>
                <w:sz w:val="20"/>
                <w:lang w:val="en-US"/>
              </w:rPr>
            </w:pPr>
            <w:r w:rsidRPr="00E96819">
              <w:rPr>
                <w:sz w:val="20"/>
                <w:lang w:val="en-US"/>
              </w:rPr>
              <w:t>Si-Chan Noh</w:t>
            </w:r>
          </w:p>
          <w:p w14:paraId="7D7AE05C" w14:textId="77777777" w:rsidR="00330D10" w:rsidRPr="0019516D" w:rsidRDefault="00330D10" w:rsidP="00330D10"/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E2188" w14:textId="34F441C1" w:rsidR="00330D10" w:rsidRPr="0019516D" w:rsidRDefault="00330D10" w:rsidP="00330D10">
            <w:pPr>
              <w:spacing w:after="160" w:line="259" w:lineRule="auto"/>
              <w:jc w:val="center"/>
            </w:pPr>
            <w:proofErr w:type="spellStart"/>
            <w:r w:rsidRPr="00E96819">
              <w:rPr>
                <w:sz w:val="20"/>
              </w:rPr>
              <w:t>Newratek</w:t>
            </w:r>
            <w:proofErr w:type="spellEnd"/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93ED7" w14:textId="77777777" w:rsidR="00330D10" w:rsidRPr="0019516D" w:rsidRDefault="00330D10" w:rsidP="00330D10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C8F40" w14:textId="77777777" w:rsidR="00330D10" w:rsidRPr="0019516D" w:rsidRDefault="00330D10" w:rsidP="00330D10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07F96" w14:textId="198B5DEF" w:rsidR="00330D10" w:rsidRPr="0019516D" w:rsidRDefault="00330D10" w:rsidP="00330D10">
            <w:pPr>
              <w:rPr>
                <w:sz w:val="18"/>
              </w:rPr>
            </w:pPr>
            <w:proofErr w:type="spellStart"/>
            <w:r w:rsidRPr="00E96819">
              <w:rPr>
                <w:sz w:val="20"/>
                <w:lang w:val="en-US"/>
              </w:rPr>
              <w:t>sc.noh</w:t>
            </w:r>
            <w:proofErr w:type="spellEnd"/>
            <w:r w:rsidRPr="00E96819">
              <w:rPr>
                <w:sz w:val="20"/>
                <w:lang w:val="en-US"/>
              </w:rPr>
              <w:t xml:space="preserve"> at newratek.com</w:t>
            </w:r>
          </w:p>
        </w:tc>
      </w:tr>
      <w:tr w:rsidR="00B33BA6" w:rsidRPr="0019516D" w14:paraId="46129775" w14:textId="77777777" w:rsidTr="00392276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73E83" w14:textId="77777777" w:rsidR="00B33BA6" w:rsidRPr="00E96819" w:rsidRDefault="00B33BA6" w:rsidP="00330D10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6344E" w14:textId="77777777" w:rsidR="00B33BA6" w:rsidRPr="00E96819" w:rsidRDefault="00B33BA6" w:rsidP="00330D1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172F9" w14:textId="77777777" w:rsidR="00B33BA6" w:rsidRPr="0019516D" w:rsidRDefault="00B33BA6" w:rsidP="00330D10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47DBF" w14:textId="77777777" w:rsidR="00B33BA6" w:rsidRPr="0019516D" w:rsidRDefault="00B33BA6" w:rsidP="00330D10">
            <w:pPr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8C035" w14:textId="77777777" w:rsidR="00B33BA6" w:rsidRPr="00E96819" w:rsidRDefault="00B33BA6" w:rsidP="00330D1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A1BD6D" w14:textId="0DA66EBE" w:rsidR="00392276" w:rsidRDefault="00392276" w:rsidP="00EA6B47">
                            <w:pPr>
                              <w:jc w:val="both"/>
                            </w:pPr>
                            <w:r w:rsidRPr="0092467A">
                              <w:t xml:space="preserve">This document contains a proposal for the </w:t>
                            </w:r>
                            <w:proofErr w:type="spellStart"/>
                            <w:r w:rsidRPr="0092467A">
                              <w:t>TG</w:t>
                            </w:r>
                            <w:r>
                              <w:t>bd</w:t>
                            </w:r>
                            <w:proofErr w:type="spellEnd"/>
                            <w:r w:rsidRPr="0092467A">
                              <w:t xml:space="preserve"> draft amendment. It captures the feature requirements outlined in the </w:t>
                            </w:r>
                            <w:proofErr w:type="spellStart"/>
                            <w:r w:rsidRPr="0092467A">
                              <w:t>TG</w:t>
                            </w:r>
                            <w:r>
                              <w:t>bd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92467A">
                              <w:t>specification framework document (11-1</w:t>
                            </w:r>
                            <w:r>
                              <w:t>9</w:t>
                            </w:r>
                            <w:r w:rsidRPr="0092467A">
                              <w:t>/0</w:t>
                            </w:r>
                            <w:r>
                              <w:t>497</w:t>
                            </w:r>
                            <w:r w:rsidRPr="0092467A">
                              <w:t>) in detailed draft text.</w:t>
                            </w:r>
                          </w:p>
                          <w:p w14:paraId="2FECDC69" w14:textId="77777777" w:rsidR="00392276" w:rsidRDefault="00392276" w:rsidP="00A8394A">
                            <w:pPr>
                              <w:jc w:val="both"/>
                            </w:pPr>
                          </w:p>
                          <w:p w14:paraId="2CD06B82" w14:textId="77777777" w:rsidR="00392276" w:rsidRDefault="00392276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A1BD6D" w14:textId="0DA66EBE" w:rsidR="00392276" w:rsidRDefault="00392276" w:rsidP="00EA6B47">
                      <w:pPr>
                        <w:jc w:val="both"/>
                      </w:pPr>
                      <w:r w:rsidRPr="0092467A">
                        <w:t xml:space="preserve">This document contains a proposal for the </w:t>
                      </w:r>
                      <w:proofErr w:type="spellStart"/>
                      <w:r w:rsidRPr="0092467A">
                        <w:t>TG</w:t>
                      </w:r>
                      <w:r>
                        <w:t>bd</w:t>
                      </w:r>
                      <w:proofErr w:type="spellEnd"/>
                      <w:r w:rsidRPr="0092467A">
                        <w:t xml:space="preserve"> draft amendment. It captures the feature requirements outlined in the </w:t>
                      </w:r>
                      <w:proofErr w:type="spellStart"/>
                      <w:r w:rsidRPr="0092467A">
                        <w:t>TG</w:t>
                      </w:r>
                      <w:r>
                        <w:t>bd</w:t>
                      </w:r>
                      <w:proofErr w:type="spellEnd"/>
                      <w:r>
                        <w:t xml:space="preserve"> </w:t>
                      </w:r>
                      <w:r w:rsidRPr="0092467A">
                        <w:t>specification framework document (11-1</w:t>
                      </w:r>
                      <w:r>
                        <w:t>9</w:t>
                      </w:r>
                      <w:r w:rsidRPr="0092467A">
                        <w:t>/0</w:t>
                      </w:r>
                      <w:r>
                        <w:t>497</w:t>
                      </w:r>
                      <w:r w:rsidRPr="0092467A">
                        <w:t>) in detailed draft text.</w:t>
                      </w:r>
                    </w:p>
                    <w:p w14:paraId="2FECDC69" w14:textId="77777777" w:rsidR="00392276" w:rsidRDefault="00392276" w:rsidP="00A8394A">
                      <w:pPr>
                        <w:jc w:val="both"/>
                      </w:pPr>
                    </w:p>
                    <w:p w14:paraId="2CD06B82" w14:textId="77777777" w:rsidR="00392276" w:rsidRDefault="00392276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B18C7C5" w14:textId="2B97606F" w:rsidR="00DA1844" w:rsidRPr="00DA1844" w:rsidRDefault="00CA09B2" w:rsidP="00D3195D">
      <w:pPr>
        <w:pStyle w:val="Heading1"/>
        <w:numPr>
          <w:ilvl w:val="0"/>
          <w:numId w:val="0"/>
        </w:numPr>
        <w:ind w:left="360" w:hanging="360"/>
      </w:pPr>
      <w:r w:rsidRPr="00924879">
        <w:br w:type="page"/>
      </w:r>
      <w:r w:rsidR="00D3195D" w:rsidRPr="00DA1844">
        <w:lastRenderedPageBreak/>
        <w:t xml:space="preserve"> </w:t>
      </w:r>
    </w:p>
    <w:p w14:paraId="4ABBE73E" w14:textId="2060E122" w:rsidR="00602C66" w:rsidRDefault="00602C66" w:rsidP="00D3195D">
      <w:pPr>
        <w:pStyle w:val="Heading1"/>
      </w:pPr>
      <w:r>
        <w:t xml:space="preserve">Next Generation V2X (NGV) PHY specification </w:t>
      </w:r>
    </w:p>
    <w:p w14:paraId="20C8FCC6" w14:textId="4E7087CF" w:rsidR="008A0A98" w:rsidRPr="00376EE7" w:rsidRDefault="00602C66" w:rsidP="00CB3F38">
      <w:pPr>
        <w:pStyle w:val="Heading2"/>
        <w:rPr>
          <w:color w:val="E7E6E6" w:themeColor="background2"/>
        </w:rPr>
      </w:pPr>
      <w:proofErr w:type="spellStart"/>
      <w:r w:rsidRPr="00376EE7">
        <w:rPr>
          <w:color w:val="E7E6E6" w:themeColor="background2"/>
        </w:rPr>
        <w:t>Intorduction</w:t>
      </w:r>
      <w:proofErr w:type="spellEnd"/>
    </w:p>
    <w:p w14:paraId="29D6D319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 xml:space="preserve">NGV PPDU format </w:t>
      </w:r>
    </w:p>
    <w:p w14:paraId="316D2A7E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>Transmitter block diagram</w:t>
      </w:r>
    </w:p>
    <w:p w14:paraId="4403F765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>Overview of the PPDU encoding process</w:t>
      </w:r>
    </w:p>
    <w:p w14:paraId="6736AC70" w14:textId="457DCF72" w:rsidR="00AF0A2B" w:rsidRDefault="00AF0A2B" w:rsidP="001C23FE">
      <w:pPr>
        <w:pStyle w:val="Heading2"/>
      </w:pPr>
      <w:r>
        <w:t>NGV modulati</w:t>
      </w:r>
      <w:r w:rsidR="00596268">
        <w:t>o</w:t>
      </w:r>
      <w:r>
        <w:t>n and coding schemes</w:t>
      </w:r>
    </w:p>
    <w:p w14:paraId="36CC6614" w14:textId="3E4E57D7" w:rsidR="00CC088A" w:rsidRPr="004B23BB" w:rsidRDefault="00CC088A" w:rsidP="00CC088A">
      <w:pPr>
        <w:pStyle w:val="BodyText"/>
      </w:pPr>
      <w:r>
        <w:t xml:space="preserve">The </w:t>
      </w:r>
      <w:r w:rsidR="007856D9">
        <w:rPr>
          <w:lang w:eastAsia="ko-KR"/>
        </w:rPr>
        <w:t>NGV</w:t>
      </w:r>
      <w:r>
        <w:t xml:space="preserve">-MCS is a value that determines the modulation and coding used in the Data field of the PPDU. It is a compact representation that is carried </w:t>
      </w:r>
      <w:r w:rsidRPr="004B23BB">
        <w:t xml:space="preserve">in the </w:t>
      </w:r>
      <w:r w:rsidR="002235F6" w:rsidRPr="004B23BB">
        <w:t>TBD</w:t>
      </w:r>
      <w:r w:rsidRPr="004B23BB">
        <w:t xml:space="preserve"> for </w:t>
      </w:r>
      <w:r w:rsidR="007856D9" w:rsidRPr="004B23BB">
        <w:t>NGV</w:t>
      </w:r>
      <w:r w:rsidRPr="004B23BB">
        <w:t xml:space="preserve"> PPDUs. Rate-dependent parameters for the full set of </w:t>
      </w:r>
      <w:r w:rsidR="007856D9" w:rsidRPr="004B23BB">
        <w:t>NGV</w:t>
      </w:r>
      <w:r w:rsidRPr="004B23BB">
        <w:t xml:space="preserve">-MCSs are shown in Table </w:t>
      </w:r>
      <w:r w:rsidR="007856D9" w:rsidRPr="004B23BB">
        <w:t>33-</w:t>
      </w:r>
      <w:r w:rsidR="002235F6" w:rsidRPr="004B23BB">
        <w:t>x</w:t>
      </w:r>
      <w:r w:rsidR="003E71AE" w:rsidRPr="004B23BB">
        <w:t>1</w:t>
      </w:r>
      <w:r w:rsidRPr="004B23BB">
        <w:t xml:space="preserve"> (</w:t>
      </w:r>
      <w:r w:rsidR="007856D9" w:rsidRPr="004B23BB">
        <w:t>NGV</w:t>
      </w:r>
      <w:r w:rsidRPr="004B23BB">
        <w:t xml:space="preserve">-MCSs for </w:t>
      </w:r>
      <w:r w:rsidR="007856D9" w:rsidRPr="004B23BB">
        <w:t>1</w:t>
      </w:r>
      <w:r w:rsidRPr="004B23BB">
        <w:t xml:space="preserve">0 MHz, NSS = 1) to Table </w:t>
      </w:r>
      <w:r w:rsidR="007856D9" w:rsidRPr="004B23BB">
        <w:t>33-</w:t>
      </w:r>
      <w:r w:rsidR="002235F6" w:rsidRPr="004B23BB">
        <w:t>x</w:t>
      </w:r>
      <w:r w:rsidR="003E71AE" w:rsidRPr="004B23BB">
        <w:t>4</w:t>
      </w:r>
      <w:r w:rsidRPr="004B23BB">
        <w:t xml:space="preserve"> (</w:t>
      </w:r>
      <w:r w:rsidR="007856D9" w:rsidRPr="004B23BB">
        <w:t>NGV</w:t>
      </w:r>
      <w:r w:rsidRPr="004B23BB">
        <w:t xml:space="preserve">-MCSs for </w:t>
      </w:r>
      <w:r w:rsidR="007856D9" w:rsidRPr="004B23BB">
        <w:t>2</w:t>
      </w:r>
      <w:r w:rsidRPr="004B23BB">
        <w:t xml:space="preserve">0 MHz, NSS = </w:t>
      </w:r>
      <w:r w:rsidR="007856D9" w:rsidRPr="004B23BB">
        <w:t>2</w:t>
      </w:r>
      <w:r w:rsidRPr="004B23BB">
        <w:t xml:space="preserve">) (in </w:t>
      </w:r>
      <w:r w:rsidR="007856D9" w:rsidRPr="004B23BB">
        <w:t>33</w:t>
      </w:r>
      <w:r w:rsidRPr="004B23BB">
        <w:t>.</w:t>
      </w:r>
      <w:r w:rsidR="00C0378D" w:rsidRPr="004B23BB">
        <w:t>15</w:t>
      </w:r>
      <w:r w:rsidRPr="004B23BB">
        <w:t xml:space="preserve"> (Parameters for </w:t>
      </w:r>
      <w:r w:rsidR="007856D9" w:rsidRPr="004B23BB">
        <w:t>NGV</w:t>
      </w:r>
      <w:r w:rsidRPr="004B23BB">
        <w:t xml:space="preserve">-MCSs)). These tables give rate-dependent parameters for </w:t>
      </w:r>
      <w:r w:rsidR="007856D9" w:rsidRPr="004B23BB">
        <w:t>NGV</w:t>
      </w:r>
      <w:r w:rsidRPr="004B23BB">
        <w:t xml:space="preserve">-MCSs with indices 0 to </w:t>
      </w:r>
      <w:r w:rsidR="007856D9" w:rsidRPr="004B23BB">
        <w:t>TBD</w:t>
      </w:r>
      <w:r w:rsidRPr="004B23BB">
        <w:t xml:space="preserve">, with number of spatial streams from 1 to </w:t>
      </w:r>
      <w:r w:rsidR="007856D9" w:rsidRPr="004B23BB">
        <w:t>2</w:t>
      </w:r>
      <w:r w:rsidRPr="004B23BB">
        <w:t xml:space="preserve"> and bandwidth options of </w:t>
      </w:r>
      <w:r w:rsidR="007856D9" w:rsidRPr="004B23BB">
        <w:t>1</w:t>
      </w:r>
      <w:r w:rsidRPr="004B23BB">
        <w:t xml:space="preserve">0 MHz and </w:t>
      </w:r>
      <w:r w:rsidR="007856D9" w:rsidRPr="004B23BB">
        <w:t xml:space="preserve">20 </w:t>
      </w:r>
      <w:proofErr w:type="spellStart"/>
      <w:r w:rsidR="007856D9" w:rsidRPr="004B23BB">
        <w:t>MHz</w:t>
      </w:r>
      <w:r w:rsidRPr="004B23BB">
        <w:t>.</w:t>
      </w:r>
      <w:proofErr w:type="spellEnd"/>
      <w:r w:rsidRPr="004B23BB">
        <w:t xml:space="preserve"> Equal modulation (EQM) is applied to all streams for a </w:t>
      </w:r>
      <w:proofErr w:type="gramStart"/>
      <w:r w:rsidRPr="004B23BB">
        <w:t>particular user</w:t>
      </w:r>
      <w:proofErr w:type="gramEnd"/>
      <w:r w:rsidRPr="004B23BB">
        <w:t>.</w:t>
      </w:r>
    </w:p>
    <w:p w14:paraId="1D0F7C72" w14:textId="5F0153E1" w:rsidR="00CC088A" w:rsidRPr="004B23BB" w:rsidRDefault="00CC088A" w:rsidP="00CC088A">
      <w:pPr>
        <w:pStyle w:val="BodyText"/>
      </w:pPr>
      <w:bookmarkStart w:id="0" w:name="_GoBack"/>
      <w:bookmarkEnd w:id="0"/>
    </w:p>
    <w:p w14:paraId="15F33608" w14:textId="0B4B4500" w:rsidR="00DE2C33" w:rsidRDefault="00CC088A" w:rsidP="00CC088A">
      <w:pPr>
        <w:pStyle w:val="BodyText"/>
      </w:pPr>
      <w:r w:rsidRPr="004B23BB">
        <w:t xml:space="preserve">DCM is a modulation scheme used for the </w:t>
      </w:r>
      <w:proofErr w:type="spellStart"/>
      <w:r w:rsidRPr="004B23BB">
        <w:t>the</w:t>
      </w:r>
      <w:proofErr w:type="spellEnd"/>
      <w:r w:rsidRPr="004B23BB">
        <w:t xml:space="preserve"> Data field in a</w:t>
      </w:r>
      <w:r w:rsidR="007856D9" w:rsidRPr="004B23BB">
        <w:t>n</w:t>
      </w:r>
      <w:r w:rsidRPr="004B23BB">
        <w:t xml:space="preserve"> </w:t>
      </w:r>
      <w:r w:rsidR="007856D9" w:rsidRPr="004B23BB">
        <w:t>NGV</w:t>
      </w:r>
      <w:r w:rsidRPr="004B23BB">
        <w:t xml:space="preserve"> PPDU. The use of DCM on the Data field of an </w:t>
      </w:r>
      <w:r w:rsidR="007856D9" w:rsidRPr="004B23BB">
        <w:t>NGV</w:t>
      </w:r>
      <w:r w:rsidRPr="004B23BB">
        <w:t xml:space="preserve"> </w:t>
      </w:r>
      <w:r w:rsidR="007856D9" w:rsidRPr="004B23BB">
        <w:t>P</w:t>
      </w:r>
      <w:r w:rsidRPr="004B23BB">
        <w:t>PDU</w:t>
      </w:r>
      <w:r w:rsidR="007856D9" w:rsidRPr="004B23BB">
        <w:t xml:space="preserve"> </w:t>
      </w:r>
      <w:r w:rsidRPr="004B23BB">
        <w:t xml:space="preserve">is indicated in the </w:t>
      </w:r>
      <w:r w:rsidR="0055161A" w:rsidRPr="004B23BB">
        <w:t>TBD</w:t>
      </w:r>
      <w:r w:rsidRPr="004B23BB">
        <w:t xml:space="preserve">. DCM is applied only for the </w:t>
      </w:r>
      <w:r w:rsidR="007856D9" w:rsidRPr="004B23BB">
        <w:t>NGV</w:t>
      </w:r>
      <w:r w:rsidRPr="004B23BB">
        <w:t>-MCS 0.</w:t>
      </w:r>
      <w:r w:rsidR="00DE2C33">
        <w:t xml:space="preserve"> </w:t>
      </w:r>
    </w:p>
    <w:p w14:paraId="179B44C9" w14:textId="2A801488" w:rsidR="00DE2C33" w:rsidRDefault="00DE2C33" w:rsidP="00CC088A">
      <w:pPr>
        <w:pStyle w:val="BodyText"/>
      </w:pPr>
    </w:p>
    <w:p w14:paraId="37824138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lastRenderedPageBreak/>
        <w:t>Timing related parameters</w:t>
      </w:r>
    </w:p>
    <w:p w14:paraId="1B0CD6D7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>Mathematical description of signals</w:t>
      </w:r>
    </w:p>
    <w:p w14:paraId="569AB33F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 xml:space="preserve">NGV Preamble </w:t>
      </w:r>
    </w:p>
    <w:p w14:paraId="07DB5A1F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>Data field</w:t>
      </w:r>
    </w:p>
    <w:p w14:paraId="051D0FC3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>Transmit specification</w:t>
      </w:r>
    </w:p>
    <w:p w14:paraId="5B003AF1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>Receiver specification</w:t>
      </w:r>
    </w:p>
    <w:p w14:paraId="32E216E1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>NGV transmit procedure</w:t>
      </w:r>
    </w:p>
    <w:p w14:paraId="26947BB9" w14:textId="77777777" w:rsidR="00AF0A2B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 xml:space="preserve">NGV receive </w:t>
      </w:r>
      <w:proofErr w:type="spellStart"/>
      <w:r w:rsidRPr="00376EE7">
        <w:rPr>
          <w:color w:val="E7E6E6" w:themeColor="background2"/>
        </w:rPr>
        <w:t>proceduee</w:t>
      </w:r>
      <w:proofErr w:type="spellEnd"/>
      <w:r w:rsidRPr="00376EE7">
        <w:rPr>
          <w:color w:val="E7E6E6" w:themeColor="background2"/>
        </w:rPr>
        <w:t xml:space="preserve"> </w:t>
      </w:r>
    </w:p>
    <w:p w14:paraId="1FB83C52" w14:textId="77777777" w:rsidR="00865B58" w:rsidRPr="00376EE7" w:rsidRDefault="00AF0A2B" w:rsidP="001C23FE">
      <w:pPr>
        <w:pStyle w:val="Heading2"/>
        <w:rPr>
          <w:color w:val="E7E6E6" w:themeColor="background2"/>
        </w:rPr>
      </w:pPr>
      <w:r w:rsidRPr="00376EE7">
        <w:rPr>
          <w:color w:val="E7E6E6" w:themeColor="background2"/>
        </w:rPr>
        <w:t>Regulatory requirements</w:t>
      </w:r>
    </w:p>
    <w:p w14:paraId="75DEB7F7" w14:textId="3F99CF72" w:rsidR="00AF0A2B" w:rsidRPr="00AF0A2B" w:rsidRDefault="00865B58" w:rsidP="001C23FE">
      <w:pPr>
        <w:pStyle w:val="Heading2"/>
      </w:pPr>
      <w:r>
        <w:t>Parameters for NGV-MCSs</w:t>
      </w:r>
      <w:r w:rsidR="00AF0A2B">
        <w:t xml:space="preserve"> </w:t>
      </w:r>
    </w:p>
    <w:p w14:paraId="129E7E30" w14:textId="15B8E198" w:rsidR="008A0A98" w:rsidRPr="008A0A98" w:rsidRDefault="00386147" w:rsidP="00386147">
      <w:pPr>
        <w:pStyle w:val="BodyText"/>
      </w:pPr>
      <w:r>
        <w:t xml:space="preserve">The rate-dependent parameters for 10 MHz and 20 MHz are given in Table </w:t>
      </w:r>
      <w:r w:rsidR="00376EE7">
        <w:t>3</w:t>
      </w:r>
      <w:r>
        <w:t>3-</w:t>
      </w:r>
      <w:r w:rsidR="00376EE7">
        <w:t>x</w:t>
      </w:r>
      <w:r w:rsidR="00CF7233">
        <w:t>1</w:t>
      </w:r>
      <w:r>
        <w:t xml:space="preserve"> (NGV-MCSs for 10 MHz, NSS = 1) to Table 33-</w:t>
      </w:r>
      <w:r w:rsidR="00376EE7">
        <w:t>x</w:t>
      </w:r>
      <w:r w:rsidR="00CF7233">
        <w:t>4</w:t>
      </w:r>
      <w:r>
        <w:t xml:space="preserve"> (NGV-MCSs for 20 MHz, NSS = 2). </w:t>
      </w:r>
    </w:p>
    <w:p w14:paraId="25522341" w14:textId="258455F3" w:rsidR="00602C66" w:rsidRDefault="00602C66" w:rsidP="00602C66">
      <w:pPr>
        <w:pStyle w:val="BodyText"/>
      </w:pPr>
    </w:p>
    <w:p w14:paraId="60E21528" w14:textId="1488BCF3" w:rsidR="00D20A0F" w:rsidRDefault="00D20A0F" w:rsidP="00D20A0F">
      <w:pPr>
        <w:pStyle w:val="BodyText"/>
        <w:jc w:val="center"/>
      </w:pPr>
      <w:r w:rsidRPr="00D20A0F">
        <w:t xml:space="preserve">Table </w:t>
      </w:r>
      <w:r w:rsidR="00376EE7">
        <w:t>3</w:t>
      </w:r>
      <w:r>
        <w:t>3</w:t>
      </w:r>
      <w:r w:rsidRPr="00D20A0F">
        <w:t>-</w:t>
      </w:r>
      <w:r w:rsidR="00376EE7">
        <w:t>x</w:t>
      </w:r>
      <w:r w:rsidR="00CF7233">
        <w:t>1</w:t>
      </w:r>
      <w:r w:rsidRPr="00D20A0F">
        <w:t>—</w:t>
      </w:r>
      <w:r>
        <w:t>NGV</w:t>
      </w:r>
      <w:r w:rsidRPr="00D20A0F">
        <w:t xml:space="preserve">-MCSs for </w:t>
      </w:r>
      <w:r>
        <w:t>1</w:t>
      </w:r>
      <w:r w:rsidRPr="00D20A0F">
        <w:t>0 MHz, NSS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102"/>
        <w:gridCol w:w="656"/>
        <w:gridCol w:w="921"/>
        <w:gridCol w:w="1114"/>
        <w:gridCol w:w="1253"/>
        <w:gridCol w:w="1117"/>
        <w:gridCol w:w="1800"/>
      </w:tblGrid>
      <w:tr w:rsidR="00D20A0F" w14:paraId="4E9D90AD" w14:textId="77777777" w:rsidTr="00D20A0F">
        <w:tc>
          <w:tcPr>
            <w:tcW w:w="1387" w:type="dxa"/>
          </w:tcPr>
          <w:p w14:paraId="4C77EC98" w14:textId="2F08CEF8" w:rsidR="00D20A0F" w:rsidRPr="00D20A0F" w:rsidRDefault="00D20A0F" w:rsidP="00D20A0F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NGV-MCS Index</w:t>
            </w:r>
          </w:p>
        </w:tc>
        <w:tc>
          <w:tcPr>
            <w:tcW w:w="1102" w:type="dxa"/>
          </w:tcPr>
          <w:p w14:paraId="2FBC4F46" w14:textId="56DA72F9" w:rsidR="00D20A0F" w:rsidRPr="00D20A0F" w:rsidRDefault="00D20A0F" w:rsidP="00D20A0F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Modula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tion</w:t>
            </w:r>
            <w:proofErr w:type="spellEnd"/>
          </w:p>
        </w:tc>
        <w:tc>
          <w:tcPr>
            <w:tcW w:w="656" w:type="dxa"/>
          </w:tcPr>
          <w:p w14:paraId="6639F1EA" w14:textId="4B980F8B" w:rsidR="00D20A0F" w:rsidRPr="00D20A0F" w:rsidRDefault="00D20A0F" w:rsidP="00D20A0F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R</w:t>
            </w:r>
          </w:p>
        </w:tc>
        <w:tc>
          <w:tcPr>
            <w:tcW w:w="921" w:type="dxa"/>
          </w:tcPr>
          <w:p w14:paraId="580294C5" w14:textId="69AE5506" w:rsidR="00D20A0F" w:rsidRPr="00D20A0F" w:rsidRDefault="00D20A0F" w:rsidP="00D20A0F">
            <w:pPr>
              <w:pStyle w:val="BodyText"/>
              <w:jc w:val="center"/>
              <w:rPr>
                <w:b/>
                <w:bCs/>
                <w:i/>
                <w:iCs/>
                <w:vertAlign w:val="subscript"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BPSCS</w:t>
            </w:r>
          </w:p>
        </w:tc>
        <w:tc>
          <w:tcPr>
            <w:tcW w:w="1114" w:type="dxa"/>
          </w:tcPr>
          <w:p w14:paraId="76121F95" w14:textId="5D3A66EA" w:rsidR="00D20A0F" w:rsidRPr="00D20A0F" w:rsidRDefault="00D20A0F" w:rsidP="00D20A0F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SD</w:t>
            </w:r>
          </w:p>
        </w:tc>
        <w:tc>
          <w:tcPr>
            <w:tcW w:w="1253" w:type="dxa"/>
          </w:tcPr>
          <w:p w14:paraId="3052850D" w14:textId="2E8F23E2" w:rsidR="00D20A0F" w:rsidRPr="00D20A0F" w:rsidRDefault="00D20A0F" w:rsidP="00D20A0F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CBPS</w:t>
            </w:r>
          </w:p>
        </w:tc>
        <w:tc>
          <w:tcPr>
            <w:tcW w:w="1117" w:type="dxa"/>
          </w:tcPr>
          <w:p w14:paraId="68C7092E" w14:textId="15874CD3" w:rsidR="00D20A0F" w:rsidRPr="00D20A0F" w:rsidRDefault="00D20A0F" w:rsidP="00D20A0F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DBPS</w:t>
            </w:r>
          </w:p>
        </w:tc>
        <w:tc>
          <w:tcPr>
            <w:tcW w:w="1800" w:type="dxa"/>
          </w:tcPr>
          <w:p w14:paraId="7CFA2021" w14:textId="77777777" w:rsidR="00D20A0F" w:rsidRDefault="00D20A0F" w:rsidP="00D20A0F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Data rate (Mb/s)</w:t>
            </w:r>
          </w:p>
          <w:p w14:paraId="36B81229" w14:textId="485E6B95" w:rsidR="00D20A0F" w:rsidRPr="00D20A0F" w:rsidRDefault="00D20A0F" w:rsidP="00D20A0F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 xml:space="preserve">1.6 </w:t>
            </w:r>
            <w:proofErr w:type="spellStart"/>
            <w:r w:rsidRPr="00D20A0F">
              <w:rPr>
                <w:b/>
                <w:bCs/>
              </w:rPr>
              <w:t>μs</w:t>
            </w:r>
            <w:proofErr w:type="spellEnd"/>
            <w:r w:rsidRPr="00D20A0F">
              <w:rPr>
                <w:b/>
                <w:bCs/>
              </w:rPr>
              <w:t xml:space="preserve"> GI</w:t>
            </w:r>
          </w:p>
        </w:tc>
      </w:tr>
      <w:tr w:rsidR="00D20A0F" w14:paraId="2A96CCE9" w14:textId="77777777" w:rsidTr="00D20A0F">
        <w:tc>
          <w:tcPr>
            <w:tcW w:w="1387" w:type="dxa"/>
          </w:tcPr>
          <w:p w14:paraId="0DC41843" w14:textId="46D4546B" w:rsidR="00D20A0F" w:rsidRDefault="00D20A0F" w:rsidP="00D20A0F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02" w:type="dxa"/>
          </w:tcPr>
          <w:p w14:paraId="36E38CE5" w14:textId="69C2B4FE" w:rsidR="00D20A0F" w:rsidRDefault="00D20A0F" w:rsidP="00D20A0F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656" w:type="dxa"/>
          </w:tcPr>
          <w:p w14:paraId="52A0FCC4" w14:textId="2564E2C7" w:rsidR="00D20A0F" w:rsidRDefault="00D20A0F" w:rsidP="00D20A0F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921" w:type="dxa"/>
          </w:tcPr>
          <w:p w14:paraId="050DC14D" w14:textId="4F70069D" w:rsidR="00D20A0F" w:rsidRDefault="00D20A0F" w:rsidP="00D20A0F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14" w:type="dxa"/>
          </w:tcPr>
          <w:p w14:paraId="7BBD4F22" w14:textId="6CABA62A" w:rsidR="00D20A0F" w:rsidRDefault="00D20A0F" w:rsidP="00D20A0F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253" w:type="dxa"/>
          </w:tcPr>
          <w:p w14:paraId="2891B2FB" w14:textId="0AD74C9D" w:rsidR="00D20A0F" w:rsidRDefault="00D20A0F" w:rsidP="00D20A0F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17" w:type="dxa"/>
          </w:tcPr>
          <w:p w14:paraId="788C02C0" w14:textId="03E67BED" w:rsidR="00D20A0F" w:rsidRDefault="00D20A0F" w:rsidP="00D20A0F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800" w:type="dxa"/>
          </w:tcPr>
          <w:p w14:paraId="2E52691A" w14:textId="231A811D" w:rsidR="00D20A0F" w:rsidRDefault="00D20A0F" w:rsidP="00D20A0F">
            <w:pPr>
              <w:pStyle w:val="BodyText"/>
              <w:jc w:val="center"/>
            </w:pPr>
            <w:r>
              <w:t>TBD</w:t>
            </w:r>
          </w:p>
        </w:tc>
      </w:tr>
    </w:tbl>
    <w:p w14:paraId="6ADF5AFA" w14:textId="77777777" w:rsidR="00374768" w:rsidRDefault="00374768" w:rsidP="003B5341">
      <w:pPr>
        <w:pStyle w:val="BodyText"/>
        <w:jc w:val="center"/>
      </w:pPr>
    </w:p>
    <w:p w14:paraId="56990D97" w14:textId="632CD8BD" w:rsidR="003B5341" w:rsidRDefault="003B5341" w:rsidP="003B5341">
      <w:pPr>
        <w:pStyle w:val="BodyText"/>
        <w:jc w:val="center"/>
      </w:pPr>
      <w:r w:rsidRPr="00D20A0F">
        <w:t xml:space="preserve">Table </w:t>
      </w:r>
      <w:r>
        <w:t>33</w:t>
      </w:r>
      <w:r w:rsidRPr="00D20A0F">
        <w:t>-</w:t>
      </w:r>
      <w:r>
        <w:t>x</w:t>
      </w:r>
      <w:r w:rsidR="00CF7233">
        <w:t>2</w:t>
      </w:r>
      <w:r w:rsidRPr="00D20A0F">
        <w:t>—</w:t>
      </w:r>
      <w:r>
        <w:t>NGV</w:t>
      </w:r>
      <w:r w:rsidRPr="00D20A0F">
        <w:t xml:space="preserve">-MCSs for </w:t>
      </w:r>
      <w:r>
        <w:t>1</w:t>
      </w:r>
      <w:r w:rsidRPr="00D20A0F">
        <w:t xml:space="preserve">0 MHz, NSS = </w:t>
      </w:r>
      <w: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102"/>
        <w:gridCol w:w="656"/>
        <w:gridCol w:w="921"/>
        <w:gridCol w:w="1114"/>
        <w:gridCol w:w="1253"/>
        <w:gridCol w:w="1117"/>
        <w:gridCol w:w="1800"/>
      </w:tblGrid>
      <w:tr w:rsidR="003B5341" w14:paraId="615B2081" w14:textId="77777777" w:rsidTr="00BA2A96">
        <w:tc>
          <w:tcPr>
            <w:tcW w:w="1387" w:type="dxa"/>
          </w:tcPr>
          <w:p w14:paraId="48AB2E4D" w14:textId="77777777" w:rsidR="003B5341" w:rsidRPr="00D20A0F" w:rsidRDefault="003B5341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NGV-MCS Index</w:t>
            </w:r>
          </w:p>
        </w:tc>
        <w:tc>
          <w:tcPr>
            <w:tcW w:w="1102" w:type="dxa"/>
          </w:tcPr>
          <w:p w14:paraId="6A1C0EA5" w14:textId="77777777" w:rsidR="003B5341" w:rsidRPr="00D20A0F" w:rsidRDefault="003B5341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Modula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tion</w:t>
            </w:r>
            <w:proofErr w:type="spellEnd"/>
          </w:p>
        </w:tc>
        <w:tc>
          <w:tcPr>
            <w:tcW w:w="656" w:type="dxa"/>
          </w:tcPr>
          <w:p w14:paraId="516AC581" w14:textId="77777777" w:rsidR="003B5341" w:rsidRPr="00D20A0F" w:rsidRDefault="003B5341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R</w:t>
            </w:r>
          </w:p>
        </w:tc>
        <w:tc>
          <w:tcPr>
            <w:tcW w:w="921" w:type="dxa"/>
          </w:tcPr>
          <w:p w14:paraId="0827BF7B" w14:textId="77777777" w:rsidR="003B5341" w:rsidRPr="00D20A0F" w:rsidRDefault="003B5341" w:rsidP="00BA2A96">
            <w:pPr>
              <w:pStyle w:val="BodyText"/>
              <w:jc w:val="center"/>
              <w:rPr>
                <w:b/>
                <w:bCs/>
                <w:i/>
                <w:iCs/>
                <w:vertAlign w:val="subscript"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BPSCS</w:t>
            </w:r>
          </w:p>
        </w:tc>
        <w:tc>
          <w:tcPr>
            <w:tcW w:w="1114" w:type="dxa"/>
          </w:tcPr>
          <w:p w14:paraId="77E98E73" w14:textId="77777777" w:rsidR="003B5341" w:rsidRPr="00D20A0F" w:rsidRDefault="003B5341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SD</w:t>
            </w:r>
          </w:p>
        </w:tc>
        <w:tc>
          <w:tcPr>
            <w:tcW w:w="1253" w:type="dxa"/>
          </w:tcPr>
          <w:p w14:paraId="560AB787" w14:textId="77777777" w:rsidR="003B5341" w:rsidRPr="00D20A0F" w:rsidRDefault="003B5341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CBPS</w:t>
            </w:r>
          </w:p>
        </w:tc>
        <w:tc>
          <w:tcPr>
            <w:tcW w:w="1117" w:type="dxa"/>
          </w:tcPr>
          <w:p w14:paraId="742FA9A8" w14:textId="77777777" w:rsidR="003B5341" w:rsidRPr="00D20A0F" w:rsidRDefault="003B5341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DBPS</w:t>
            </w:r>
          </w:p>
        </w:tc>
        <w:tc>
          <w:tcPr>
            <w:tcW w:w="1800" w:type="dxa"/>
          </w:tcPr>
          <w:p w14:paraId="638C7649" w14:textId="77777777" w:rsidR="003B5341" w:rsidRDefault="003B5341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Data rate (Mb/s)</w:t>
            </w:r>
          </w:p>
          <w:p w14:paraId="1EA2A9DC" w14:textId="77777777" w:rsidR="003B5341" w:rsidRPr="00D20A0F" w:rsidRDefault="003B5341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 xml:space="preserve">1.6 </w:t>
            </w:r>
            <w:proofErr w:type="spellStart"/>
            <w:r w:rsidRPr="00D20A0F">
              <w:rPr>
                <w:b/>
                <w:bCs/>
              </w:rPr>
              <w:t>μs</w:t>
            </w:r>
            <w:proofErr w:type="spellEnd"/>
            <w:r w:rsidRPr="00D20A0F">
              <w:rPr>
                <w:b/>
                <w:bCs/>
              </w:rPr>
              <w:t xml:space="preserve"> GI</w:t>
            </w:r>
          </w:p>
        </w:tc>
      </w:tr>
      <w:tr w:rsidR="003B5341" w14:paraId="2B0E4F6F" w14:textId="77777777" w:rsidTr="00BA2A96">
        <w:tc>
          <w:tcPr>
            <w:tcW w:w="1387" w:type="dxa"/>
          </w:tcPr>
          <w:p w14:paraId="7FFAEEEB" w14:textId="77777777" w:rsidR="003B5341" w:rsidRDefault="003B5341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02" w:type="dxa"/>
          </w:tcPr>
          <w:p w14:paraId="58ACA973" w14:textId="77777777" w:rsidR="003B5341" w:rsidRDefault="003B5341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656" w:type="dxa"/>
          </w:tcPr>
          <w:p w14:paraId="72ED992F" w14:textId="77777777" w:rsidR="003B5341" w:rsidRDefault="003B5341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921" w:type="dxa"/>
          </w:tcPr>
          <w:p w14:paraId="201A9C4F" w14:textId="77777777" w:rsidR="003B5341" w:rsidRDefault="003B5341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14" w:type="dxa"/>
          </w:tcPr>
          <w:p w14:paraId="37EB3C78" w14:textId="77777777" w:rsidR="003B5341" w:rsidRDefault="003B5341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253" w:type="dxa"/>
          </w:tcPr>
          <w:p w14:paraId="567BA328" w14:textId="77777777" w:rsidR="003B5341" w:rsidRDefault="003B5341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17" w:type="dxa"/>
          </w:tcPr>
          <w:p w14:paraId="602F0E05" w14:textId="77777777" w:rsidR="003B5341" w:rsidRDefault="003B5341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800" w:type="dxa"/>
          </w:tcPr>
          <w:p w14:paraId="0839C384" w14:textId="77777777" w:rsidR="003B5341" w:rsidRDefault="003B5341" w:rsidP="00BA2A96">
            <w:pPr>
              <w:pStyle w:val="BodyText"/>
              <w:jc w:val="center"/>
            </w:pPr>
            <w:r>
              <w:t>TBD</w:t>
            </w:r>
          </w:p>
        </w:tc>
      </w:tr>
    </w:tbl>
    <w:p w14:paraId="6BDD6EE3" w14:textId="77777777" w:rsidR="003B5341" w:rsidRDefault="003B5341" w:rsidP="00D20A0F">
      <w:pPr>
        <w:pStyle w:val="BodyText"/>
        <w:jc w:val="center"/>
      </w:pPr>
    </w:p>
    <w:p w14:paraId="79681195" w14:textId="2B67E258" w:rsidR="00374768" w:rsidRDefault="00374768" w:rsidP="00374768">
      <w:pPr>
        <w:pStyle w:val="BodyText"/>
        <w:jc w:val="center"/>
      </w:pPr>
      <w:r w:rsidRPr="00D20A0F">
        <w:t xml:space="preserve">Table </w:t>
      </w:r>
      <w:r>
        <w:t>33</w:t>
      </w:r>
      <w:r w:rsidRPr="00D20A0F">
        <w:t>-</w:t>
      </w:r>
      <w:r>
        <w:t>x</w:t>
      </w:r>
      <w:r w:rsidR="00CF7233">
        <w:t>3</w:t>
      </w:r>
      <w:r w:rsidRPr="00D20A0F">
        <w:t>—</w:t>
      </w:r>
      <w:r>
        <w:t>NGV</w:t>
      </w:r>
      <w:r w:rsidRPr="00D20A0F">
        <w:t xml:space="preserve">-MCSs for </w:t>
      </w:r>
      <w:r>
        <w:t>2</w:t>
      </w:r>
      <w:r w:rsidRPr="00D20A0F">
        <w:t>0 MHz, NSS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102"/>
        <w:gridCol w:w="656"/>
        <w:gridCol w:w="921"/>
        <w:gridCol w:w="1114"/>
        <w:gridCol w:w="1253"/>
        <w:gridCol w:w="1117"/>
        <w:gridCol w:w="1800"/>
      </w:tblGrid>
      <w:tr w:rsidR="00374768" w14:paraId="5562BE92" w14:textId="77777777" w:rsidTr="00BA2A96">
        <w:tc>
          <w:tcPr>
            <w:tcW w:w="1387" w:type="dxa"/>
          </w:tcPr>
          <w:p w14:paraId="28777F3C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NGV-MCS Index</w:t>
            </w:r>
          </w:p>
        </w:tc>
        <w:tc>
          <w:tcPr>
            <w:tcW w:w="1102" w:type="dxa"/>
          </w:tcPr>
          <w:p w14:paraId="0B58EF40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Modula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tion</w:t>
            </w:r>
            <w:proofErr w:type="spellEnd"/>
          </w:p>
        </w:tc>
        <w:tc>
          <w:tcPr>
            <w:tcW w:w="656" w:type="dxa"/>
          </w:tcPr>
          <w:p w14:paraId="6DDF248B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R</w:t>
            </w:r>
          </w:p>
        </w:tc>
        <w:tc>
          <w:tcPr>
            <w:tcW w:w="921" w:type="dxa"/>
          </w:tcPr>
          <w:p w14:paraId="2489CE7A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  <w:i/>
                <w:iCs/>
                <w:vertAlign w:val="subscript"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BPSCS</w:t>
            </w:r>
          </w:p>
        </w:tc>
        <w:tc>
          <w:tcPr>
            <w:tcW w:w="1114" w:type="dxa"/>
          </w:tcPr>
          <w:p w14:paraId="55C2DA0A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SD</w:t>
            </w:r>
          </w:p>
        </w:tc>
        <w:tc>
          <w:tcPr>
            <w:tcW w:w="1253" w:type="dxa"/>
          </w:tcPr>
          <w:p w14:paraId="2F33828F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CBPS</w:t>
            </w:r>
          </w:p>
        </w:tc>
        <w:tc>
          <w:tcPr>
            <w:tcW w:w="1117" w:type="dxa"/>
          </w:tcPr>
          <w:p w14:paraId="66246204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DBPS</w:t>
            </w:r>
          </w:p>
        </w:tc>
        <w:tc>
          <w:tcPr>
            <w:tcW w:w="1800" w:type="dxa"/>
          </w:tcPr>
          <w:p w14:paraId="1CD12AE4" w14:textId="77777777" w:rsidR="00374768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Data rate (Mb/s)</w:t>
            </w:r>
          </w:p>
          <w:p w14:paraId="1F6734D6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 xml:space="preserve">1.6 </w:t>
            </w:r>
            <w:proofErr w:type="spellStart"/>
            <w:r w:rsidRPr="00D20A0F">
              <w:rPr>
                <w:b/>
                <w:bCs/>
              </w:rPr>
              <w:t>μs</w:t>
            </w:r>
            <w:proofErr w:type="spellEnd"/>
            <w:r w:rsidRPr="00D20A0F">
              <w:rPr>
                <w:b/>
                <w:bCs/>
              </w:rPr>
              <w:t xml:space="preserve"> GI</w:t>
            </w:r>
          </w:p>
        </w:tc>
      </w:tr>
      <w:tr w:rsidR="00374768" w14:paraId="0A2B28CB" w14:textId="77777777" w:rsidTr="00BA2A96">
        <w:tc>
          <w:tcPr>
            <w:tcW w:w="1387" w:type="dxa"/>
          </w:tcPr>
          <w:p w14:paraId="4835D628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02" w:type="dxa"/>
          </w:tcPr>
          <w:p w14:paraId="5465A4AE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656" w:type="dxa"/>
          </w:tcPr>
          <w:p w14:paraId="5A6B937B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921" w:type="dxa"/>
          </w:tcPr>
          <w:p w14:paraId="6C05C194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14" w:type="dxa"/>
          </w:tcPr>
          <w:p w14:paraId="33E03A2F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253" w:type="dxa"/>
          </w:tcPr>
          <w:p w14:paraId="3C24FACF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17" w:type="dxa"/>
          </w:tcPr>
          <w:p w14:paraId="71B6B9F4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800" w:type="dxa"/>
          </w:tcPr>
          <w:p w14:paraId="0A08AEEB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</w:tr>
    </w:tbl>
    <w:p w14:paraId="34C8A8CC" w14:textId="77777777" w:rsidR="00374768" w:rsidRDefault="00374768" w:rsidP="00374768">
      <w:pPr>
        <w:pStyle w:val="BodyText"/>
        <w:jc w:val="center"/>
      </w:pPr>
    </w:p>
    <w:p w14:paraId="110064AB" w14:textId="6968FE96" w:rsidR="00374768" w:rsidRDefault="00374768" w:rsidP="00374768">
      <w:pPr>
        <w:pStyle w:val="BodyText"/>
        <w:jc w:val="center"/>
      </w:pPr>
      <w:r w:rsidRPr="00D20A0F">
        <w:lastRenderedPageBreak/>
        <w:t xml:space="preserve">Table </w:t>
      </w:r>
      <w:r>
        <w:t>33</w:t>
      </w:r>
      <w:r w:rsidRPr="00D20A0F">
        <w:t>-</w:t>
      </w:r>
      <w:r>
        <w:t>x</w:t>
      </w:r>
      <w:r w:rsidR="00CF7233">
        <w:t>4</w:t>
      </w:r>
      <w:r w:rsidRPr="00D20A0F">
        <w:t>—</w:t>
      </w:r>
      <w:r>
        <w:t>NGV</w:t>
      </w:r>
      <w:r w:rsidRPr="00D20A0F">
        <w:t xml:space="preserve">-MCSs for </w:t>
      </w:r>
      <w:r>
        <w:t>2</w:t>
      </w:r>
      <w:r w:rsidRPr="00D20A0F">
        <w:t xml:space="preserve">0 MHz, NSS = </w:t>
      </w:r>
      <w: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102"/>
        <w:gridCol w:w="656"/>
        <w:gridCol w:w="921"/>
        <w:gridCol w:w="1114"/>
        <w:gridCol w:w="1253"/>
        <w:gridCol w:w="1117"/>
        <w:gridCol w:w="1800"/>
      </w:tblGrid>
      <w:tr w:rsidR="00374768" w14:paraId="14427520" w14:textId="77777777" w:rsidTr="00BA2A96">
        <w:tc>
          <w:tcPr>
            <w:tcW w:w="1387" w:type="dxa"/>
          </w:tcPr>
          <w:p w14:paraId="57229D55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NGV-MCS Index</w:t>
            </w:r>
          </w:p>
        </w:tc>
        <w:tc>
          <w:tcPr>
            <w:tcW w:w="1102" w:type="dxa"/>
          </w:tcPr>
          <w:p w14:paraId="65FA9BF8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Modula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tion</w:t>
            </w:r>
            <w:proofErr w:type="spellEnd"/>
          </w:p>
        </w:tc>
        <w:tc>
          <w:tcPr>
            <w:tcW w:w="656" w:type="dxa"/>
          </w:tcPr>
          <w:p w14:paraId="5A3E6DFB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R</w:t>
            </w:r>
          </w:p>
        </w:tc>
        <w:tc>
          <w:tcPr>
            <w:tcW w:w="921" w:type="dxa"/>
          </w:tcPr>
          <w:p w14:paraId="280E1DD0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  <w:i/>
                <w:iCs/>
                <w:vertAlign w:val="subscript"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BPSCS</w:t>
            </w:r>
          </w:p>
        </w:tc>
        <w:tc>
          <w:tcPr>
            <w:tcW w:w="1114" w:type="dxa"/>
          </w:tcPr>
          <w:p w14:paraId="409A700E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SD</w:t>
            </w:r>
          </w:p>
        </w:tc>
        <w:tc>
          <w:tcPr>
            <w:tcW w:w="1253" w:type="dxa"/>
          </w:tcPr>
          <w:p w14:paraId="7FC9AB77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CBPS</w:t>
            </w:r>
          </w:p>
        </w:tc>
        <w:tc>
          <w:tcPr>
            <w:tcW w:w="1117" w:type="dxa"/>
          </w:tcPr>
          <w:p w14:paraId="76C3E106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  <w:i/>
                <w:iCs/>
              </w:rPr>
              <w:t>N</w:t>
            </w:r>
            <w:r w:rsidRPr="00D20A0F">
              <w:rPr>
                <w:b/>
                <w:bCs/>
                <w:i/>
                <w:iCs/>
                <w:vertAlign w:val="subscript"/>
              </w:rPr>
              <w:t>DBPS</w:t>
            </w:r>
          </w:p>
        </w:tc>
        <w:tc>
          <w:tcPr>
            <w:tcW w:w="1800" w:type="dxa"/>
          </w:tcPr>
          <w:p w14:paraId="539C997E" w14:textId="77777777" w:rsidR="00374768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>Data rate (Mb/s)</w:t>
            </w:r>
          </w:p>
          <w:p w14:paraId="39B9496C" w14:textId="77777777" w:rsidR="00374768" w:rsidRPr="00D20A0F" w:rsidRDefault="00374768" w:rsidP="00BA2A96">
            <w:pPr>
              <w:pStyle w:val="BodyText"/>
              <w:jc w:val="center"/>
              <w:rPr>
                <w:b/>
                <w:bCs/>
              </w:rPr>
            </w:pPr>
            <w:r w:rsidRPr="00D20A0F">
              <w:rPr>
                <w:b/>
                <w:bCs/>
              </w:rPr>
              <w:t xml:space="preserve">1.6 </w:t>
            </w:r>
            <w:proofErr w:type="spellStart"/>
            <w:r w:rsidRPr="00D20A0F">
              <w:rPr>
                <w:b/>
                <w:bCs/>
              </w:rPr>
              <w:t>μs</w:t>
            </w:r>
            <w:proofErr w:type="spellEnd"/>
            <w:r w:rsidRPr="00D20A0F">
              <w:rPr>
                <w:b/>
                <w:bCs/>
              </w:rPr>
              <w:t xml:space="preserve"> GI</w:t>
            </w:r>
          </w:p>
        </w:tc>
      </w:tr>
      <w:tr w:rsidR="00374768" w14:paraId="6362B061" w14:textId="77777777" w:rsidTr="00BA2A96">
        <w:tc>
          <w:tcPr>
            <w:tcW w:w="1387" w:type="dxa"/>
          </w:tcPr>
          <w:p w14:paraId="54940BA4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02" w:type="dxa"/>
          </w:tcPr>
          <w:p w14:paraId="4E8F6333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656" w:type="dxa"/>
          </w:tcPr>
          <w:p w14:paraId="6DDD8673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921" w:type="dxa"/>
          </w:tcPr>
          <w:p w14:paraId="667BCB55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14" w:type="dxa"/>
          </w:tcPr>
          <w:p w14:paraId="363468E7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253" w:type="dxa"/>
          </w:tcPr>
          <w:p w14:paraId="13A92469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117" w:type="dxa"/>
          </w:tcPr>
          <w:p w14:paraId="5AE6965A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  <w:tc>
          <w:tcPr>
            <w:tcW w:w="1800" w:type="dxa"/>
          </w:tcPr>
          <w:p w14:paraId="5B22DC1A" w14:textId="77777777" w:rsidR="00374768" w:rsidRDefault="00374768" w:rsidP="00BA2A96">
            <w:pPr>
              <w:pStyle w:val="BodyText"/>
              <w:jc w:val="center"/>
            </w:pPr>
            <w:r>
              <w:t>TBD</w:t>
            </w:r>
          </w:p>
        </w:tc>
      </w:tr>
    </w:tbl>
    <w:p w14:paraId="5C155865" w14:textId="77777777" w:rsidR="00374768" w:rsidRDefault="00374768" w:rsidP="00374768">
      <w:pPr>
        <w:pStyle w:val="BodyText"/>
        <w:jc w:val="center"/>
      </w:pPr>
    </w:p>
    <w:p w14:paraId="0A0A9CAC" w14:textId="77777777" w:rsidR="00D20A0F" w:rsidRPr="00602C66" w:rsidRDefault="00D20A0F" w:rsidP="00D20A0F">
      <w:pPr>
        <w:pStyle w:val="BodyText"/>
      </w:pPr>
    </w:p>
    <w:p w14:paraId="1E82242C" w14:textId="77777777" w:rsidR="00D20A0F" w:rsidRPr="00602C66" w:rsidRDefault="00D20A0F" w:rsidP="00602C66">
      <w:pPr>
        <w:pStyle w:val="BodyText"/>
      </w:pPr>
    </w:p>
    <w:sectPr w:rsidR="00D20A0F" w:rsidRPr="00602C66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9A7EA" w14:textId="77777777" w:rsidR="00B30A06" w:rsidRDefault="00B30A06">
      <w:r>
        <w:separator/>
      </w:r>
    </w:p>
  </w:endnote>
  <w:endnote w:type="continuationSeparator" w:id="0">
    <w:p w14:paraId="4AA28A20" w14:textId="77777777" w:rsidR="00B30A06" w:rsidRDefault="00B3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293C3891" w:rsidR="00392276" w:rsidRDefault="00392276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</w:t>
    </w:r>
    <w:r w:rsidR="000B0CDB">
      <w:t>roposd</w:t>
    </w:r>
    <w:proofErr w:type="spellEnd"/>
    <w:r w:rsidR="000B0CDB">
      <w:t xml:space="preserve"> </w:t>
    </w:r>
    <w:proofErr w:type="spellStart"/>
    <w:r w:rsidR="000B0CDB"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7ED5">
      <w:rPr>
        <w:noProof/>
      </w:rPr>
      <w:t>4</w:t>
    </w:r>
    <w:r>
      <w:fldChar w:fldCharType="end"/>
    </w:r>
    <w:r>
      <w:tab/>
    </w:r>
    <w:r w:rsidR="00B62866">
      <w:fldChar w:fldCharType="begin"/>
    </w:r>
    <w:r w:rsidR="00B62866">
      <w:instrText xml:space="preserve"> COMMENTS   \* MERGEFORMAT </w:instrText>
    </w:r>
    <w:r w:rsidR="00B62866">
      <w:fldChar w:fldCharType="separate"/>
    </w:r>
    <w:r w:rsidR="00330D10">
      <w:t>Yujin Noh</w:t>
    </w:r>
    <w:r>
      <w:t xml:space="preserve">, </w:t>
    </w:r>
    <w:proofErr w:type="spellStart"/>
    <w:r w:rsidR="00330D10">
      <w:t>Newracom</w:t>
    </w:r>
    <w:proofErr w:type="spellEnd"/>
    <w:r w:rsidR="00B62866">
      <w:fldChar w:fldCharType="end"/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93B36" w14:textId="77777777" w:rsidR="00B30A06" w:rsidRDefault="00B30A06">
      <w:r>
        <w:separator/>
      </w:r>
    </w:p>
  </w:footnote>
  <w:footnote w:type="continuationSeparator" w:id="0">
    <w:p w14:paraId="5E9AF8E2" w14:textId="77777777" w:rsidR="00B30A06" w:rsidRDefault="00B3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0EC5634C" w:rsidR="00392276" w:rsidRDefault="0019672D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30D10">
      <w:t>Nov</w:t>
    </w:r>
    <w:r w:rsidR="00392276">
      <w:t xml:space="preserve"> 2019</w:t>
    </w:r>
    <w:r>
      <w:fldChar w:fldCharType="end"/>
    </w:r>
    <w:r w:rsidR="00392276">
      <w:tab/>
    </w:r>
    <w:r w:rsidR="00392276">
      <w:tab/>
    </w:r>
    <w:fldSimple w:instr=" TITLE  \* MERGEFORMAT ">
      <w:r w:rsidR="003445DC">
        <w:t>doc.: IEEE 802.11-19/</w:t>
      </w:r>
      <w:r w:rsidR="00097BB6">
        <w:t>1860</w:t>
      </w:r>
      <w:r w:rsidR="00392276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024454D2"/>
    <w:lvl w:ilvl="0">
      <w:start w:val="33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11009"/>
    <w:rsid w:val="00013C43"/>
    <w:rsid w:val="00015F03"/>
    <w:rsid w:val="00017517"/>
    <w:rsid w:val="00017B78"/>
    <w:rsid w:val="00021FBC"/>
    <w:rsid w:val="0002639C"/>
    <w:rsid w:val="00032E02"/>
    <w:rsid w:val="000359C1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5361"/>
    <w:rsid w:val="00057544"/>
    <w:rsid w:val="00057981"/>
    <w:rsid w:val="00057C8D"/>
    <w:rsid w:val="00081DB2"/>
    <w:rsid w:val="000840D0"/>
    <w:rsid w:val="00085C91"/>
    <w:rsid w:val="000863DA"/>
    <w:rsid w:val="00086463"/>
    <w:rsid w:val="00093E53"/>
    <w:rsid w:val="000958CD"/>
    <w:rsid w:val="000977BD"/>
    <w:rsid w:val="00097BB6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285F"/>
    <w:rsid w:val="000C5A1D"/>
    <w:rsid w:val="000D180D"/>
    <w:rsid w:val="000D2559"/>
    <w:rsid w:val="000D3B65"/>
    <w:rsid w:val="000D43F8"/>
    <w:rsid w:val="000D4C9E"/>
    <w:rsid w:val="000E151D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466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93996"/>
    <w:rsid w:val="0019672D"/>
    <w:rsid w:val="0019712F"/>
    <w:rsid w:val="001A2B00"/>
    <w:rsid w:val="001A5226"/>
    <w:rsid w:val="001A5FD0"/>
    <w:rsid w:val="001B02FA"/>
    <w:rsid w:val="001B217E"/>
    <w:rsid w:val="001C23FE"/>
    <w:rsid w:val="001D25A0"/>
    <w:rsid w:val="001D3204"/>
    <w:rsid w:val="001D4CD9"/>
    <w:rsid w:val="001D6175"/>
    <w:rsid w:val="001D723B"/>
    <w:rsid w:val="001E3BE4"/>
    <w:rsid w:val="001E47B8"/>
    <w:rsid w:val="001F376F"/>
    <w:rsid w:val="001F5A28"/>
    <w:rsid w:val="0020389D"/>
    <w:rsid w:val="002126A1"/>
    <w:rsid w:val="00212EC4"/>
    <w:rsid w:val="00214C65"/>
    <w:rsid w:val="002235F6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7873"/>
    <w:rsid w:val="00277A9A"/>
    <w:rsid w:val="002836D0"/>
    <w:rsid w:val="0028670D"/>
    <w:rsid w:val="0029020B"/>
    <w:rsid w:val="002907EE"/>
    <w:rsid w:val="002917A7"/>
    <w:rsid w:val="00293A6D"/>
    <w:rsid w:val="002A6FE1"/>
    <w:rsid w:val="002B1ACA"/>
    <w:rsid w:val="002B3A59"/>
    <w:rsid w:val="002B58CB"/>
    <w:rsid w:val="002C1AFC"/>
    <w:rsid w:val="002C302B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5B68"/>
    <w:rsid w:val="00312897"/>
    <w:rsid w:val="00317E81"/>
    <w:rsid w:val="00326D9A"/>
    <w:rsid w:val="00327E24"/>
    <w:rsid w:val="0033024A"/>
    <w:rsid w:val="00330D10"/>
    <w:rsid w:val="003361D2"/>
    <w:rsid w:val="00342890"/>
    <w:rsid w:val="003445DC"/>
    <w:rsid w:val="003467AC"/>
    <w:rsid w:val="00360C64"/>
    <w:rsid w:val="00361221"/>
    <w:rsid w:val="0036165C"/>
    <w:rsid w:val="00361A7D"/>
    <w:rsid w:val="00370D13"/>
    <w:rsid w:val="00374768"/>
    <w:rsid w:val="00375604"/>
    <w:rsid w:val="00375F40"/>
    <w:rsid w:val="0037683B"/>
    <w:rsid w:val="00376EE7"/>
    <w:rsid w:val="00386147"/>
    <w:rsid w:val="0038640A"/>
    <w:rsid w:val="00392276"/>
    <w:rsid w:val="0039564A"/>
    <w:rsid w:val="003A2858"/>
    <w:rsid w:val="003B4F7E"/>
    <w:rsid w:val="003B5341"/>
    <w:rsid w:val="003B7FE9"/>
    <w:rsid w:val="003C292F"/>
    <w:rsid w:val="003D2021"/>
    <w:rsid w:val="003D6E7F"/>
    <w:rsid w:val="003E49B0"/>
    <w:rsid w:val="003E612A"/>
    <w:rsid w:val="003E71AE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110"/>
    <w:rsid w:val="00424588"/>
    <w:rsid w:val="00426089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864"/>
    <w:rsid w:val="00490F85"/>
    <w:rsid w:val="00496EA5"/>
    <w:rsid w:val="004A35AB"/>
    <w:rsid w:val="004A40B7"/>
    <w:rsid w:val="004A4FAA"/>
    <w:rsid w:val="004A66D0"/>
    <w:rsid w:val="004A6910"/>
    <w:rsid w:val="004B08C7"/>
    <w:rsid w:val="004B23BB"/>
    <w:rsid w:val="004B2B82"/>
    <w:rsid w:val="004B33E7"/>
    <w:rsid w:val="004C0C4E"/>
    <w:rsid w:val="004C133A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7BD7"/>
    <w:rsid w:val="00541F1E"/>
    <w:rsid w:val="005423A3"/>
    <w:rsid w:val="00542A71"/>
    <w:rsid w:val="00542EB6"/>
    <w:rsid w:val="005500DD"/>
    <w:rsid w:val="0055161A"/>
    <w:rsid w:val="00552778"/>
    <w:rsid w:val="005546A8"/>
    <w:rsid w:val="005555E4"/>
    <w:rsid w:val="00555978"/>
    <w:rsid w:val="00560867"/>
    <w:rsid w:val="00566705"/>
    <w:rsid w:val="00566D11"/>
    <w:rsid w:val="0057495D"/>
    <w:rsid w:val="00577F01"/>
    <w:rsid w:val="00585E89"/>
    <w:rsid w:val="00590896"/>
    <w:rsid w:val="005915A7"/>
    <w:rsid w:val="00596268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D16E9"/>
    <w:rsid w:val="005D7E4F"/>
    <w:rsid w:val="005E3477"/>
    <w:rsid w:val="005E3A8F"/>
    <w:rsid w:val="005E4924"/>
    <w:rsid w:val="005F4E9B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2A68"/>
    <w:rsid w:val="00622B9A"/>
    <w:rsid w:val="0062440B"/>
    <w:rsid w:val="0063087F"/>
    <w:rsid w:val="00632143"/>
    <w:rsid w:val="00634189"/>
    <w:rsid w:val="00634FA1"/>
    <w:rsid w:val="00640FBB"/>
    <w:rsid w:val="0064706A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D040E"/>
    <w:rsid w:val="006D25FA"/>
    <w:rsid w:val="006D61F5"/>
    <w:rsid w:val="006E145F"/>
    <w:rsid w:val="006F2890"/>
    <w:rsid w:val="006F4200"/>
    <w:rsid w:val="006F7D0B"/>
    <w:rsid w:val="00700B6A"/>
    <w:rsid w:val="00704203"/>
    <w:rsid w:val="00704746"/>
    <w:rsid w:val="00710500"/>
    <w:rsid w:val="007207AE"/>
    <w:rsid w:val="0072189A"/>
    <w:rsid w:val="00721E00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7566"/>
    <w:rsid w:val="00760889"/>
    <w:rsid w:val="00762A7D"/>
    <w:rsid w:val="00770572"/>
    <w:rsid w:val="00774097"/>
    <w:rsid w:val="00777608"/>
    <w:rsid w:val="00781A78"/>
    <w:rsid w:val="007856D9"/>
    <w:rsid w:val="00785E93"/>
    <w:rsid w:val="00787FAD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F0DD7"/>
    <w:rsid w:val="008023E1"/>
    <w:rsid w:val="008026FC"/>
    <w:rsid w:val="008050EC"/>
    <w:rsid w:val="00807234"/>
    <w:rsid w:val="00814D7A"/>
    <w:rsid w:val="008151DF"/>
    <w:rsid w:val="008243BD"/>
    <w:rsid w:val="00827530"/>
    <w:rsid w:val="00827A6D"/>
    <w:rsid w:val="0083499A"/>
    <w:rsid w:val="00840049"/>
    <w:rsid w:val="00842FAD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5B58"/>
    <w:rsid w:val="00867F0A"/>
    <w:rsid w:val="00870C39"/>
    <w:rsid w:val="00877031"/>
    <w:rsid w:val="00880691"/>
    <w:rsid w:val="00880A16"/>
    <w:rsid w:val="008848BE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4526"/>
    <w:rsid w:val="008C557D"/>
    <w:rsid w:val="008C6206"/>
    <w:rsid w:val="008C63DE"/>
    <w:rsid w:val="008C6A76"/>
    <w:rsid w:val="008C6B1F"/>
    <w:rsid w:val="008F1369"/>
    <w:rsid w:val="00900B66"/>
    <w:rsid w:val="00901DF7"/>
    <w:rsid w:val="009026B5"/>
    <w:rsid w:val="00902837"/>
    <w:rsid w:val="00906EB4"/>
    <w:rsid w:val="00907325"/>
    <w:rsid w:val="009104BA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DBD"/>
    <w:rsid w:val="00995250"/>
    <w:rsid w:val="009A250F"/>
    <w:rsid w:val="009B0CBB"/>
    <w:rsid w:val="009B5811"/>
    <w:rsid w:val="009B7B8C"/>
    <w:rsid w:val="009C41E6"/>
    <w:rsid w:val="009C42B5"/>
    <w:rsid w:val="009D30B7"/>
    <w:rsid w:val="009D418B"/>
    <w:rsid w:val="009D5A16"/>
    <w:rsid w:val="009E3337"/>
    <w:rsid w:val="009E4398"/>
    <w:rsid w:val="009E4B28"/>
    <w:rsid w:val="009E5870"/>
    <w:rsid w:val="009F37A9"/>
    <w:rsid w:val="009F470D"/>
    <w:rsid w:val="009F6E7A"/>
    <w:rsid w:val="009F73E5"/>
    <w:rsid w:val="00A00F1D"/>
    <w:rsid w:val="00A01B3C"/>
    <w:rsid w:val="00A01CB9"/>
    <w:rsid w:val="00A07C53"/>
    <w:rsid w:val="00A14FA0"/>
    <w:rsid w:val="00A16FA1"/>
    <w:rsid w:val="00A20A75"/>
    <w:rsid w:val="00A20B6C"/>
    <w:rsid w:val="00A20D5D"/>
    <w:rsid w:val="00A21CCE"/>
    <w:rsid w:val="00A303C6"/>
    <w:rsid w:val="00A32ED6"/>
    <w:rsid w:val="00A34823"/>
    <w:rsid w:val="00A361F5"/>
    <w:rsid w:val="00A40F72"/>
    <w:rsid w:val="00A422E3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3036"/>
    <w:rsid w:val="00A8394A"/>
    <w:rsid w:val="00A83AA0"/>
    <w:rsid w:val="00A859BF"/>
    <w:rsid w:val="00A868F2"/>
    <w:rsid w:val="00A87A04"/>
    <w:rsid w:val="00A91C7D"/>
    <w:rsid w:val="00A94B4E"/>
    <w:rsid w:val="00A96574"/>
    <w:rsid w:val="00A96F80"/>
    <w:rsid w:val="00A974F3"/>
    <w:rsid w:val="00AA1354"/>
    <w:rsid w:val="00AA427C"/>
    <w:rsid w:val="00AA75F4"/>
    <w:rsid w:val="00AB15FE"/>
    <w:rsid w:val="00AB7D1B"/>
    <w:rsid w:val="00AC1DFA"/>
    <w:rsid w:val="00AC3EDC"/>
    <w:rsid w:val="00AE3516"/>
    <w:rsid w:val="00AE56C0"/>
    <w:rsid w:val="00AF0A2B"/>
    <w:rsid w:val="00AF2C8F"/>
    <w:rsid w:val="00B04997"/>
    <w:rsid w:val="00B12457"/>
    <w:rsid w:val="00B13640"/>
    <w:rsid w:val="00B206AF"/>
    <w:rsid w:val="00B24394"/>
    <w:rsid w:val="00B25B88"/>
    <w:rsid w:val="00B27989"/>
    <w:rsid w:val="00B27DA8"/>
    <w:rsid w:val="00B30A06"/>
    <w:rsid w:val="00B3220F"/>
    <w:rsid w:val="00B332CF"/>
    <w:rsid w:val="00B33BA6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2866"/>
    <w:rsid w:val="00B63C2F"/>
    <w:rsid w:val="00B65C57"/>
    <w:rsid w:val="00B70EC8"/>
    <w:rsid w:val="00B726FD"/>
    <w:rsid w:val="00B76BFB"/>
    <w:rsid w:val="00B7781F"/>
    <w:rsid w:val="00B80455"/>
    <w:rsid w:val="00B82C30"/>
    <w:rsid w:val="00B835E9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4C7F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378D"/>
    <w:rsid w:val="00C04D06"/>
    <w:rsid w:val="00C0540A"/>
    <w:rsid w:val="00C06F9E"/>
    <w:rsid w:val="00C07427"/>
    <w:rsid w:val="00C140D0"/>
    <w:rsid w:val="00C154C3"/>
    <w:rsid w:val="00C25127"/>
    <w:rsid w:val="00C25750"/>
    <w:rsid w:val="00C27076"/>
    <w:rsid w:val="00C27962"/>
    <w:rsid w:val="00C27B1D"/>
    <w:rsid w:val="00C35E9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4F0"/>
    <w:rsid w:val="00CA09B2"/>
    <w:rsid w:val="00CA1819"/>
    <w:rsid w:val="00CB0D21"/>
    <w:rsid w:val="00CB218B"/>
    <w:rsid w:val="00CB2E9D"/>
    <w:rsid w:val="00CB37F7"/>
    <w:rsid w:val="00CB3F38"/>
    <w:rsid w:val="00CB623E"/>
    <w:rsid w:val="00CB6723"/>
    <w:rsid w:val="00CB7DA8"/>
    <w:rsid w:val="00CC0677"/>
    <w:rsid w:val="00CC088A"/>
    <w:rsid w:val="00CC3486"/>
    <w:rsid w:val="00CC4AA1"/>
    <w:rsid w:val="00CC5CB8"/>
    <w:rsid w:val="00CD55AA"/>
    <w:rsid w:val="00CE046E"/>
    <w:rsid w:val="00CE3D20"/>
    <w:rsid w:val="00CE5F8F"/>
    <w:rsid w:val="00CE713E"/>
    <w:rsid w:val="00CF5327"/>
    <w:rsid w:val="00CF7233"/>
    <w:rsid w:val="00D02143"/>
    <w:rsid w:val="00D029E5"/>
    <w:rsid w:val="00D07186"/>
    <w:rsid w:val="00D103DF"/>
    <w:rsid w:val="00D15873"/>
    <w:rsid w:val="00D16A8A"/>
    <w:rsid w:val="00D20A0F"/>
    <w:rsid w:val="00D2109F"/>
    <w:rsid w:val="00D234F5"/>
    <w:rsid w:val="00D3195D"/>
    <w:rsid w:val="00D378D7"/>
    <w:rsid w:val="00D50EE6"/>
    <w:rsid w:val="00D53C8A"/>
    <w:rsid w:val="00D53E89"/>
    <w:rsid w:val="00D62906"/>
    <w:rsid w:val="00D629B9"/>
    <w:rsid w:val="00D631DB"/>
    <w:rsid w:val="00D64BDC"/>
    <w:rsid w:val="00D708EF"/>
    <w:rsid w:val="00D748F9"/>
    <w:rsid w:val="00D74F15"/>
    <w:rsid w:val="00D91C05"/>
    <w:rsid w:val="00D91FE3"/>
    <w:rsid w:val="00D9244C"/>
    <w:rsid w:val="00D9374D"/>
    <w:rsid w:val="00D971DE"/>
    <w:rsid w:val="00DA1844"/>
    <w:rsid w:val="00DA1B53"/>
    <w:rsid w:val="00DA1D1B"/>
    <w:rsid w:val="00DA69A7"/>
    <w:rsid w:val="00DA7075"/>
    <w:rsid w:val="00DB1512"/>
    <w:rsid w:val="00DB1E0B"/>
    <w:rsid w:val="00DB1EDE"/>
    <w:rsid w:val="00DB53E0"/>
    <w:rsid w:val="00DB6057"/>
    <w:rsid w:val="00DC0EDC"/>
    <w:rsid w:val="00DC1A78"/>
    <w:rsid w:val="00DC5A7B"/>
    <w:rsid w:val="00DD321A"/>
    <w:rsid w:val="00DD6F04"/>
    <w:rsid w:val="00DD7017"/>
    <w:rsid w:val="00DE10FA"/>
    <w:rsid w:val="00DE2C33"/>
    <w:rsid w:val="00DE5A0B"/>
    <w:rsid w:val="00E01E2C"/>
    <w:rsid w:val="00E0564D"/>
    <w:rsid w:val="00E05C55"/>
    <w:rsid w:val="00E156F1"/>
    <w:rsid w:val="00E160D0"/>
    <w:rsid w:val="00E173BB"/>
    <w:rsid w:val="00E275A1"/>
    <w:rsid w:val="00E30CF5"/>
    <w:rsid w:val="00E3225D"/>
    <w:rsid w:val="00E34670"/>
    <w:rsid w:val="00E40B07"/>
    <w:rsid w:val="00E41291"/>
    <w:rsid w:val="00E5206F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92CE6"/>
    <w:rsid w:val="00EA1146"/>
    <w:rsid w:val="00EA23D6"/>
    <w:rsid w:val="00EA69DA"/>
    <w:rsid w:val="00EA6B47"/>
    <w:rsid w:val="00EB2CD0"/>
    <w:rsid w:val="00EB30F6"/>
    <w:rsid w:val="00EB6EFD"/>
    <w:rsid w:val="00EB7D49"/>
    <w:rsid w:val="00EC1DCD"/>
    <w:rsid w:val="00ED100E"/>
    <w:rsid w:val="00ED74B6"/>
    <w:rsid w:val="00EE5892"/>
    <w:rsid w:val="00EE5BFA"/>
    <w:rsid w:val="00EF0657"/>
    <w:rsid w:val="00EF1E58"/>
    <w:rsid w:val="00EF3412"/>
    <w:rsid w:val="00EF4E78"/>
    <w:rsid w:val="00EF5467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63E"/>
    <w:rsid w:val="00F43D0F"/>
    <w:rsid w:val="00F44D0F"/>
    <w:rsid w:val="00F46F7F"/>
    <w:rsid w:val="00F47391"/>
    <w:rsid w:val="00F50D50"/>
    <w:rsid w:val="00F54DA7"/>
    <w:rsid w:val="00F57301"/>
    <w:rsid w:val="00F639BA"/>
    <w:rsid w:val="00F67D85"/>
    <w:rsid w:val="00F70910"/>
    <w:rsid w:val="00F745D5"/>
    <w:rsid w:val="00F75356"/>
    <w:rsid w:val="00F815CA"/>
    <w:rsid w:val="00F82A01"/>
    <w:rsid w:val="00F8787A"/>
    <w:rsid w:val="00F919AA"/>
    <w:rsid w:val="00F93D29"/>
    <w:rsid w:val="00F9626C"/>
    <w:rsid w:val="00FA1DA8"/>
    <w:rsid w:val="00FB12C9"/>
    <w:rsid w:val="00FB7E34"/>
    <w:rsid w:val="00FC65B0"/>
    <w:rsid w:val="00FD2CE9"/>
    <w:rsid w:val="00FD31D5"/>
    <w:rsid w:val="00FD5220"/>
    <w:rsid w:val="00FD74AE"/>
    <w:rsid w:val="00FE0085"/>
    <w:rsid w:val="00FE08E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5EEE2E6-F8A9-40A7-B9B3-85EBF758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2</cp:revision>
  <cp:lastPrinted>2016-01-08T21:12:00Z</cp:lastPrinted>
  <dcterms:created xsi:type="dcterms:W3CDTF">2019-11-12T02:33:00Z</dcterms:created>
  <dcterms:modified xsi:type="dcterms:W3CDTF">2019-11-12T02:33:00Z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