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6510209" w:rsidR="00BD6FB0" w:rsidRPr="004B1506" w:rsidRDefault="00486768" w:rsidP="008306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8306A7">
              <w:rPr>
                <w:b/>
                <w:sz w:val="28"/>
                <w:szCs w:val="28"/>
                <w:lang w:val="en-US"/>
              </w:rPr>
              <w:t>4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546339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8306A7">
              <w:rPr>
                <w:b/>
                <w:sz w:val="28"/>
                <w:szCs w:val="28"/>
                <w:lang w:val="en-US" w:eastAsia="ko-KR"/>
              </w:rPr>
              <w:t>CIDs 4035, 4065 and 4100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E885A03" w:rsidR="00BD6FB0" w:rsidRPr="00BD6FB0" w:rsidRDefault="00BD6FB0" w:rsidP="008306A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8306A7">
              <w:t>11</w:t>
            </w:r>
            <w:r w:rsidR="00361A7D">
              <w:t>-</w:t>
            </w:r>
            <w:r w:rsidR="00C01846">
              <w:t>1</w:t>
            </w:r>
            <w:r w:rsidR="008306A7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5DAE8BF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546339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546339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546339"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8306A7">
                              <w:rPr>
                                <w:lang w:eastAsia="ko-KR"/>
                              </w:rPr>
                              <w:t>4</w:t>
                            </w:r>
                            <w:r w:rsidR="00446222">
                              <w:rPr>
                                <w:lang w:eastAsia="ko-KR"/>
                              </w:rPr>
                              <w:t>.</w:t>
                            </w:r>
                            <w:r w:rsidR="00546339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</w:t>
                            </w:r>
                            <w:r w:rsidR="008306A7">
                              <w:rPr>
                                <w:lang w:eastAsia="ko-KR"/>
                              </w:rPr>
                              <w:t>3</w:t>
                            </w:r>
                            <w:r w:rsidR="00010FD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CIDs:</w:t>
                            </w:r>
                          </w:p>
                          <w:p w14:paraId="2CD06B82" w14:textId="0C1956B2" w:rsidR="00D45587" w:rsidRDefault="008306A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4035, 4065, 4100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5DAE8BF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546339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546339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546339">
                        <w:rPr>
                          <w:lang w:eastAsia="ko-KR"/>
                        </w:rPr>
                        <w:t xml:space="preserve"> D</w:t>
                      </w:r>
                      <w:r w:rsidR="008306A7">
                        <w:rPr>
                          <w:lang w:eastAsia="ko-KR"/>
                        </w:rPr>
                        <w:t>4</w:t>
                      </w:r>
                      <w:r w:rsidR="00446222">
                        <w:rPr>
                          <w:lang w:eastAsia="ko-KR"/>
                        </w:rPr>
                        <w:t>.</w:t>
                      </w:r>
                      <w:r w:rsidR="00546339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with the following </w:t>
                      </w:r>
                      <w:r w:rsidR="008306A7">
                        <w:rPr>
                          <w:lang w:eastAsia="ko-KR"/>
                        </w:rPr>
                        <w:t>3</w:t>
                      </w:r>
                      <w:r w:rsidR="00010FD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CIDs:</w:t>
                      </w:r>
                    </w:p>
                    <w:p w14:paraId="2CD06B82" w14:textId="0C1956B2" w:rsidR="00D45587" w:rsidRDefault="008306A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4035, 4065, 4100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34C5086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8A4A5E">
        <w:rPr>
          <w:lang w:eastAsia="ko-KR"/>
        </w:rPr>
        <w:t xml:space="preserve"> D</w:t>
      </w:r>
      <w:r w:rsidR="008306A7">
        <w:rPr>
          <w:lang w:eastAsia="ko-KR"/>
        </w:rPr>
        <w:t>4</w:t>
      </w:r>
      <w:r w:rsidR="008A4A5E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7041D83D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8306A7">
        <w:rPr>
          <w:b/>
          <w:bCs/>
          <w:i/>
          <w:iCs/>
          <w:lang w:eastAsia="ko-KR"/>
        </w:rPr>
        <w:t>4</w:t>
      </w:r>
      <w:r w:rsidR="008A4A5E">
        <w:rPr>
          <w:b/>
          <w:bCs/>
          <w:i/>
          <w:iCs/>
          <w:lang w:eastAsia="ko-KR"/>
        </w:rPr>
        <w:t>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E0C48D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8306A7">
        <w:rPr>
          <w:i/>
          <w:sz w:val="22"/>
          <w:szCs w:val="22"/>
          <w:lang w:eastAsia="ko-KR"/>
        </w:rPr>
        <w:t>4</w:t>
      </w:r>
      <w:r w:rsidR="00487E3F">
        <w:rPr>
          <w:i/>
          <w:sz w:val="22"/>
          <w:szCs w:val="22"/>
          <w:lang w:eastAsia="ko-KR"/>
        </w:rPr>
        <w:t xml:space="preserve">035, 4065 and </w:t>
      </w:r>
      <w:r w:rsidR="008306A7">
        <w:rPr>
          <w:i/>
          <w:sz w:val="22"/>
          <w:szCs w:val="22"/>
          <w:lang w:eastAsia="ko-KR"/>
        </w:rPr>
        <w:t>4100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A4A5E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08E8A08" w:rsidR="008A4A5E" w:rsidRPr="009217A9" w:rsidRDefault="008306A7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4035</w:t>
            </w:r>
          </w:p>
        </w:tc>
        <w:tc>
          <w:tcPr>
            <w:tcW w:w="1440" w:type="dxa"/>
            <w:shd w:val="clear" w:color="auto" w:fill="auto"/>
          </w:tcPr>
          <w:p w14:paraId="522C2A34" w14:textId="096BC3F1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9" w:type="dxa"/>
            <w:shd w:val="clear" w:color="auto" w:fill="auto"/>
          </w:tcPr>
          <w:p w14:paraId="035BF904" w14:textId="291B7AAC" w:rsidR="008A4A5E" w:rsidRPr="009217A9" w:rsidRDefault="008A4A5E" w:rsidP="008306A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="008306A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33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8306A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14:paraId="4CFC3BC3" w14:textId="77777777" w:rsidR="008306A7" w:rsidRPr="008306A7" w:rsidRDefault="008306A7" w:rsidP="008306A7">
            <w:pPr>
              <w:rPr>
                <w:rFonts w:ascii="Arial" w:hAnsi="Arial" w:cs="Arial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>This PHY is too restrictive and doesn't allow for future improvements.</w:t>
            </w:r>
          </w:p>
          <w:p w14:paraId="7A6CC60C" w14:textId="038D8AE6" w:rsidR="008A4A5E" w:rsidRPr="009217A9" w:rsidRDefault="008306A7" w:rsidP="008306A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 xml:space="preserve">Call LDR "WUR rate 0" and HDR "WUR rate 1" to ensure future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ammendments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can enhance the WUR with more rates.</w:t>
            </w:r>
          </w:p>
        </w:tc>
        <w:tc>
          <w:tcPr>
            <w:tcW w:w="1800" w:type="dxa"/>
            <w:shd w:val="clear" w:color="auto" w:fill="auto"/>
          </w:tcPr>
          <w:p w14:paraId="39F6B205" w14:textId="020FAA25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306A7">
              <w:rPr>
                <w:rFonts w:ascii="Arial" w:hAnsi="Arial" w:cs="Arial"/>
                <w:sz w:val="20"/>
              </w:rPr>
              <w:t xml:space="preserve">Call LDR rate 0 and HDR rate 1 to ensure future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ammendments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can enhance the WUR with more rates.  Rate 2-7 are reserved for future use.</w:t>
            </w:r>
          </w:p>
        </w:tc>
        <w:tc>
          <w:tcPr>
            <w:tcW w:w="2693" w:type="dxa"/>
            <w:shd w:val="clear" w:color="auto" w:fill="auto"/>
          </w:tcPr>
          <w:p w14:paraId="00BE04D3" w14:textId="44A29DB0" w:rsidR="008A4A5E" w:rsidRDefault="008306A7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  <w:r w:rsidR="00C328F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</w:p>
          <w:p w14:paraId="664F0AC0" w14:textId="77777777" w:rsidR="00C328F2" w:rsidRDefault="00C328F2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D88403B" w14:textId="7DDA200C" w:rsidR="008306A7" w:rsidRDefault="00BF2B6B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use cases considered in </w:t>
            </w:r>
            <w:proofErr w:type="spellStart"/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do not require more than two data rates. Also, </w:t>
            </w:r>
            <w:proofErr w:type="spellStart"/>
            <w:r w:rsidR="00106385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="00106385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10638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can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0638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support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only </w:t>
            </w:r>
            <w:r w:rsidR="0010638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two data rates considering the current design of the WUR-Sync field.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Thus, for now, </w:t>
            </w:r>
            <w:proofErr w:type="spellStart"/>
            <w:r w:rsidR="00C929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do</w:t>
            </w:r>
            <w:r w:rsidR="00C929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n’t have to change the term, “LDR” and “HDR” to “WUR rate 0” and “WUR rate 1”. </w:t>
            </w:r>
          </w:p>
          <w:p w14:paraId="048447BD" w14:textId="77777777" w:rsidR="00E13280" w:rsidRPr="00BF2B6B" w:rsidRDefault="00E13280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B0C41CD" w:rsidR="00C328F2" w:rsidRPr="009217A9" w:rsidRDefault="00E13280" w:rsidP="00BF2B6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uture WUR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can consider other usage models which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require</w:t>
            </w:r>
            <w:r w:rsidR="00BF2B6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further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data rates</w:t>
            </w:r>
            <w:r w:rsidR="00BF2B6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BF2B6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hen</w:t>
            </w:r>
            <w:r w:rsidR="00BF2B6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we can redefine LDR and HDR</w:t>
            </w:r>
            <w:r w:rsidR="00BF2B6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redesign the WUR-Sync field </w:t>
            </w:r>
            <w:r w:rsidR="00BF2B6B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at that time</w:t>
            </w:r>
            <w:r w:rsidR="00BF2B6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A4A5E" w:rsidRPr="00A85DEC" w14:paraId="23C54EBC" w14:textId="77777777" w:rsidTr="006D1E1A">
        <w:trPr>
          <w:trHeight w:val="70"/>
        </w:trPr>
        <w:tc>
          <w:tcPr>
            <w:tcW w:w="735" w:type="dxa"/>
            <w:shd w:val="clear" w:color="auto" w:fill="auto"/>
          </w:tcPr>
          <w:p w14:paraId="4EA55DA7" w14:textId="6AEDBA7F" w:rsidR="008A4A5E" w:rsidRPr="009217A9" w:rsidRDefault="008306A7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4065</w:t>
            </w:r>
          </w:p>
        </w:tc>
        <w:tc>
          <w:tcPr>
            <w:tcW w:w="1440" w:type="dxa"/>
            <w:shd w:val="clear" w:color="auto" w:fill="auto"/>
          </w:tcPr>
          <w:p w14:paraId="3906A935" w14:textId="2BFE4ABE" w:rsidR="008A4A5E" w:rsidRPr="009217A9" w:rsidRDefault="008A4A5E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859" w:type="dxa"/>
            <w:shd w:val="clear" w:color="auto" w:fill="auto"/>
          </w:tcPr>
          <w:p w14:paraId="4F96326A" w14:textId="0648A568" w:rsidR="008A4A5E" w:rsidRPr="009217A9" w:rsidRDefault="008A4A5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09" w:type="dxa"/>
            <w:shd w:val="clear" w:color="auto" w:fill="auto"/>
          </w:tcPr>
          <w:p w14:paraId="5018F661" w14:textId="7B3C318B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 xml:space="preserve">In reference to CID 3184, the comment resolution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committe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did not document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ist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efforts to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concat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the commenter of the original comment nor giving the commenter sufficient time in the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Tgba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meetings to provide further detail regarding the comment as requested by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teh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comment resolution committee</w:t>
            </w:r>
          </w:p>
        </w:tc>
        <w:tc>
          <w:tcPr>
            <w:tcW w:w="1800" w:type="dxa"/>
            <w:shd w:val="clear" w:color="auto" w:fill="auto"/>
          </w:tcPr>
          <w:p w14:paraId="68B0DA53" w14:textId="13F0C99A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 xml:space="preserve">Please document by referencing minutes the efforts of the comment resolution committee to thoroughly address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teh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comment</w:t>
            </w:r>
          </w:p>
        </w:tc>
        <w:tc>
          <w:tcPr>
            <w:tcW w:w="2693" w:type="dxa"/>
            <w:shd w:val="clear" w:color="auto" w:fill="auto"/>
          </w:tcPr>
          <w:p w14:paraId="0ADA4AEA" w14:textId="77777777" w:rsidR="00BF2B6B" w:rsidRDefault="00BF2B6B" w:rsidP="00BF2B6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7378977F" w14:textId="77777777" w:rsidR="008A4A5E" w:rsidRDefault="008A4A5E" w:rsidP="00C168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199B9C9" w14:textId="65345A3E" w:rsidR="00BF2B6B" w:rsidRDefault="006D1E1A" w:rsidP="00C168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 </w:t>
            </w:r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comment and the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proposed change </w:t>
            </w:r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are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not related to </w:t>
            </w:r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proofErr w:type="spellStart"/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D4.0 modification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  <w:p w14:paraId="2DF5C438" w14:textId="77777777" w:rsidR="006D1E1A" w:rsidRDefault="006D1E1A" w:rsidP="00C168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D6BE917" w14:textId="77777777" w:rsidR="006D1E1A" w:rsidRDefault="006D1E1A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The comment on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CID 3184 (the same as CID 2285) is as follows.</w:t>
            </w:r>
          </w:p>
          <w:p w14:paraId="41989501" w14:textId="77777777" w:rsidR="006D1E1A" w:rsidRDefault="006D1E1A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5992DA5" w14:textId="77777777" w:rsidR="006D1E1A" w:rsidRDefault="006D1E1A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"WUR FDMA PPDU for 40MHz channel widths", and "WUR FDMA PPDU for 80MHz channel widths", the usage of "channel widths" is not consistent with </w:t>
            </w:r>
            <w:proofErr w:type="spellStart"/>
            <w:r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later</w:t>
            </w:r>
            <w:proofErr w:type="spellEnd"/>
            <w:r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part of the draft</w:t>
            </w:r>
          </w:p>
          <w:p w14:paraId="3078C418" w14:textId="77777777" w:rsidR="006D1E1A" w:rsidRDefault="006D1E1A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AE2234B" w14:textId="3FDF59AA" w:rsidR="006D1E1A" w:rsidRDefault="009271BF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 xml:space="preserve">The comment on </w:t>
            </w:r>
            <w:r w:rsidR="00C929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CID 3184 </w:t>
            </w:r>
            <w:r w:rsidR="006D1E1A"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fails to locate and identify the issue.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proposed change on </w:t>
            </w:r>
            <w:r w:rsidR="00C929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CID 3184</w:t>
            </w:r>
            <w:r w:rsidR="006D1E1A"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fails to identify changes in sufficient detail so that the specific wording of the changes can be determined.</w:t>
            </w:r>
            <w:r w:rsidR="006D1E1A"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cr/>
            </w:r>
          </w:p>
          <w:p w14:paraId="63B4A25A" w14:textId="767F9AE2" w:rsidR="006D1E1A" w:rsidRPr="009217A9" w:rsidRDefault="009271BF" w:rsidP="006D1E1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comment on </w:t>
            </w:r>
            <w:r w:rsidR="00C929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CID 3184 </w:t>
            </w:r>
            <w:r w:rsidR="006D1E1A" w:rsidRP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does not explain where the inconsistency is regarding the usage of “channel widths”</w:t>
            </w:r>
            <w:r w:rsidR="0074565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 T</w:t>
            </w:r>
            <w:r w:rsidR="006D1E1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term “channel widths” is normally used in the baseline spec.</w:t>
            </w:r>
          </w:p>
        </w:tc>
      </w:tr>
      <w:tr w:rsidR="008A4A5E" w:rsidRPr="00A85DEC" w14:paraId="70349775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E0ADA99" w:rsidR="008A4A5E" w:rsidRDefault="008306A7" w:rsidP="008A4A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4100</w:t>
            </w:r>
          </w:p>
        </w:tc>
        <w:tc>
          <w:tcPr>
            <w:tcW w:w="1440" w:type="dxa"/>
            <w:shd w:val="clear" w:color="auto" w:fill="auto"/>
          </w:tcPr>
          <w:p w14:paraId="6B203D6E" w14:textId="5111AF7E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30.3.11</w:t>
            </w:r>
          </w:p>
        </w:tc>
        <w:tc>
          <w:tcPr>
            <w:tcW w:w="859" w:type="dxa"/>
            <w:shd w:val="clear" w:color="auto" w:fill="auto"/>
          </w:tcPr>
          <w:p w14:paraId="4EE19966" w14:textId="0AFA8940" w:rsidR="008A4A5E" w:rsidRPr="009217A9" w:rsidRDefault="008306A7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73.17</w:t>
            </w:r>
          </w:p>
        </w:tc>
        <w:tc>
          <w:tcPr>
            <w:tcW w:w="2509" w:type="dxa"/>
            <w:shd w:val="clear" w:color="auto" w:fill="auto"/>
          </w:tcPr>
          <w:p w14:paraId="3FC6C262" w14:textId="4A8EDD02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>The symbol \Omega_20MHz in Equation (30-12) is not defined.</w:t>
            </w:r>
          </w:p>
        </w:tc>
        <w:tc>
          <w:tcPr>
            <w:tcW w:w="1800" w:type="dxa"/>
            <w:shd w:val="clear" w:color="auto" w:fill="auto"/>
          </w:tcPr>
          <w:p w14:paraId="471C0BC2" w14:textId="63EE2BCF" w:rsidR="008A4A5E" w:rsidRPr="009217A9" w:rsidRDefault="008306A7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06A7">
              <w:rPr>
                <w:rFonts w:ascii="Arial" w:hAnsi="Arial" w:cs="Arial"/>
                <w:sz w:val="20"/>
              </w:rPr>
              <w:t xml:space="preserve">Define \Omega_20MHz below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Eq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(30-12) as the set of </w:t>
            </w:r>
            <w:proofErr w:type="spellStart"/>
            <w:r w:rsidRPr="008306A7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8306A7">
              <w:rPr>
                <w:rFonts w:ascii="Arial" w:hAnsi="Arial" w:cs="Arial"/>
                <w:sz w:val="20"/>
              </w:rPr>
              <w:t xml:space="preserve"> indices.</w:t>
            </w:r>
          </w:p>
        </w:tc>
        <w:tc>
          <w:tcPr>
            <w:tcW w:w="2693" w:type="dxa"/>
            <w:shd w:val="clear" w:color="auto" w:fill="auto"/>
          </w:tcPr>
          <w:p w14:paraId="7EEA4A1E" w14:textId="77777777" w:rsidR="008A4A5E" w:rsidRDefault="00D2689C" w:rsidP="00C168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Rejected-</w:t>
            </w:r>
          </w:p>
          <w:p w14:paraId="5BE20AF4" w14:textId="77777777" w:rsidR="00D2689C" w:rsidRDefault="00D2689C" w:rsidP="00C168B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9FBE95F" w14:textId="3A321A1D" w:rsidR="00D2689C" w:rsidRPr="009217A9" w:rsidRDefault="00D2689C" w:rsidP="00D2689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Omega_20MHz is already defined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below Equation (30-4)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FBB4CF0" w14:textId="428F3EC3" w:rsidR="009223CF" w:rsidRDefault="009223CF" w:rsidP="00D2689C">
      <w:pPr>
        <w:autoSpaceDE w:val="0"/>
        <w:autoSpaceDN w:val="0"/>
        <w:adjustRightInd w:val="0"/>
        <w:jc w:val="both"/>
        <w:rPr>
          <w:rStyle w:val="SC13204878"/>
        </w:rPr>
      </w:pPr>
    </w:p>
    <w:sectPr w:rsidR="009223CF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9902" w14:textId="77777777" w:rsidR="00465410" w:rsidRDefault="00465410">
      <w:r>
        <w:separator/>
      </w:r>
    </w:p>
  </w:endnote>
  <w:endnote w:type="continuationSeparator" w:id="0">
    <w:p w14:paraId="759DBB9A" w14:textId="77777777" w:rsidR="00465410" w:rsidRDefault="0046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23C46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E7A4" w14:textId="77777777" w:rsidR="00465410" w:rsidRDefault="00465410">
      <w:r>
        <w:separator/>
      </w:r>
    </w:p>
  </w:footnote>
  <w:footnote w:type="continuationSeparator" w:id="0">
    <w:p w14:paraId="3A4D9FBC" w14:textId="77777777" w:rsidR="00465410" w:rsidRDefault="0046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5D986D5" w:rsidR="00D45587" w:rsidRDefault="00C9291E" w:rsidP="00732A32">
    <w:pPr>
      <w:pStyle w:val="a4"/>
      <w:tabs>
        <w:tab w:val="clear" w:pos="6480"/>
        <w:tab w:val="center" w:pos="4680"/>
        <w:tab w:val="right" w:pos="9360"/>
      </w:tabs>
    </w:pPr>
    <w:r>
      <w:t>November</w:t>
    </w:r>
    <w:fldSimple w:instr=" KEYWORDS  \* MERGEFORMAT ">
      <w:r w:rsidR="00D45587">
        <w:t xml:space="preserve"> 201</w:t>
      </w:r>
    </w:fldSimple>
    <w:r w:rsidR="00FB1C8F">
      <w:t>9</w:t>
    </w:r>
    <w:r w:rsidR="00D45587">
      <w:tab/>
    </w:r>
    <w:r w:rsidR="00D45587">
      <w:tab/>
    </w:r>
    <w:fldSimple w:instr=" TITLE  \* MERGEFORMAT ">
      <w:r w:rsidR="00D45587">
        <w:t>doc.: IEEE 802.11-1</w:t>
      </w:r>
      <w:r w:rsidR="00FB1C8F">
        <w:t>9</w:t>
      </w:r>
      <w:r w:rsidR="00D45587">
        <w:t>/</w:t>
      </w:r>
    </w:fldSimple>
    <w:r w:rsidR="00223C46">
      <w:t>1844</w:t>
    </w:r>
    <w:r w:rsidR="00446222">
      <w:t>r</w:t>
    </w:r>
    <w:r w:rsidR="008306A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4EA1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6385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6172"/>
    <w:rsid w:val="00207791"/>
    <w:rsid w:val="002126A1"/>
    <w:rsid w:val="00212EC4"/>
    <w:rsid w:val="00214C65"/>
    <w:rsid w:val="00215487"/>
    <w:rsid w:val="00217967"/>
    <w:rsid w:val="00217CA7"/>
    <w:rsid w:val="00221DF8"/>
    <w:rsid w:val="00223C46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5410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87E3F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218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1E1A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65C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06A7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6521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1BF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2B6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91E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2689C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F14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E01B84"/>
    <w:rsid w:val="00E01E2C"/>
    <w:rsid w:val="00E0564D"/>
    <w:rsid w:val="00E05C55"/>
    <w:rsid w:val="00E13280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1EB5DBC-3CA3-43B2-9B8C-A730E618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10</cp:revision>
  <cp:lastPrinted>2016-01-08T21:12:00Z</cp:lastPrinted>
  <dcterms:created xsi:type="dcterms:W3CDTF">2019-07-16T14:40:00Z</dcterms:created>
  <dcterms:modified xsi:type="dcterms:W3CDTF">2019-11-04T00:38:00Z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