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34EF7172" w:rsidR="00C723BC" w:rsidRPr="00183F4C" w:rsidRDefault="00473F40" w:rsidP="00EC64E4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1430F7">
              <w:rPr>
                <w:lang w:eastAsia="ko-KR"/>
              </w:rPr>
              <w:t>D5.0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CB7550">
              <w:rPr>
                <w:lang w:eastAsia="ko-KR"/>
              </w:rPr>
              <w:t>Duration-based RTS/CTS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1D756D" w:rsidR="00C723BC" w:rsidRPr="00183F4C" w:rsidRDefault="00C723BC" w:rsidP="00124AB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3D4DEC">
              <w:rPr>
                <w:b w:val="0"/>
                <w:sz w:val="20"/>
                <w:lang w:eastAsia="ko-KR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D4DEC">
              <w:rPr>
                <w:b w:val="0"/>
                <w:sz w:val="20"/>
                <w:lang w:eastAsia="ko-KR"/>
              </w:rPr>
              <w:t>3</w:t>
            </w:r>
            <w:r w:rsidR="00CB7550">
              <w:rPr>
                <w:b w:val="0"/>
                <w:sz w:val="20"/>
                <w:lang w:eastAsia="ko-KR"/>
              </w:rPr>
              <w:t>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CD37588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F3D9A">
                              <w:rPr>
                                <w:lang w:eastAsia="ko-KR"/>
                              </w:rPr>
                              <w:t>D</w:t>
                            </w:r>
                            <w:r w:rsidR="001430F7">
                              <w:rPr>
                                <w:lang w:eastAsia="ko-KR"/>
                              </w:rPr>
                              <w:t>5</w:t>
                            </w:r>
                            <w:r w:rsidR="00FF3D9A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07BDC4" w14:textId="722BA342" w:rsidR="00030196" w:rsidRDefault="00315F23" w:rsidP="006A40FB">
                            <w:pPr>
                              <w:jc w:val="both"/>
                            </w:pPr>
                            <w:r>
                              <w:t>22000</w:t>
                            </w:r>
                            <w:r w:rsidR="00B57C80">
                              <w:t>, 22001, 22105, 22143, 22144, 22234, 22235, 22288</w:t>
                            </w:r>
                          </w:p>
                          <w:p w14:paraId="443D81D3" w14:textId="77777777" w:rsidR="00CB7550" w:rsidRDefault="00CB7550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274D9796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6BD2BA8" w14:textId="0B1E0EDD" w:rsidR="00B304FC" w:rsidRDefault="00B304FC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discussion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CD37588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F3D9A">
                        <w:rPr>
                          <w:lang w:eastAsia="ko-KR"/>
                        </w:rPr>
                        <w:t>D</w:t>
                      </w:r>
                      <w:r w:rsidR="001430F7">
                        <w:rPr>
                          <w:lang w:eastAsia="ko-KR"/>
                        </w:rPr>
                        <w:t>5</w:t>
                      </w:r>
                      <w:r w:rsidR="00FF3D9A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07BDC4" w14:textId="722BA342" w:rsidR="00030196" w:rsidRDefault="00315F23" w:rsidP="006A40FB">
                      <w:pPr>
                        <w:jc w:val="both"/>
                      </w:pPr>
                      <w:r>
                        <w:t>22000</w:t>
                      </w:r>
                      <w:r w:rsidR="00B57C80">
                        <w:t>, 22001, 22105, 22143, 22144, 22234, 22235, 22288</w:t>
                      </w:r>
                    </w:p>
                    <w:p w14:paraId="443D81D3" w14:textId="77777777" w:rsidR="00CB7550" w:rsidRDefault="00CB7550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274D9796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6BD2BA8" w14:textId="0B1E0EDD" w:rsidR="00B304FC" w:rsidRDefault="00B304FC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discussion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2D56DC5E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5E2774">
        <w:rPr>
          <w:lang w:eastAsia="ko-KR"/>
        </w:rPr>
        <w:t>5</w:t>
      </w:r>
      <w:r w:rsidR="00FF3D9A">
        <w:rPr>
          <w:lang w:eastAsia="ko-KR"/>
        </w:rPr>
        <w:t>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07BA570E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5E2774">
        <w:rPr>
          <w:b/>
          <w:bCs/>
          <w:i/>
          <w:iCs/>
          <w:lang w:eastAsia="ko-KR"/>
        </w:rPr>
        <w:t>5</w:t>
      </w:r>
      <w:r w:rsidR="00FF3D9A">
        <w:rPr>
          <w:b/>
          <w:bCs/>
          <w:i/>
          <w:iCs/>
          <w:lang w:eastAsia="ko-KR"/>
        </w:rPr>
        <w:t>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6479A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2A203D9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22000</w:t>
            </w:r>
          </w:p>
        </w:tc>
        <w:tc>
          <w:tcPr>
            <w:tcW w:w="900" w:type="dxa"/>
          </w:tcPr>
          <w:p w14:paraId="143964E0" w14:textId="389D0A96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 xml:space="preserve">Albert </w:t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</w:tcPr>
          <w:p w14:paraId="78DF9DB8" w14:textId="36B7FE8B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307.29</w:t>
            </w:r>
          </w:p>
        </w:tc>
        <w:tc>
          <w:tcPr>
            <w:tcW w:w="900" w:type="dxa"/>
          </w:tcPr>
          <w:p w14:paraId="35B28C76" w14:textId="68A86990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26.2.1</w:t>
            </w:r>
          </w:p>
        </w:tc>
        <w:tc>
          <w:tcPr>
            <w:tcW w:w="2875" w:type="dxa"/>
          </w:tcPr>
          <w:p w14:paraId="1DC36502" w14:textId="66B63B19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The TXOP Duration RTS Threshold is a subfield of the HE Operation Parameters Field in Figure 9-787i (pg. 199, line 37) and the HE Operation Parameters field is a subfield of the HE Operation element in Figure 9-787h (pg. 199, line 18).  The text for the TXOP Duration RTS Threshold doesn't follow the logical path between the two figures.  Fix text.</w:t>
            </w:r>
          </w:p>
        </w:tc>
        <w:tc>
          <w:tcPr>
            <w:tcW w:w="1625" w:type="dxa"/>
          </w:tcPr>
          <w:p w14:paraId="6C06C4E8" w14:textId="6B26A98C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Add the following new text in quotes:</w:t>
            </w:r>
            <w:r w:rsidRPr="0036479A">
              <w:rPr>
                <w:rFonts w:ascii="Calibri" w:hAnsi="Calibri" w:cs="Calibri"/>
                <w:sz w:val="18"/>
                <w:szCs w:val="18"/>
              </w:rPr>
              <w:br/>
              <w:t>An HE AP may set the TXOP Duration RTS Threshold subfield "in the HE Operation Parameters field" of HE Operation element it transmits......</w:t>
            </w:r>
          </w:p>
        </w:tc>
        <w:tc>
          <w:tcPr>
            <w:tcW w:w="3207" w:type="dxa"/>
          </w:tcPr>
          <w:p w14:paraId="38DEAEAC" w14:textId="13649D5F" w:rsidR="0036479A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18103714" w14:textId="77777777" w:rsidR="001E1C20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E659966" w14:textId="77777777" w:rsidR="001E1C20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add “of</w:t>
            </w:r>
            <w:r w:rsidRPr="0036479A">
              <w:rPr>
                <w:rFonts w:ascii="Calibri" w:hAnsi="Calibri" w:cs="Calibri"/>
                <w:sz w:val="18"/>
                <w:szCs w:val="18"/>
              </w:rPr>
              <w:t xml:space="preserve"> the HE Operation Parameters field"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E54D710" w14:textId="77777777" w:rsidR="001E1C20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FA0810F" w14:textId="1545E5CF" w:rsidR="005628FD" w:rsidRDefault="005628FD" w:rsidP="005628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11-19/1816r</w:t>
            </w:r>
            <w:r w:rsidR="00C80D1C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</w:t>
            </w:r>
            <w:r w:rsidR="006C47D4">
              <w:rPr>
                <w:rFonts w:ascii="Calibri" w:hAnsi="Calibri" w:cs="Arial"/>
                <w:sz w:val="18"/>
                <w:szCs w:val="18"/>
              </w:rPr>
              <w:t>000</w:t>
            </w:r>
          </w:p>
          <w:p w14:paraId="5ABCE78C" w14:textId="4ABAE0F4" w:rsidR="001E1C20" w:rsidRPr="00A413E3" w:rsidRDefault="001E1C20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79A" w:rsidRPr="00DF4A52" w14:paraId="26E4EA90" w14:textId="77777777" w:rsidTr="00330F15">
        <w:trPr>
          <w:trHeight w:val="1002"/>
        </w:trPr>
        <w:tc>
          <w:tcPr>
            <w:tcW w:w="721" w:type="dxa"/>
          </w:tcPr>
          <w:p w14:paraId="138BCA61" w14:textId="31E7C2DE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22001</w:t>
            </w:r>
          </w:p>
        </w:tc>
        <w:tc>
          <w:tcPr>
            <w:tcW w:w="900" w:type="dxa"/>
          </w:tcPr>
          <w:p w14:paraId="74DFA082" w14:textId="7BABE099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 xml:space="preserve">Albert </w:t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Petrick</w:t>
            </w:r>
            <w:proofErr w:type="spellEnd"/>
          </w:p>
        </w:tc>
        <w:tc>
          <w:tcPr>
            <w:tcW w:w="720" w:type="dxa"/>
          </w:tcPr>
          <w:p w14:paraId="421DA10C" w14:textId="4BACDBE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307.37</w:t>
            </w:r>
          </w:p>
        </w:tc>
        <w:tc>
          <w:tcPr>
            <w:tcW w:w="900" w:type="dxa"/>
          </w:tcPr>
          <w:p w14:paraId="05B83316" w14:textId="1FE6A151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26.2.1</w:t>
            </w:r>
          </w:p>
        </w:tc>
        <w:tc>
          <w:tcPr>
            <w:tcW w:w="2875" w:type="dxa"/>
          </w:tcPr>
          <w:p w14:paraId="068C91C9" w14:textId="78062CC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Text is missing reference to HE Operation Parameters field.</w:t>
            </w:r>
          </w:p>
        </w:tc>
        <w:tc>
          <w:tcPr>
            <w:tcW w:w="1625" w:type="dxa"/>
          </w:tcPr>
          <w:p w14:paraId="59C187BC" w14:textId="45435EDD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Add the following text: If the TXOP Duration RTS Threshold subfield "of the HE Parameters field" in the most recently</w:t>
            </w:r>
            <w:proofErr w:type="gramStart"/>
            <w:r w:rsidRPr="0036479A">
              <w:rPr>
                <w:rFonts w:ascii="Calibri" w:hAnsi="Calibri" w:cs="Calibri"/>
                <w:sz w:val="18"/>
                <w:szCs w:val="18"/>
              </w:rPr>
              <w:t>.....</w:t>
            </w:r>
            <w:proofErr w:type="gramEnd"/>
          </w:p>
        </w:tc>
        <w:tc>
          <w:tcPr>
            <w:tcW w:w="3207" w:type="dxa"/>
          </w:tcPr>
          <w:p w14:paraId="0E6DFDB6" w14:textId="34EE79EF" w:rsidR="0036479A" w:rsidRDefault="006C47D4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Accepted –</w:t>
            </w:r>
          </w:p>
          <w:p w14:paraId="70812E94" w14:textId="43863362" w:rsidR="006C47D4" w:rsidRPr="00A413E3" w:rsidRDefault="006C47D4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79A" w:rsidRPr="00DF4A52" w14:paraId="5ECD5D6C" w14:textId="77777777" w:rsidTr="00330F15">
        <w:trPr>
          <w:trHeight w:val="1002"/>
        </w:trPr>
        <w:tc>
          <w:tcPr>
            <w:tcW w:w="721" w:type="dxa"/>
          </w:tcPr>
          <w:p w14:paraId="3D302B94" w14:textId="232B7F8A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22105</w:t>
            </w:r>
          </w:p>
        </w:tc>
        <w:tc>
          <w:tcPr>
            <w:tcW w:w="900" w:type="dxa"/>
          </w:tcPr>
          <w:p w14:paraId="7C04A3D4" w14:textId="0BD4520F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Liwen Chu</w:t>
            </w:r>
          </w:p>
        </w:tc>
        <w:tc>
          <w:tcPr>
            <w:tcW w:w="720" w:type="dxa"/>
          </w:tcPr>
          <w:p w14:paraId="590DFEC4" w14:textId="417D4313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243.30</w:t>
            </w:r>
          </w:p>
        </w:tc>
        <w:tc>
          <w:tcPr>
            <w:tcW w:w="900" w:type="dxa"/>
          </w:tcPr>
          <w:p w14:paraId="08F37DB2" w14:textId="6DC75865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10.3.1</w:t>
            </w:r>
          </w:p>
        </w:tc>
        <w:tc>
          <w:tcPr>
            <w:tcW w:w="2875" w:type="dxa"/>
          </w:tcPr>
          <w:p w14:paraId="0029DD00" w14:textId="1FF0FAC8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the duration should not be compared with dot11TXOPDurationRTSThreshold directly since 8TUs are the unit of TXOP duration RTS threshold.</w:t>
            </w:r>
          </w:p>
        </w:tc>
        <w:tc>
          <w:tcPr>
            <w:tcW w:w="1625" w:type="dxa"/>
          </w:tcPr>
          <w:p w14:paraId="610FF97A" w14:textId="449B19A1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 xml:space="preserve">Change the text to "...greater than or equal to the </w:t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meidum</w:t>
            </w:r>
            <w:proofErr w:type="spellEnd"/>
            <w:r w:rsidRPr="0036479A">
              <w:rPr>
                <w:rFonts w:ascii="Calibri" w:hAnsi="Calibri" w:cs="Calibri"/>
                <w:sz w:val="18"/>
                <w:szCs w:val="18"/>
              </w:rPr>
              <w:t xml:space="preserve"> time related to dot11TXOPDurationRTSThreshold</w:t>
            </w:r>
            <w:r w:rsidRPr="0036479A">
              <w:rPr>
                <w:rFonts w:ascii="Calibri" w:hAnsi="Calibri" w:cs="Calibri"/>
                <w:sz w:val="18"/>
                <w:szCs w:val="18"/>
              </w:rPr>
              <w:br/>
              <w:t>as defined in 26.2.1 (TXOP duration-based RTS/CTS).</w:t>
            </w:r>
          </w:p>
        </w:tc>
        <w:tc>
          <w:tcPr>
            <w:tcW w:w="3207" w:type="dxa"/>
          </w:tcPr>
          <w:p w14:paraId="3BB4A277" w14:textId="1F7C539E" w:rsidR="0036479A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4CD14AD0" w14:textId="77777777" w:rsidR="00AD75A1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E7DFF6A" w14:textId="20B4A339" w:rsidR="00AD75A1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E553A02" w14:textId="77777777" w:rsidR="00AD75A1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9F236F" w14:textId="282105AF" w:rsidR="00AD75A1" w:rsidRDefault="00AD75A1" w:rsidP="00AD75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</w:t>
            </w:r>
            <w:r w:rsidR="0042367A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22105</w:t>
            </w:r>
          </w:p>
          <w:p w14:paraId="3CE2AB2B" w14:textId="02BC56A9" w:rsidR="00AD75A1" w:rsidRPr="00A413E3" w:rsidRDefault="00AD75A1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6479A" w:rsidRPr="00DF4A52" w14:paraId="1CF017D1" w14:textId="77777777" w:rsidTr="00330F15">
        <w:trPr>
          <w:trHeight w:val="1002"/>
        </w:trPr>
        <w:tc>
          <w:tcPr>
            <w:tcW w:w="721" w:type="dxa"/>
          </w:tcPr>
          <w:p w14:paraId="0785D90C" w14:textId="56C89025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22143</w:t>
            </w:r>
          </w:p>
        </w:tc>
        <w:tc>
          <w:tcPr>
            <w:tcW w:w="900" w:type="dxa"/>
          </w:tcPr>
          <w:p w14:paraId="34E4488C" w14:textId="6B5CC251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34BFFCA0" w14:textId="7D830A0A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243.27</w:t>
            </w:r>
          </w:p>
        </w:tc>
        <w:tc>
          <w:tcPr>
            <w:tcW w:w="900" w:type="dxa"/>
          </w:tcPr>
          <w:p w14:paraId="444B50D4" w14:textId="13970ED5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10.3.1</w:t>
            </w:r>
          </w:p>
        </w:tc>
        <w:tc>
          <w:tcPr>
            <w:tcW w:w="2875" w:type="dxa"/>
          </w:tcPr>
          <w:p w14:paraId="1868B287" w14:textId="7AD18386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"The use of the RTS/CTS mechanism is under control of dot11TXOPDurationRTSThreshold if dot11TXOPDurationRTSThreshold is not 1023." assumes the MIB attribute is present</w:t>
            </w:r>
          </w:p>
        </w:tc>
        <w:tc>
          <w:tcPr>
            <w:tcW w:w="1625" w:type="dxa"/>
          </w:tcPr>
          <w:p w14:paraId="0395B2E6" w14:textId="0D330B0F" w:rsidR="0036479A" w:rsidRPr="00A413E3" w:rsidRDefault="0036479A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6479A">
              <w:rPr>
                <w:rFonts w:ascii="Calibri" w:hAnsi="Calibri" w:cs="Calibri"/>
                <w:sz w:val="18"/>
                <w:szCs w:val="18"/>
              </w:rPr>
              <w:t>Change the cited text to "The use of the RTS/CTS mechanism is under control of dot11TXOPDurationRTSThreshold if dot11TXOP-</w:t>
            </w:r>
            <w:r w:rsidRPr="0036479A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36479A">
              <w:rPr>
                <w:rFonts w:ascii="Calibri" w:hAnsi="Calibri" w:cs="Calibri"/>
                <w:sz w:val="18"/>
                <w:szCs w:val="18"/>
              </w:rPr>
              <w:t>DurationRTSThreshold</w:t>
            </w:r>
            <w:proofErr w:type="spellEnd"/>
            <w:r w:rsidRPr="0036479A">
              <w:rPr>
                <w:rFonts w:ascii="Calibri" w:hAnsi="Calibri" w:cs="Calibri"/>
                <w:sz w:val="18"/>
                <w:szCs w:val="18"/>
              </w:rPr>
              <w:t xml:space="preserve"> is present and is not 1023."</w:t>
            </w:r>
          </w:p>
        </w:tc>
        <w:tc>
          <w:tcPr>
            <w:tcW w:w="3207" w:type="dxa"/>
          </w:tcPr>
          <w:p w14:paraId="20FCCA78" w14:textId="3C89AEDF" w:rsidR="0036479A" w:rsidRPr="00A413E3" w:rsidRDefault="00B24DF5" w:rsidP="003647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Accepted -</w:t>
            </w:r>
          </w:p>
        </w:tc>
      </w:tr>
      <w:tr w:rsidR="00315F23" w:rsidRPr="00DF4A52" w14:paraId="345023BB" w14:textId="77777777" w:rsidTr="00330F15">
        <w:trPr>
          <w:trHeight w:val="1002"/>
        </w:trPr>
        <w:tc>
          <w:tcPr>
            <w:tcW w:w="721" w:type="dxa"/>
          </w:tcPr>
          <w:p w14:paraId="5D577A8C" w14:textId="58070439" w:rsidR="00315F23" w:rsidRPr="007616F8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616F8">
              <w:rPr>
                <w:rFonts w:ascii="Calibri" w:hAnsi="Calibri" w:cs="Calibri"/>
                <w:sz w:val="18"/>
                <w:szCs w:val="18"/>
              </w:rPr>
              <w:lastRenderedPageBreak/>
              <w:t>22144</w:t>
            </w:r>
          </w:p>
        </w:tc>
        <w:tc>
          <w:tcPr>
            <w:tcW w:w="900" w:type="dxa"/>
          </w:tcPr>
          <w:p w14:paraId="00053D42" w14:textId="525E3F6D" w:rsidR="00315F23" w:rsidRPr="007616F8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616F8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640BABC5" w14:textId="3AF1C678" w:rsidR="00315F23" w:rsidRPr="007616F8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616F8">
              <w:rPr>
                <w:rFonts w:ascii="Calibri" w:hAnsi="Calibri" w:cs="Calibri"/>
                <w:sz w:val="18"/>
                <w:szCs w:val="18"/>
              </w:rPr>
              <w:t>243.22</w:t>
            </w:r>
          </w:p>
        </w:tc>
        <w:tc>
          <w:tcPr>
            <w:tcW w:w="900" w:type="dxa"/>
          </w:tcPr>
          <w:p w14:paraId="2EC99782" w14:textId="127956E1" w:rsidR="00315F23" w:rsidRPr="007616F8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616F8">
              <w:rPr>
                <w:rFonts w:ascii="Calibri" w:hAnsi="Calibri" w:cs="Calibri"/>
                <w:sz w:val="18"/>
                <w:szCs w:val="18"/>
              </w:rPr>
              <w:t>10.3.1</w:t>
            </w:r>
          </w:p>
        </w:tc>
        <w:tc>
          <w:tcPr>
            <w:tcW w:w="2875" w:type="dxa"/>
          </w:tcPr>
          <w:p w14:paraId="06C62FFF" w14:textId="48B51E56" w:rsidR="00315F23" w:rsidRPr="007616F8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616F8">
              <w:rPr>
                <w:rFonts w:ascii="Calibri" w:hAnsi="Calibri" w:cs="Calibri"/>
                <w:sz w:val="18"/>
                <w:szCs w:val="18"/>
              </w:rPr>
              <w:t>"</w:t>
            </w:r>
            <w:proofErr w:type="gramStart"/>
            <w:r w:rsidRPr="007616F8">
              <w:rPr>
                <w:rFonts w:ascii="Calibri" w:hAnsi="Calibri" w:cs="Calibri"/>
                <w:sz w:val="18"/>
                <w:szCs w:val="18"/>
              </w:rPr>
              <w:t>The  use</w:t>
            </w:r>
            <w:proofErr w:type="gramEnd"/>
            <w:r w:rsidRPr="007616F8">
              <w:rPr>
                <w:rFonts w:ascii="Calibri" w:hAnsi="Calibri" w:cs="Calibri"/>
                <w:sz w:val="18"/>
                <w:szCs w:val="18"/>
              </w:rPr>
              <w:t xml:space="preserve">  of  the  RTS/CTS  mechanism  under  control  of  dot11RTSThreshold  if  dot11TXOPDurationRTS-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  <w:t xml:space="preserve">Threshold is 1023 or it is not present is described in 10.3.5 (Individually addressed MPDU transfer </w:t>
            </w:r>
            <w:proofErr w:type="spellStart"/>
            <w:r w:rsidRPr="007616F8">
              <w:rPr>
                <w:rFonts w:ascii="Calibri" w:hAnsi="Calibri" w:cs="Calibri"/>
                <w:sz w:val="18"/>
                <w:szCs w:val="18"/>
              </w:rPr>
              <w:t>proce</w:t>
            </w:r>
            <w:proofErr w:type="spellEnd"/>
            <w:r w:rsidRPr="007616F8">
              <w:rPr>
                <w:rFonts w:ascii="Calibri" w:hAnsi="Calibri" w:cs="Calibri"/>
                <w:sz w:val="18"/>
                <w:szCs w:val="18"/>
              </w:rPr>
              <w:t>-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7616F8">
              <w:rPr>
                <w:rFonts w:ascii="Calibri" w:hAnsi="Calibri" w:cs="Calibri"/>
                <w:sz w:val="18"/>
                <w:szCs w:val="18"/>
              </w:rPr>
              <w:t>dure</w:t>
            </w:r>
            <w:proofErr w:type="spellEnd"/>
            <w:r w:rsidRPr="007616F8">
              <w:rPr>
                <w:rFonts w:ascii="Calibri" w:hAnsi="Calibri" w:cs="Calibri"/>
                <w:sz w:val="18"/>
                <w:szCs w:val="18"/>
              </w:rPr>
              <w:t>).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  <w:t>The use of the RTS/CTS mechanism is under control of dot11TXOPDurationRTSThreshold if dot11TXOP-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7616F8">
              <w:rPr>
                <w:rFonts w:ascii="Calibri" w:hAnsi="Calibri" w:cs="Calibri"/>
                <w:sz w:val="18"/>
                <w:szCs w:val="18"/>
              </w:rPr>
              <w:t>DurationRTSThreshold</w:t>
            </w:r>
            <w:proofErr w:type="spellEnd"/>
            <w:r w:rsidRPr="007616F8">
              <w:rPr>
                <w:rFonts w:ascii="Calibri" w:hAnsi="Calibri" w:cs="Calibri"/>
                <w:sz w:val="18"/>
                <w:szCs w:val="18"/>
              </w:rPr>
              <w:t xml:space="preserve"> is not 1023. If this mechanism is enabled, a non-AP HE STA shall use an RTS/CTS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  <w:t>exchange for individually addressed frames if the duration of the TXOP is greater than or equal to dot11TX-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Pr="007616F8">
              <w:rPr>
                <w:rFonts w:ascii="Calibri" w:hAnsi="Calibri" w:cs="Calibri"/>
                <w:sz w:val="18"/>
                <w:szCs w:val="18"/>
              </w:rPr>
              <w:t>OPDurationRTSThreshold</w:t>
            </w:r>
            <w:proofErr w:type="spellEnd"/>
            <w:r w:rsidRPr="007616F8">
              <w:rPr>
                <w:rFonts w:ascii="Calibri" w:hAnsi="Calibri" w:cs="Calibri"/>
                <w:sz w:val="18"/>
                <w:szCs w:val="18"/>
              </w:rPr>
              <w:t xml:space="preserve"> as defined in 26.2.1 (TXOP duration-based RTS/CTS)." -- too much detail on the latter, and inconsistent wording, and spurious "is"</w:t>
            </w:r>
          </w:p>
        </w:tc>
        <w:tc>
          <w:tcPr>
            <w:tcW w:w="1625" w:type="dxa"/>
          </w:tcPr>
          <w:p w14:paraId="7C2BEDF9" w14:textId="67599598" w:rsidR="00315F23" w:rsidRPr="007616F8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7616F8">
              <w:rPr>
                <w:rFonts w:ascii="Calibri" w:hAnsi="Calibri" w:cs="Calibri"/>
                <w:sz w:val="18"/>
                <w:szCs w:val="18"/>
              </w:rPr>
              <w:t>Change the cited text to "The  use  of  the  RTS/CTS  mechanism  under  control  of  dot11RTSThreshold  if  dot11TXOPDurationRTS-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  <w:t>Threshold is 1023 or is not present is described in 10.3.5 (Individually addressed MPDU transfer procedure).</w:t>
            </w:r>
            <w:r w:rsidRPr="007616F8">
              <w:rPr>
                <w:rFonts w:ascii="Calibri" w:hAnsi="Calibri" w:cs="Calibri"/>
                <w:sz w:val="18"/>
                <w:szCs w:val="18"/>
              </w:rPr>
              <w:br/>
              <w:t>The use of the RTS/CTS mechanism under control of dot11TXOPDurationRTSThreshold if dot11TXOPDurationRTSThreshold is present and is not 1023 is described in 26.2.1 (TXOP duration-based RTS/CTS)."</w:t>
            </w:r>
          </w:p>
        </w:tc>
        <w:tc>
          <w:tcPr>
            <w:tcW w:w="3207" w:type="dxa"/>
          </w:tcPr>
          <w:p w14:paraId="484D17F6" w14:textId="371AB28B" w:rsidR="00315F23" w:rsidRDefault="007616F8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3DF6E800" w14:textId="77777777" w:rsidR="007616F8" w:rsidRDefault="007616F8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AA9319" w14:textId="77777777" w:rsidR="007616F8" w:rsidRDefault="007616F8" w:rsidP="00315F23">
            <w:pPr>
              <w:autoSpaceDE w:val="0"/>
              <w:autoSpaceDN w:val="0"/>
              <w:adjustRightInd w:val="0"/>
              <w:rPr>
                <w:ins w:id="0" w:author="Huang, Po-kai" w:date="2019-11-13T02:30:00Z"/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5C47FFED" w14:textId="77777777" w:rsidR="007616F8" w:rsidRDefault="007616F8" w:rsidP="00315F23">
            <w:pPr>
              <w:autoSpaceDE w:val="0"/>
              <w:autoSpaceDN w:val="0"/>
              <w:adjustRightInd w:val="0"/>
              <w:rPr>
                <w:ins w:id="1" w:author="Huang, Po-kai" w:date="2019-11-13T02:30:00Z"/>
                <w:rFonts w:ascii="Calibri" w:hAnsi="Calibri" w:cs="Calibri"/>
                <w:sz w:val="18"/>
                <w:szCs w:val="18"/>
              </w:rPr>
            </w:pPr>
          </w:p>
          <w:p w14:paraId="0AF553D7" w14:textId="77777777" w:rsidR="007616F8" w:rsidRDefault="007616F8" w:rsidP="00315F23">
            <w:pPr>
              <w:autoSpaceDE w:val="0"/>
              <w:autoSpaceDN w:val="0"/>
              <w:adjustRightInd w:val="0"/>
              <w:rPr>
                <w:ins w:id="2" w:author="Huang, Po-kai" w:date="2019-11-13T02:30:00Z"/>
                <w:rFonts w:ascii="Calibri" w:hAnsi="Calibri" w:cs="Calibri"/>
                <w:sz w:val="18"/>
                <w:szCs w:val="18"/>
              </w:rPr>
            </w:pPr>
          </w:p>
          <w:p w14:paraId="3C208FED" w14:textId="34EF39E8" w:rsidR="007616F8" w:rsidRDefault="007616F8" w:rsidP="007616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11-19/1816r1 under all headings that include CID 221</w:t>
            </w:r>
            <w:r w:rsidR="00C279DA">
              <w:rPr>
                <w:rFonts w:ascii="Calibri" w:hAnsi="Calibri" w:cs="Arial"/>
                <w:sz w:val="18"/>
                <w:szCs w:val="18"/>
              </w:rPr>
              <w:t>44</w:t>
            </w:r>
          </w:p>
          <w:p w14:paraId="3C556D55" w14:textId="51321FA8" w:rsidR="007616F8" w:rsidRPr="00A413E3" w:rsidRDefault="007616F8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02B2" w:rsidRPr="00DF4A52" w14:paraId="37D835E0" w14:textId="77777777" w:rsidTr="00330F15">
        <w:trPr>
          <w:trHeight w:val="1002"/>
        </w:trPr>
        <w:tc>
          <w:tcPr>
            <w:tcW w:w="721" w:type="dxa"/>
          </w:tcPr>
          <w:p w14:paraId="42B02FED" w14:textId="77217A11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22288</w:t>
            </w:r>
          </w:p>
        </w:tc>
        <w:tc>
          <w:tcPr>
            <w:tcW w:w="900" w:type="dxa"/>
          </w:tcPr>
          <w:p w14:paraId="7C2B780D" w14:textId="5A54CE6B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2AA98C93" w14:textId="77777777" w:rsidR="00F502B2" w:rsidRPr="00A413E3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82B500" w14:textId="027FBC9C" w:rsidR="00F502B2" w:rsidRPr="00A413E3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C.3</w:t>
            </w:r>
          </w:p>
        </w:tc>
        <w:tc>
          <w:tcPr>
            <w:tcW w:w="2875" w:type="dxa"/>
          </w:tcPr>
          <w:p w14:paraId="4266936C" w14:textId="79736910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dot11RTSThreshold in the baseline is limited to 4692480, which is the maximum VHT PSDU size.  Needs to be changed to 6500631, which is the HE maximum</w:t>
            </w:r>
          </w:p>
        </w:tc>
        <w:tc>
          <w:tcPr>
            <w:tcW w:w="1625" w:type="dxa"/>
          </w:tcPr>
          <w:p w14:paraId="74326894" w14:textId="5B927416" w:rsidR="00F502B2" w:rsidRPr="00FF1FC6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As it says in the comment</w:t>
            </w:r>
          </w:p>
        </w:tc>
        <w:tc>
          <w:tcPr>
            <w:tcW w:w="3207" w:type="dxa"/>
          </w:tcPr>
          <w:p w14:paraId="266AA873" w14:textId="2A387C1E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3A79E5C8" w14:textId="241FD8E2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D00946" w14:textId="1BF6E066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 in principle with the commenter.</w:t>
            </w:r>
          </w:p>
          <w:p w14:paraId="7490AEA9" w14:textId="77777777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170F4BB" w14:textId="5A05B848" w:rsidR="00F502B2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</w:t>
            </w:r>
            <w:r w:rsidR="0042367A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22288</w:t>
            </w:r>
          </w:p>
          <w:p w14:paraId="4CE2E782" w14:textId="4211A87F" w:rsidR="00F502B2" w:rsidRPr="00A413E3" w:rsidRDefault="00F502B2" w:rsidP="00F502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11CD" w:rsidRPr="00DF4A52" w14:paraId="712028DE" w14:textId="77777777" w:rsidTr="00330F15">
        <w:trPr>
          <w:trHeight w:val="1002"/>
        </w:trPr>
        <w:tc>
          <w:tcPr>
            <w:tcW w:w="721" w:type="dxa"/>
          </w:tcPr>
          <w:p w14:paraId="5FAE8445" w14:textId="3CCF9103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22235</w:t>
            </w:r>
          </w:p>
        </w:tc>
        <w:tc>
          <w:tcPr>
            <w:tcW w:w="900" w:type="dxa"/>
          </w:tcPr>
          <w:p w14:paraId="451546D9" w14:textId="01FAFA9B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5C4BCF5E" w14:textId="146CCFF9" w:rsidR="00CA11CD" w:rsidRPr="00A413E3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1850.39</w:t>
            </w:r>
          </w:p>
        </w:tc>
        <w:tc>
          <w:tcPr>
            <w:tcW w:w="900" w:type="dxa"/>
          </w:tcPr>
          <w:p w14:paraId="635F2F80" w14:textId="2D7337C3" w:rsidR="00CA11CD" w:rsidRPr="00A413E3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15F23">
              <w:rPr>
                <w:rFonts w:ascii="Calibri" w:hAnsi="Calibri" w:cs="Calibri"/>
                <w:sz w:val="18"/>
                <w:szCs w:val="18"/>
              </w:rPr>
              <w:t>10.23.3.5.3</w:t>
            </w:r>
          </w:p>
        </w:tc>
        <w:tc>
          <w:tcPr>
            <w:tcW w:w="2875" w:type="dxa"/>
          </w:tcPr>
          <w:p w14:paraId="55AE1FFC" w14:textId="382EF614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Locations in the baseline that refer to dot11RTSThreshold need to be amended to also refer to dot11TXOPDurationRTSThreshold, since this supersedes the former when present and not 1023</w:t>
            </w:r>
          </w:p>
        </w:tc>
        <w:tc>
          <w:tcPr>
            <w:tcW w:w="1625" w:type="dxa"/>
          </w:tcPr>
          <w:p w14:paraId="140DE243" w14:textId="7CA3269E" w:rsidR="00CA11CD" w:rsidRPr="00FF1FC6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In 10.23.3.5.3 change "In order to provide improved NAV protection, a STA may send an RTS frame as the first frame of any frame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exchange sequence (#65)without regard for dot11RTSThreshold." to "In order to provide improved NAV protection, a STA may send an RTS frame as the first frame of any frame</w:t>
            </w:r>
            <w:r w:rsidRPr="00FF1FC6">
              <w:rPr>
                <w:rFonts w:ascii="Calibri" w:hAnsi="Calibri" w:cs="Calibri"/>
                <w:sz w:val="18"/>
                <w:szCs w:val="18"/>
              </w:rPr>
              <w:br/>
              <w:t>exchange sequence (#65)without regard for dot11RTSThreshol</w:t>
            </w:r>
            <w:r w:rsidRPr="00FF1FC6">
              <w:rPr>
                <w:rFonts w:ascii="Calibri" w:hAnsi="Calibri" w:cs="Calibri"/>
                <w:sz w:val="18"/>
                <w:szCs w:val="18"/>
              </w:rPr>
              <w:lastRenderedPageBreak/>
              <w:t>d and dot11TXOPDurationRTSThreshold."</w:t>
            </w:r>
          </w:p>
        </w:tc>
        <w:tc>
          <w:tcPr>
            <w:tcW w:w="3207" w:type="dxa"/>
          </w:tcPr>
          <w:p w14:paraId="73ADE467" w14:textId="1A0D74EF" w:rsidR="00CA11CD" w:rsidRDefault="00CA11CD" w:rsidP="00CA11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Accepted - </w:t>
            </w:r>
          </w:p>
        </w:tc>
      </w:tr>
      <w:tr w:rsidR="00315F23" w:rsidRPr="00DF4A52" w14:paraId="17C51EF3" w14:textId="77777777" w:rsidTr="00330F15">
        <w:trPr>
          <w:trHeight w:val="1002"/>
        </w:trPr>
        <w:tc>
          <w:tcPr>
            <w:tcW w:w="721" w:type="dxa"/>
          </w:tcPr>
          <w:p w14:paraId="01778C36" w14:textId="2039EB81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22234</w:t>
            </w:r>
          </w:p>
        </w:tc>
        <w:tc>
          <w:tcPr>
            <w:tcW w:w="900" w:type="dxa"/>
          </w:tcPr>
          <w:p w14:paraId="624AADD6" w14:textId="04B4221A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65FBC9C0" w14:textId="77777777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77BC58" w14:textId="77777777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7813D89" w14:textId="72CCC594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>Locations in the baseline that refer to dot11RTSThreshold need to be amended to also refer to dot11TXOPDurationRTSThreshold, since this supersedes the former when present and not 1023</w:t>
            </w:r>
          </w:p>
        </w:tc>
        <w:tc>
          <w:tcPr>
            <w:tcW w:w="1625" w:type="dxa"/>
          </w:tcPr>
          <w:p w14:paraId="542261C6" w14:textId="34C4A50B" w:rsidR="00315F23" w:rsidRPr="00A413E3" w:rsidRDefault="00315F23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F1FC6">
              <w:rPr>
                <w:rFonts w:ascii="Calibri" w:hAnsi="Calibri" w:cs="Calibri"/>
                <w:sz w:val="18"/>
                <w:szCs w:val="18"/>
              </w:rPr>
              <w:t xml:space="preserve">Fix 10.3.2.6, 10.3.3, 10.3.4.4, 10.23.3.5.3, C.3 (under dot11ShortDEIRetryLimit, dot11LongDEIRetryLimit, dot11ShortRetryLimit, </w:t>
            </w: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dot11LongRetryLimit) in the </w:t>
            </w:r>
            <w:r w:rsidRPr="00FF1FC6">
              <w:rPr>
                <w:rFonts w:ascii="Calibri" w:hAnsi="Calibri" w:cs="Calibri"/>
                <w:sz w:val="18"/>
                <w:szCs w:val="18"/>
              </w:rPr>
              <w:t>baseline</w:t>
            </w:r>
          </w:p>
        </w:tc>
        <w:tc>
          <w:tcPr>
            <w:tcW w:w="3207" w:type="dxa"/>
          </w:tcPr>
          <w:p w14:paraId="6B43CC5A" w14:textId="586D0AFF" w:rsidR="00315F23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78FBB698" w14:textId="77777777" w:rsidR="00BE73AF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A42C371" w14:textId="4013976D" w:rsidR="00BE73AF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4AA515C0" w14:textId="3A4048D5" w:rsidR="00E31677" w:rsidRDefault="00E31677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3D61941" w14:textId="7DF8D791" w:rsidR="00E31677" w:rsidRPr="00BA3192" w:rsidRDefault="00E31677" w:rsidP="00E316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For dot11Short</w:t>
            </w:r>
            <w:r w:rsidR="00BA3192"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DEI</w:t>
            </w: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RetryLimit used in EDCA,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 based on dot11RTSThreshold, and the description of this MIB variable shall be updated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678CE911" w14:textId="77777777" w:rsidR="00E31677" w:rsidRPr="00BA3192" w:rsidRDefault="00E31677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F36E44D" w14:textId="49DD4D95" w:rsidR="00E31677" w:rsidRPr="00BA3192" w:rsidRDefault="00E31677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For dot11Long</w:t>
            </w:r>
            <w:r w:rsidR="00BA3192"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DEI</w:t>
            </w: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RetryLimit,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variable, and this MIB variable shall be just deleted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76B69820" w14:textId="410A903E" w:rsidR="00BE73AF" w:rsidRPr="00BA3192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63C5399" w14:textId="66B6A44E" w:rsidR="00BA3192" w:rsidRPr="00BA3192" w:rsidRDefault="00BA3192" w:rsidP="00BA31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For dot11ShortRetryLimit used in EDCA,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 based on dot11RTSThreshold, and the description of this MIB variable for QoS or non-QoS STA shall be updated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19E457A5" w14:textId="77777777" w:rsidR="00BA3192" w:rsidRPr="00BA3192" w:rsidRDefault="00BA3192" w:rsidP="00BA31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D4C83F2" w14:textId="3EC374EA" w:rsidR="00BA3192" w:rsidRPr="00BA3192" w:rsidRDefault="00BA3192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For dot11LongRetryLimit,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 removes the usage of this MIB variable in EDCA, and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the description of this MIB variable for QoS or non-QoS STA shall be updated in </w:t>
            </w:r>
            <w:proofErr w:type="spellStart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revmd</w:t>
            </w:r>
            <w:proofErr w:type="spellEnd"/>
            <w:r w:rsidRPr="00BA319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D3.0.</w:t>
            </w:r>
          </w:p>
          <w:p w14:paraId="345D9C27" w14:textId="77777777" w:rsidR="00BA3192" w:rsidRDefault="00BA3192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5F6FEBB" w14:textId="258A0937" w:rsidR="00BE73AF" w:rsidRDefault="00BE73AF" w:rsidP="00BE73A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11-19/1816</w:t>
            </w:r>
            <w:r w:rsidR="0042367A">
              <w:rPr>
                <w:rFonts w:ascii="Calibri" w:hAnsi="Calibri" w:cs="Arial"/>
                <w:sz w:val="18"/>
                <w:szCs w:val="18"/>
              </w:rPr>
              <w:t>r1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22234</w:t>
            </w:r>
          </w:p>
          <w:p w14:paraId="460DBAD4" w14:textId="7E50A428" w:rsidR="00BE73AF" w:rsidRPr="00A413E3" w:rsidRDefault="00BE73AF" w:rsidP="00315F2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5869B296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341F7E1E" w14:textId="77777777" w:rsidR="007A5DE6" w:rsidRDefault="007A5DE6" w:rsidP="004D34B0">
      <w:pPr>
        <w:rPr>
          <w:b/>
          <w:u w:val="single"/>
        </w:rPr>
      </w:pPr>
    </w:p>
    <w:p w14:paraId="4E073A95" w14:textId="065F3D59" w:rsidR="003453E1" w:rsidRDefault="003453E1" w:rsidP="007A5DE6">
      <w:pPr>
        <w:rPr>
          <w:lang w:eastAsia="ko-KR"/>
        </w:rPr>
      </w:pPr>
    </w:p>
    <w:p w14:paraId="182C7FC5" w14:textId="66E5AEE0" w:rsidR="001B285B" w:rsidRDefault="003453E1" w:rsidP="007A5DE6">
      <w:pPr>
        <w:rPr>
          <w:b/>
          <w:i/>
          <w:lang w:eastAsia="ko-KR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</w:t>
      </w:r>
      <w:r w:rsidR="00A72F70">
        <w:rPr>
          <w:b/>
          <w:i/>
          <w:lang w:eastAsia="ko-KR"/>
        </w:rPr>
        <w:t>26.2.1 TXOP duration-based RTS/CTS</w:t>
      </w:r>
      <w:r w:rsidR="001D4346" w:rsidRPr="001D434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</w:p>
    <w:p w14:paraId="32AAE579" w14:textId="77777777" w:rsidR="001D4346" w:rsidRDefault="001D4346" w:rsidP="007A5DE6">
      <w:pPr>
        <w:rPr>
          <w:b/>
          <w:i/>
          <w:lang w:eastAsia="ko-KR"/>
        </w:rPr>
      </w:pPr>
    </w:p>
    <w:p w14:paraId="1CF2ECBC" w14:textId="77777777" w:rsidR="00A72F70" w:rsidRDefault="00A72F70" w:rsidP="00A72F70">
      <w:pPr>
        <w:rPr>
          <w:rFonts w:ascii="Arial-BoldMT" w:hAnsi="Arial-BoldMT" w:hint="eastAsia"/>
          <w:b/>
          <w:bCs/>
          <w:color w:val="000000"/>
          <w:szCs w:val="22"/>
        </w:rPr>
      </w:pPr>
      <w:r w:rsidRPr="00A72F70">
        <w:rPr>
          <w:rFonts w:ascii="Arial-BoldMT" w:hAnsi="Arial-BoldMT"/>
          <w:b/>
          <w:bCs/>
          <w:color w:val="000000"/>
          <w:szCs w:val="22"/>
        </w:rPr>
        <w:t xml:space="preserve">26.2 HE </w:t>
      </w:r>
      <w:proofErr w:type="gramStart"/>
      <w:r w:rsidRPr="00A72F70">
        <w:rPr>
          <w:rFonts w:ascii="Arial-BoldMT" w:hAnsi="Arial-BoldMT"/>
          <w:b/>
          <w:bCs/>
          <w:color w:val="000000"/>
          <w:szCs w:val="22"/>
        </w:rPr>
        <w:t>channel</w:t>
      </w:r>
      <w:proofErr w:type="gramEnd"/>
      <w:r w:rsidRPr="00A72F70">
        <w:rPr>
          <w:rFonts w:ascii="Arial-BoldMT" w:hAnsi="Arial-BoldMT"/>
          <w:b/>
          <w:bCs/>
          <w:color w:val="000000"/>
          <w:szCs w:val="22"/>
        </w:rPr>
        <w:t xml:space="preserve"> access</w:t>
      </w:r>
    </w:p>
    <w:p w14:paraId="30851312" w14:textId="77777777" w:rsidR="00A72F70" w:rsidRDefault="00A72F70" w:rsidP="00A72F70">
      <w:pPr>
        <w:rPr>
          <w:rFonts w:ascii="Arial-BoldMT" w:hAnsi="Arial-BoldMT" w:hint="eastAsia"/>
          <w:b/>
          <w:bCs/>
          <w:color w:val="000000"/>
          <w:sz w:val="20"/>
          <w:szCs w:val="22"/>
        </w:rPr>
      </w:pPr>
      <w:r w:rsidRPr="00A72F70">
        <w:rPr>
          <w:rFonts w:ascii="Arial-BoldMT" w:hAnsi="Arial-BoldMT"/>
          <w:b/>
          <w:bCs/>
          <w:color w:val="000000"/>
          <w:szCs w:val="22"/>
        </w:rPr>
        <w:br/>
      </w:r>
      <w:r w:rsidRPr="00A72F70">
        <w:rPr>
          <w:rFonts w:ascii="Arial-BoldMT" w:hAnsi="Arial-BoldMT"/>
          <w:b/>
          <w:bCs/>
          <w:color w:val="000000"/>
          <w:sz w:val="20"/>
          <w:szCs w:val="22"/>
        </w:rPr>
        <w:t>26.2.1 TXOP duration-based RTS/CTS</w:t>
      </w:r>
    </w:p>
    <w:p w14:paraId="3F5D4C54" w14:textId="77777777" w:rsidR="00A72F70" w:rsidRDefault="00A72F70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72F70">
        <w:rPr>
          <w:rFonts w:ascii="Arial-BoldMT" w:hAnsi="Arial-BoldMT"/>
          <w:b/>
          <w:bCs/>
          <w:color w:val="000000"/>
          <w:sz w:val="20"/>
        </w:rPr>
        <w:br/>
      </w:r>
      <w:r w:rsidRPr="00A72F70">
        <w:rPr>
          <w:rFonts w:ascii="TimesNewRomanPSMT" w:eastAsia="TimesNewRomanPSMT" w:hAnsi="TimesNewRomanPSMT"/>
          <w:color w:val="000000"/>
          <w:sz w:val="20"/>
        </w:rPr>
        <w:t xml:space="preserve">In an HE BSS, the use of RTS/CTS can be TXOP duration-based or PSDU length-based. </w:t>
      </w:r>
      <w:proofErr w:type="spellStart"/>
      <w:r w:rsidRPr="00A72F70">
        <w:rPr>
          <w:rFonts w:ascii="TimesNewRomanPSMT" w:eastAsia="TimesNewRomanPSMT" w:hAnsi="TimesNewRomanPSMT"/>
          <w:color w:val="000000"/>
          <w:sz w:val="20"/>
        </w:rPr>
        <w:t>An</w:t>
      </w:r>
      <w:proofErr w:type="spellEnd"/>
      <w:r w:rsidRPr="00A72F70">
        <w:rPr>
          <w:rFonts w:ascii="TimesNewRomanPSMT" w:eastAsia="TimesNewRomanPSMT" w:hAnsi="TimesNewRomanPSMT"/>
          <w:color w:val="000000"/>
          <w:sz w:val="20"/>
        </w:rPr>
        <w:t xml:space="preserve"> HE AP can</w:t>
      </w:r>
      <w:r w:rsidRPr="00A72F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72F70">
        <w:rPr>
          <w:rFonts w:ascii="TimesNewRomanPSMT" w:eastAsia="TimesNewRomanPSMT" w:hAnsi="TimesNewRomanPSMT"/>
          <w:color w:val="000000"/>
          <w:sz w:val="20"/>
        </w:rPr>
        <w:t>configure a non-AP HE STA to use the TXOP duration-based RTS/CTS exchanges to help mitigate interference in dense environments.</w:t>
      </w:r>
    </w:p>
    <w:p w14:paraId="10A241BB" w14:textId="2D15B463" w:rsidR="00A72F70" w:rsidRDefault="00A72F70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72F70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spellStart"/>
      <w:r w:rsidRPr="00A72F70">
        <w:rPr>
          <w:rFonts w:ascii="TimesNewRomanPSMT" w:eastAsia="TimesNewRomanPSMT" w:hAnsi="TimesNewRomanPSMT"/>
          <w:color w:val="000000"/>
          <w:sz w:val="20"/>
        </w:rPr>
        <w:t>An</w:t>
      </w:r>
      <w:proofErr w:type="spellEnd"/>
      <w:r w:rsidRPr="00A72F70">
        <w:rPr>
          <w:rFonts w:ascii="TimesNewRomanPSMT" w:eastAsia="TimesNewRomanPSMT" w:hAnsi="TimesNewRomanPSMT"/>
          <w:color w:val="000000"/>
          <w:sz w:val="20"/>
        </w:rPr>
        <w:t xml:space="preserve"> HE AP may set the TXOP Duration RTS Threshold subfield </w:t>
      </w:r>
      <w:ins w:id="3" w:author="Huang, Po-kai" w:date="2019-10-31T13:33:00Z">
        <w:r w:rsidR="006C47D4">
          <w:rPr>
            <w:rFonts w:ascii="Calibri" w:hAnsi="Calibri" w:cs="Calibri"/>
            <w:sz w:val="18"/>
            <w:szCs w:val="18"/>
          </w:rPr>
          <w:t>of</w:t>
        </w:r>
        <w:r w:rsidR="006C47D4" w:rsidRPr="0036479A">
          <w:rPr>
            <w:rFonts w:ascii="Calibri" w:hAnsi="Calibri" w:cs="Calibri"/>
            <w:sz w:val="18"/>
            <w:szCs w:val="18"/>
          </w:rPr>
          <w:t xml:space="preserve"> the HE Operation Parameters field</w:t>
        </w:r>
        <w:r w:rsidR="006C47D4" w:rsidRPr="00A72F70">
          <w:rPr>
            <w:rFonts w:ascii="TimesNewRomanPSMT" w:eastAsia="TimesNewRomanPSMT" w:hAnsi="TimesNewRomanPSMT"/>
            <w:color w:val="000000"/>
            <w:sz w:val="20"/>
          </w:rPr>
          <w:t xml:space="preserve"> </w:t>
        </w:r>
      </w:ins>
      <w:r w:rsidRPr="00A72F70">
        <w:rPr>
          <w:rFonts w:ascii="TimesNewRomanPSMT" w:eastAsia="TimesNewRomanPSMT" w:hAnsi="TimesNewRomanPSMT"/>
          <w:color w:val="000000"/>
          <w:sz w:val="20"/>
        </w:rPr>
        <w:t xml:space="preserve">of </w:t>
      </w:r>
      <w:proofErr w:type="gramStart"/>
      <w:ins w:id="4" w:author="Huang, Po-kai" w:date="2019-10-31T13:33:00Z">
        <w:r w:rsidR="006C47D4">
          <w:rPr>
            <w:rFonts w:ascii="TimesNewRomanPSMT" w:eastAsia="TimesNewRomanPSMT" w:hAnsi="TimesNewRomanPSMT"/>
            <w:color w:val="000000"/>
            <w:sz w:val="20"/>
          </w:rPr>
          <w:t>the(</w:t>
        </w:r>
        <w:proofErr w:type="gramEnd"/>
        <w:r w:rsidR="006C47D4">
          <w:rPr>
            <w:rFonts w:ascii="TimesNewRomanPSMT" w:eastAsia="TimesNewRomanPSMT" w:hAnsi="TimesNewRomanPSMT"/>
            <w:color w:val="000000"/>
            <w:sz w:val="20"/>
          </w:rPr>
          <w:t xml:space="preserve">#22000) </w:t>
        </w:r>
      </w:ins>
      <w:r w:rsidRPr="00A72F70">
        <w:rPr>
          <w:rFonts w:ascii="TimesNewRomanPSMT" w:eastAsia="TimesNewRomanPSMT" w:hAnsi="TimesNewRomanPSMT"/>
          <w:color w:val="000000"/>
          <w:sz w:val="20"/>
        </w:rPr>
        <w:t>HE Operation element it transmits to a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value between 1 and 1022 to enable TXOP duration-based RTS/CTS exchanges of its associated STAs. The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AP may set the TXOP Duration RTS Threshold field to 1023 to disable TXOP duration-based RTS/CTS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exchanges of its associated STAs. The AP may in Beacon and Probe Response frames set the TXOP Duration RTS Threshold field to 0 to make no changes to TXOP duration-based RTS/CTS exchanges of its associated STAs.</w:t>
      </w:r>
    </w:p>
    <w:p w14:paraId="0A9BAB52" w14:textId="66F07873" w:rsidR="0075686A" w:rsidRDefault="00A72F70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72F70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A72F70">
        <w:rPr>
          <w:rFonts w:ascii="TimesNewRomanPSMT" w:eastAsia="TimesNewRomanPSMT" w:hAnsi="TimesNewRomanPSMT"/>
          <w:color w:val="000000"/>
          <w:sz w:val="20"/>
        </w:rPr>
        <w:t>If the TXOP Duration RTS Threshold subfield</w:t>
      </w:r>
      <w:r w:rsidR="006C47D4" w:rsidRPr="006C47D4">
        <w:rPr>
          <w:rFonts w:ascii="Calibri" w:hAnsi="Calibri" w:cs="Calibri"/>
          <w:sz w:val="18"/>
          <w:szCs w:val="18"/>
        </w:rPr>
        <w:t xml:space="preserve"> </w:t>
      </w:r>
      <w:ins w:id="5" w:author="Huang, Po-kai" w:date="2019-10-31T13:33:00Z">
        <w:r w:rsidR="006C47D4">
          <w:rPr>
            <w:rFonts w:ascii="Calibri" w:hAnsi="Calibri" w:cs="Calibri"/>
            <w:sz w:val="18"/>
            <w:szCs w:val="18"/>
          </w:rPr>
          <w:t>of</w:t>
        </w:r>
        <w:r w:rsidR="006C47D4" w:rsidRPr="0036479A">
          <w:rPr>
            <w:rFonts w:ascii="Calibri" w:hAnsi="Calibri" w:cs="Calibri"/>
            <w:sz w:val="18"/>
            <w:szCs w:val="18"/>
          </w:rPr>
          <w:t xml:space="preserve"> the HE Operation Parameters </w:t>
        </w:r>
        <w:proofErr w:type="gramStart"/>
        <w:r w:rsidR="006C47D4" w:rsidRPr="0036479A">
          <w:rPr>
            <w:rFonts w:ascii="Calibri" w:hAnsi="Calibri" w:cs="Calibri"/>
            <w:sz w:val="18"/>
            <w:szCs w:val="18"/>
          </w:rPr>
          <w:t>field</w:t>
        </w:r>
      </w:ins>
      <w:ins w:id="6" w:author="Huang, Po-kai" w:date="2019-10-31T13:34:00Z">
        <w:r w:rsidR="006C47D4">
          <w:rPr>
            <w:rFonts w:ascii="Calibri" w:hAnsi="Calibri" w:cs="Calibri"/>
            <w:sz w:val="18"/>
            <w:szCs w:val="18"/>
          </w:rPr>
          <w:t>(</w:t>
        </w:r>
        <w:proofErr w:type="gramEnd"/>
        <w:r w:rsidR="006C47D4">
          <w:rPr>
            <w:rFonts w:ascii="Calibri" w:hAnsi="Calibri" w:cs="Calibri"/>
            <w:sz w:val="18"/>
            <w:szCs w:val="18"/>
          </w:rPr>
          <w:t>#22001)</w:t>
        </w:r>
      </w:ins>
      <w:r w:rsidRPr="00A72F70">
        <w:rPr>
          <w:rFonts w:ascii="TimesNewRomanPSMT" w:eastAsia="TimesNewRomanPSMT" w:hAnsi="TimesNewRomanPSMT"/>
          <w:color w:val="000000"/>
          <w:sz w:val="20"/>
        </w:rPr>
        <w:t xml:space="preserve"> in the most recently </w:t>
      </w:r>
      <w:r w:rsidRPr="00A72F70">
        <w:rPr>
          <w:rFonts w:ascii="TimesNewRomanPSMT" w:eastAsia="TimesNewRomanPSMT" w:hAnsi="TimesNewRomanPSMT"/>
          <w:color w:val="000000"/>
          <w:sz w:val="20"/>
        </w:rPr>
        <w:lastRenderedPageBreak/>
        <w:t>received HE Operation element sent by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the AP to which a non-AP HE STA is associated is equal to a nonzero value, then the non-AP HE STA shall</w:t>
      </w:r>
      <w:r w:rsidR="006C47D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72F70">
        <w:rPr>
          <w:rFonts w:ascii="TimesNewRomanPSMT" w:eastAsia="TimesNewRomanPSMT" w:hAnsi="TimesNewRomanPSMT"/>
          <w:color w:val="000000"/>
          <w:sz w:val="20"/>
        </w:rPr>
        <w:t>set dot11TXOPDurationRTSThreshold to the value of the TXOP Duration RTS Threshold subfield. Otherwise, the non-AP HE STA shall not update dot11TXOPDurationRTSThreshold.</w:t>
      </w:r>
    </w:p>
    <w:p w14:paraId="3249B902" w14:textId="514B4469" w:rsidR="00AD75A1" w:rsidRDefault="00AD75A1" w:rsidP="00A72F70">
      <w:pPr>
        <w:rPr>
          <w:rFonts w:ascii="TimesNewRomanPSMT" w:eastAsia="TimesNewRomanPSMT" w:hAnsi="TimesNewRomanPSMT"/>
          <w:color w:val="000000"/>
          <w:sz w:val="20"/>
        </w:rPr>
      </w:pPr>
    </w:p>
    <w:p w14:paraId="032FA178" w14:textId="65113B67" w:rsidR="00AD75A1" w:rsidRPr="00AD75A1" w:rsidRDefault="00AD75A1" w:rsidP="00A72F70">
      <w:pPr>
        <w:rPr>
          <w:b/>
          <w:i/>
          <w:lang w:eastAsia="ko-KR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10.3.1 General</w:t>
      </w:r>
      <w:r w:rsidRPr="001D4346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>as follows: (Track change on)</w:t>
      </w:r>
    </w:p>
    <w:p w14:paraId="49AB8028" w14:textId="77777777" w:rsidR="00AD75A1" w:rsidRDefault="00AD75A1" w:rsidP="00A72F70">
      <w:pPr>
        <w:rPr>
          <w:rFonts w:ascii="Arial-BoldMT" w:hAnsi="Arial-BoldMT" w:hint="eastAsia"/>
          <w:b/>
          <w:bCs/>
          <w:color w:val="000000"/>
          <w:szCs w:val="22"/>
        </w:rPr>
      </w:pPr>
    </w:p>
    <w:p w14:paraId="486953CC" w14:textId="55521990" w:rsidR="00AD75A1" w:rsidRDefault="00AD75A1" w:rsidP="00A72F70">
      <w:pPr>
        <w:rPr>
          <w:rFonts w:ascii="Arial-BoldMT" w:hAnsi="Arial-BoldMT" w:hint="eastAsia"/>
          <w:b/>
          <w:bCs/>
          <w:color w:val="000000"/>
          <w:sz w:val="20"/>
          <w:szCs w:val="22"/>
        </w:rPr>
      </w:pPr>
      <w:r w:rsidRPr="00AD75A1">
        <w:rPr>
          <w:rFonts w:ascii="Arial-BoldMT" w:hAnsi="Arial-BoldMT"/>
          <w:b/>
          <w:bCs/>
          <w:color w:val="000000"/>
          <w:szCs w:val="22"/>
        </w:rPr>
        <w:t>10.3 DCF</w:t>
      </w:r>
      <w:r w:rsidRPr="00AD75A1">
        <w:rPr>
          <w:rFonts w:ascii="Arial-BoldMT" w:hAnsi="Arial-BoldMT"/>
          <w:b/>
          <w:bCs/>
          <w:color w:val="000000"/>
          <w:szCs w:val="22"/>
        </w:rPr>
        <w:br/>
      </w:r>
    </w:p>
    <w:p w14:paraId="4F8C634F" w14:textId="34FC26CD" w:rsidR="00AD75A1" w:rsidRDefault="00AD75A1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AD75A1">
        <w:rPr>
          <w:rFonts w:ascii="Arial-BoldMT" w:hAnsi="Arial-BoldMT"/>
          <w:b/>
          <w:bCs/>
          <w:color w:val="000000"/>
          <w:sz w:val="20"/>
          <w:szCs w:val="22"/>
        </w:rPr>
        <w:t>10.3.1 General</w:t>
      </w:r>
    </w:p>
    <w:p w14:paraId="463052BF" w14:textId="262C871D" w:rsidR="00AD75A1" w:rsidRDefault="00FD6DD2" w:rsidP="00A72F70">
      <w:pPr>
        <w:rPr>
          <w:rFonts w:ascii="TimesNewRomanPSMT" w:eastAsia="TimesNewRomanPSMT" w:hAnsi="TimesNewRomanPSMT"/>
          <w:color w:val="000000"/>
          <w:sz w:val="20"/>
        </w:rPr>
      </w:pPr>
      <w:r w:rsidRPr="00FD6DD2">
        <w:rPr>
          <w:rFonts w:ascii="TimesNewRomanPSMT" w:eastAsia="TimesNewRomanPSMT" w:hAnsi="TimesNewRomanPSMT"/>
          <w:color w:val="000000"/>
          <w:sz w:val="20"/>
        </w:rPr>
        <w:t xml:space="preserve">The use of the RTS/CTS mechanism under control of dot11RTSThreshold </w:t>
      </w:r>
      <w:r w:rsidRPr="00FD6DD2">
        <w:rPr>
          <w:rFonts w:ascii="TimesNewRomanPSMT" w:eastAsia="TimesNewRomanPSMT" w:hAnsi="TimesNewRomanPSMT"/>
          <w:color w:val="000000"/>
          <w:sz w:val="20"/>
          <w:u w:val="single"/>
        </w:rPr>
        <w:t xml:space="preserve">if dot11TXOPDurationRTSThreshold is 1023 or </w:t>
      </w:r>
      <w:del w:id="7" w:author="Huang, Po-kai" w:date="2019-11-13T02:29:00Z">
        <w:r w:rsidRPr="00FD6DD2" w:rsidDel="007616F8">
          <w:rPr>
            <w:rFonts w:ascii="TimesNewRomanPSMT" w:eastAsia="TimesNewRomanPSMT" w:hAnsi="TimesNewRomanPSMT"/>
            <w:color w:val="000000"/>
            <w:sz w:val="20"/>
            <w:u w:val="single"/>
          </w:rPr>
          <w:delText xml:space="preserve">it </w:delText>
        </w:r>
      </w:del>
      <w:ins w:id="8" w:author="Huang, Po-kai" w:date="2019-11-13T02:31:00Z">
        <w:r w:rsidR="00974697">
          <w:rPr>
            <w:rFonts w:ascii="TimesNewRomanPSMT" w:eastAsia="TimesNewRomanPSMT" w:hAnsi="TimesNewRomanPSMT"/>
            <w:color w:val="000000"/>
            <w:sz w:val="20"/>
            <w:u w:val="single"/>
          </w:rPr>
          <w:t>(#</w:t>
        </w:r>
        <w:bookmarkStart w:id="9" w:name="_GoBack"/>
        <w:proofErr w:type="gramStart"/>
        <w:r w:rsidR="00974697">
          <w:rPr>
            <w:rFonts w:ascii="TimesNewRomanPSMT" w:eastAsia="TimesNewRomanPSMT" w:hAnsi="TimesNewRomanPSMT"/>
            <w:color w:val="000000"/>
            <w:sz w:val="20"/>
            <w:u w:val="single"/>
          </w:rPr>
          <w:t>22144</w:t>
        </w:r>
        <w:bookmarkEnd w:id="9"/>
        <w:r w:rsidR="00974697">
          <w:rPr>
            <w:rFonts w:ascii="TimesNewRomanPSMT" w:eastAsia="TimesNewRomanPSMT" w:hAnsi="TimesNewRomanPSMT"/>
            <w:color w:val="000000"/>
            <w:sz w:val="20"/>
            <w:u w:val="single"/>
          </w:rPr>
          <w:t>)</w:t>
        </w:r>
      </w:ins>
      <w:r w:rsidRPr="00FD6DD2">
        <w:rPr>
          <w:rFonts w:ascii="TimesNewRomanPSMT" w:eastAsia="TimesNewRomanPSMT" w:hAnsi="TimesNewRomanPSMT"/>
          <w:color w:val="000000"/>
          <w:sz w:val="20"/>
          <w:u w:val="single"/>
        </w:rPr>
        <w:t>is</w:t>
      </w:r>
      <w:proofErr w:type="gramEnd"/>
      <w:r w:rsidRPr="00FD6DD2">
        <w:rPr>
          <w:rFonts w:ascii="TimesNewRomanPSMT" w:eastAsia="TimesNewRomanPSMT" w:hAnsi="TimesNewRomanPSMT"/>
          <w:color w:val="000000"/>
          <w:sz w:val="20"/>
          <w:u w:val="single"/>
        </w:rPr>
        <w:t xml:space="preserve"> not present </w:t>
      </w:r>
      <w:r w:rsidRPr="00FD6DD2">
        <w:rPr>
          <w:rFonts w:ascii="TimesNewRomanPSMT" w:eastAsia="TimesNewRomanPSMT" w:hAnsi="TimesNewRomanPSMT"/>
          <w:color w:val="000000"/>
          <w:sz w:val="20"/>
        </w:rPr>
        <w:t>is described in 10.3.5 (Individually addressed MPDU transfer procedure).</w:t>
      </w:r>
    </w:p>
    <w:p w14:paraId="0B2A0055" w14:textId="77777777" w:rsidR="00FD6DD2" w:rsidRDefault="00FD6DD2" w:rsidP="00A72F70">
      <w:pPr>
        <w:rPr>
          <w:ins w:id="10" w:author="Huang, Po-kai" w:date="2019-10-31T15:58:00Z"/>
          <w:rFonts w:ascii="TimesNewRomanPSMT" w:eastAsia="TimesNewRomanPSMT" w:hAnsi="TimesNewRomanPSMT"/>
          <w:color w:val="000000"/>
          <w:sz w:val="20"/>
        </w:rPr>
      </w:pPr>
    </w:p>
    <w:p w14:paraId="15957EC8" w14:textId="1ADEF3C1" w:rsidR="00AD75A1" w:rsidRDefault="00AD75A1" w:rsidP="00A72F70">
      <w:pPr>
        <w:rPr>
          <w:ins w:id="11" w:author="Huang, Po-kai" w:date="2019-10-31T15:41:00Z"/>
          <w:rFonts w:ascii="TimesNewRomanPSMT" w:eastAsia="TimesNewRomanPSMT" w:hAnsi="TimesNewRomanPSMT"/>
          <w:color w:val="000000"/>
          <w:sz w:val="20"/>
        </w:rPr>
      </w:pPr>
      <w:r w:rsidRPr="00AD75A1">
        <w:rPr>
          <w:rFonts w:ascii="TimesNewRomanPSMT" w:eastAsia="TimesNewRomanPSMT" w:hAnsi="TimesNewRomanPSMT"/>
          <w:color w:val="000000"/>
          <w:sz w:val="20"/>
        </w:rPr>
        <w:t>The use of the RTS/CTS mechanism is under control of dot11TXOPDurationRTSThreshold if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AD75A1">
        <w:rPr>
          <w:rFonts w:ascii="TimesNewRomanPSMT" w:eastAsia="TimesNewRomanPSMT" w:hAnsi="TimesNewRomanPSMT"/>
          <w:color w:val="000000"/>
          <w:sz w:val="20"/>
        </w:rPr>
        <w:t xml:space="preserve">dot11TXOPDurationRTSThreshold </w:t>
      </w:r>
      <w:ins w:id="12" w:author="Huang, Po-kai" w:date="2019-10-31T13:57:00Z">
        <w:r w:rsidR="00B24DF5">
          <w:rPr>
            <w:rFonts w:ascii="TimesNewRomanPSMT" w:eastAsia="TimesNewRomanPSMT" w:hAnsi="TimesNewRomanPSMT"/>
            <w:color w:val="000000"/>
            <w:sz w:val="20"/>
          </w:rPr>
          <w:t xml:space="preserve">is present </w:t>
        </w:r>
        <w:proofErr w:type="gramStart"/>
        <w:r w:rsidR="00B24DF5">
          <w:rPr>
            <w:rFonts w:ascii="TimesNewRomanPSMT" w:eastAsia="TimesNewRomanPSMT" w:hAnsi="TimesNewRomanPSMT"/>
            <w:color w:val="000000"/>
            <w:sz w:val="20"/>
          </w:rPr>
          <w:t>and(</w:t>
        </w:r>
        <w:proofErr w:type="gramEnd"/>
        <w:r w:rsidR="00B24DF5">
          <w:rPr>
            <w:rFonts w:ascii="TimesNewRomanPSMT" w:eastAsia="TimesNewRomanPSMT" w:hAnsi="TimesNewRomanPSMT"/>
            <w:color w:val="000000"/>
            <w:sz w:val="20"/>
          </w:rPr>
          <w:t>#22143</w:t>
        </w:r>
      </w:ins>
      <w:ins w:id="13" w:author="Huang, Po-kai" w:date="2019-11-13T02:34:00Z">
        <w:r w:rsidR="00282ABB">
          <w:rPr>
            <w:rFonts w:ascii="TimesNewRomanPSMT" w:eastAsia="TimesNewRomanPSMT" w:hAnsi="TimesNewRomanPSMT"/>
            <w:color w:val="000000"/>
            <w:sz w:val="20"/>
          </w:rPr>
          <w:t>, #22144</w:t>
        </w:r>
      </w:ins>
      <w:ins w:id="14" w:author="Huang, Po-kai" w:date="2019-10-31T13:57:00Z">
        <w:r w:rsidR="00B24DF5">
          <w:rPr>
            <w:rFonts w:ascii="TimesNewRomanPSMT" w:eastAsia="TimesNewRomanPSMT" w:hAnsi="TimesNewRomanPSMT"/>
            <w:color w:val="000000"/>
            <w:sz w:val="20"/>
          </w:rPr>
          <w:t xml:space="preserve">) </w:t>
        </w:r>
      </w:ins>
      <w:r w:rsidRPr="00AD75A1">
        <w:rPr>
          <w:rFonts w:ascii="TimesNewRomanPSMT" w:eastAsia="TimesNewRomanPSMT" w:hAnsi="TimesNewRomanPSMT"/>
          <w:color w:val="000000"/>
          <w:sz w:val="20"/>
        </w:rPr>
        <w:t xml:space="preserve">is not 1023. If this mechanism is enabled, a non-AP HE STA shall </w:t>
      </w:r>
      <w:ins w:id="15" w:author="Huang, Po-kai" w:date="2019-11-06T01:31:00Z">
        <w:r w:rsidR="00187E51">
          <w:rPr>
            <w:rFonts w:ascii="TimesNewRomanPSMT" w:eastAsia="TimesNewRomanPSMT" w:hAnsi="TimesNewRomanPSMT"/>
            <w:color w:val="000000"/>
            <w:sz w:val="20"/>
          </w:rPr>
          <w:t xml:space="preserve">initiate a TXOP that is used </w:t>
        </w:r>
      </w:ins>
      <w:del w:id="16" w:author="Huang, Po-kai" w:date="2019-11-06T01:31:00Z"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>use an</w:delText>
        </w:r>
        <w:r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>RTS/CTS</w:delText>
        </w:r>
        <w:r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 </w:delText>
        </w:r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exchange </w:delText>
        </w:r>
      </w:del>
      <w:r w:rsidRPr="00AD75A1">
        <w:rPr>
          <w:rFonts w:ascii="TimesNewRomanPSMT" w:eastAsia="TimesNewRomanPSMT" w:hAnsi="TimesNewRomanPSMT"/>
          <w:color w:val="000000"/>
          <w:sz w:val="20"/>
        </w:rPr>
        <w:t xml:space="preserve">for individually addressed frames </w:t>
      </w:r>
      <w:del w:id="17" w:author="Huang, Po-kai" w:date="2019-10-31T13:40:00Z">
        <w:r w:rsidRPr="00AD75A1" w:rsidDel="00AD75A1">
          <w:rPr>
            <w:rFonts w:ascii="TimesNewRomanPSMT" w:eastAsia="TimesNewRomanPSMT" w:hAnsi="TimesNewRomanPSMT"/>
            <w:color w:val="000000"/>
            <w:sz w:val="20"/>
          </w:rPr>
          <w:delText>if the duration of the TXOP is greater than or equal to</w:delText>
        </w:r>
      </w:del>
      <w:ins w:id="18" w:author="Huang, Po-kai" w:date="2019-11-06T01:32:00Z">
        <w:r w:rsidR="00187E51">
          <w:rPr>
            <w:rFonts w:ascii="TimesNewRomanPSMT" w:eastAsia="TimesNewRomanPSMT" w:hAnsi="TimesNewRomanPSMT"/>
            <w:color w:val="000000"/>
            <w:sz w:val="20"/>
          </w:rPr>
          <w:t xml:space="preserve"> with a RTS/CTS exchange</w:t>
        </w:r>
      </w:ins>
      <w:ins w:id="19" w:author="Huang, Po-kai" w:date="2019-10-31T13:40:00Z">
        <w:r>
          <w:rPr>
            <w:rFonts w:ascii="TimesNewRomanPSMT" w:eastAsia="TimesNewRomanPSMT" w:hAnsi="TimesNewRomanPSMT"/>
            <w:color w:val="000000"/>
            <w:sz w:val="20"/>
          </w:rPr>
          <w:t>(#22105</w:t>
        </w:r>
      </w:ins>
      <w:ins w:id="20" w:author="Huang, Po-kai" w:date="2019-11-13T02:34:00Z">
        <w:r w:rsidR="00282ABB">
          <w:rPr>
            <w:rFonts w:ascii="TimesNewRomanPSMT" w:eastAsia="TimesNewRomanPSMT" w:hAnsi="TimesNewRomanPSMT"/>
            <w:color w:val="000000"/>
            <w:sz w:val="20"/>
          </w:rPr>
          <w:t>, #22144</w:t>
        </w:r>
      </w:ins>
      <w:ins w:id="21" w:author="Huang, Po-kai" w:date="2019-10-31T13:40:00Z">
        <w:r>
          <w:rPr>
            <w:rFonts w:ascii="TimesNewRomanPSMT" w:eastAsia="TimesNewRomanPSMT" w:hAnsi="TimesNewRomanPSMT"/>
            <w:color w:val="000000"/>
            <w:sz w:val="20"/>
          </w:rPr>
          <w:t>)</w:t>
        </w:r>
      </w:ins>
      <w:del w:id="22" w:author="Huang, Po-kai" w:date="2019-11-06T01:32:00Z">
        <w:r w:rsidRPr="00AD75A1" w:rsidDel="00187E51">
          <w:rPr>
            <w:rFonts w:ascii="TimesNewRomanPSMT" w:eastAsia="TimesNewRomanPSMT" w:hAnsi="TimesNewRomanPSMT"/>
            <w:color w:val="000000"/>
            <w:sz w:val="20"/>
          </w:rPr>
          <w:delText xml:space="preserve"> dot11TXOPDurationRTSThreshold</w:delText>
        </w:r>
      </w:del>
      <w:r w:rsidRPr="00AD75A1">
        <w:rPr>
          <w:rFonts w:ascii="TimesNewRomanPSMT" w:eastAsia="TimesNewRomanPSMT" w:hAnsi="TimesNewRomanPSMT"/>
          <w:color w:val="000000"/>
          <w:sz w:val="20"/>
        </w:rPr>
        <w:t xml:space="preserve"> as defined in 26.2.1 (TXOP duration-based RTS/CTS).</w:t>
      </w:r>
    </w:p>
    <w:p w14:paraId="7FFDDB4A" w14:textId="201357BE" w:rsidR="002D2BDA" w:rsidRDefault="002D2BDA" w:rsidP="00A72F70">
      <w:pPr>
        <w:rPr>
          <w:rFonts w:ascii="TimesNewRomanPSMT" w:eastAsia="TimesNewRomanPSMT" w:hAnsi="TimesNewRomanPSMT"/>
          <w:color w:val="000000"/>
          <w:sz w:val="20"/>
        </w:rPr>
      </w:pPr>
    </w:p>
    <w:p w14:paraId="031EC2A4" w14:textId="77777777" w:rsidR="007616F8" w:rsidRDefault="007616F8" w:rsidP="00A72F70">
      <w:pPr>
        <w:rPr>
          <w:ins w:id="23" w:author="Huang, Po-kai" w:date="2019-10-31T15:41:00Z"/>
          <w:rFonts w:ascii="TimesNewRomanPSMT" w:eastAsia="TimesNewRomanPSMT" w:hAnsi="TimesNewRomanPSMT"/>
          <w:color w:val="000000"/>
          <w:sz w:val="20"/>
        </w:rPr>
      </w:pPr>
    </w:p>
    <w:p w14:paraId="50E1D247" w14:textId="4BA306A2" w:rsidR="002D2BDA" w:rsidRPr="00EC7528" w:rsidRDefault="002D2BDA" w:rsidP="00A72F70">
      <w:pPr>
        <w:rPr>
          <w:b/>
          <w:i/>
          <w:lang w:eastAsia="ko-KR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EF4936">
        <w:rPr>
          <w:b/>
          <w:i/>
          <w:lang w:eastAsia="ko-KR"/>
        </w:rPr>
        <w:t xml:space="preserve">Change 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>10.23.3.5.3 Use of RTS/CTS</w:t>
      </w:r>
      <w:r w:rsidRPr="00EF4936">
        <w:rPr>
          <w:b/>
          <w:i/>
          <w:lang w:eastAsia="ko-KR"/>
        </w:rPr>
        <w:t xml:space="preserve"> as follows: (Track change</w:t>
      </w:r>
      <w:r>
        <w:rPr>
          <w:b/>
          <w:i/>
          <w:lang w:eastAsia="ko-KR"/>
        </w:rPr>
        <w:t xml:space="preserve"> on)</w:t>
      </w:r>
    </w:p>
    <w:p w14:paraId="1CD35406" w14:textId="77777777" w:rsidR="002D2BDA" w:rsidRDefault="002D2BDA" w:rsidP="00A72F70">
      <w:pPr>
        <w:rPr>
          <w:ins w:id="24" w:author="Huang, Po-kai" w:date="2019-10-31T15:41:00Z"/>
          <w:rFonts w:ascii="TimesNewRomanPSMT" w:eastAsia="TimesNewRomanPSMT" w:hAnsi="TimesNewRomanPSMT"/>
          <w:color w:val="000000"/>
          <w:sz w:val="20"/>
        </w:rPr>
      </w:pPr>
    </w:p>
    <w:p w14:paraId="579EB77F" w14:textId="1CE8054B" w:rsidR="002D2BDA" w:rsidRDefault="002D2BDA" w:rsidP="00A72F70">
      <w:pPr>
        <w:rPr>
          <w:rFonts w:ascii="TimesNewRoman" w:hAnsi="TimesNewRoman"/>
          <w:color w:val="218A21"/>
          <w:sz w:val="20"/>
        </w:rPr>
      </w:pPr>
      <w:r w:rsidRPr="002D2BDA">
        <w:rPr>
          <w:rFonts w:ascii="Arial" w:hAnsi="Arial" w:cs="Arial"/>
          <w:b/>
          <w:bCs/>
          <w:color w:val="000000"/>
          <w:sz w:val="20"/>
        </w:rPr>
        <w:t>10.23.3.5.3 Use of RTS/CTS</w:t>
      </w:r>
      <w:r w:rsidRPr="002D2BDA">
        <w:rPr>
          <w:rFonts w:ascii="Arial" w:hAnsi="Arial" w:cs="Arial"/>
          <w:b/>
          <w:bCs/>
          <w:color w:val="000000"/>
          <w:sz w:val="20"/>
        </w:rPr>
        <w:br/>
      </w:r>
      <w:r w:rsidRPr="002D2BDA">
        <w:rPr>
          <w:rFonts w:ascii="TimesNewRoman" w:hAnsi="TimesNewRoman"/>
          <w:color w:val="000000"/>
          <w:sz w:val="20"/>
        </w:rPr>
        <w:t>In order to provide improved NAV protection, a STA may send an RTS frame as the first frame of any frame</w:t>
      </w:r>
      <w:r w:rsidRPr="002D2BDA">
        <w:rPr>
          <w:rFonts w:ascii="TimesNewRoman" w:hAnsi="TimesNewRoman"/>
          <w:color w:val="000000"/>
          <w:sz w:val="20"/>
        </w:rPr>
        <w:br/>
        <w:t xml:space="preserve">exchange sequence </w:t>
      </w:r>
      <w:r w:rsidRPr="002D2BDA">
        <w:rPr>
          <w:rFonts w:ascii="TimesNewRoman" w:hAnsi="TimesNewRoman"/>
          <w:color w:val="218A21"/>
          <w:sz w:val="20"/>
        </w:rPr>
        <w:t>(#</w:t>
      </w:r>
      <w:proofErr w:type="gramStart"/>
      <w:r w:rsidRPr="002D2BDA">
        <w:rPr>
          <w:rFonts w:ascii="TimesNewRoman" w:hAnsi="TimesNewRoman"/>
          <w:color w:val="218A21"/>
          <w:sz w:val="20"/>
        </w:rPr>
        <w:t>65)</w:t>
      </w:r>
      <w:r w:rsidRPr="002D2BDA">
        <w:rPr>
          <w:rFonts w:ascii="TimesNewRoman" w:hAnsi="TimesNewRoman"/>
          <w:color w:val="000000"/>
          <w:sz w:val="20"/>
        </w:rPr>
        <w:t>without</w:t>
      </w:r>
      <w:proofErr w:type="gramEnd"/>
      <w:r w:rsidRPr="002D2BDA">
        <w:rPr>
          <w:rFonts w:ascii="TimesNewRoman" w:hAnsi="TimesNewRoman"/>
          <w:color w:val="000000"/>
          <w:sz w:val="20"/>
        </w:rPr>
        <w:t xml:space="preserve"> regard for dot11RTSThreshold</w:t>
      </w:r>
      <w:r w:rsidR="004B1C05">
        <w:rPr>
          <w:rFonts w:ascii="TimesNewRoman" w:hAnsi="TimesNewRoman"/>
          <w:color w:val="000000"/>
          <w:sz w:val="20"/>
        </w:rPr>
        <w:t xml:space="preserve"> </w:t>
      </w:r>
      <w:ins w:id="25" w:author="Huang, Po-kai" w:date="2019-11-01T15:22:00Z">
        <w:r w:rsidR="00CA11CD">
          <w:rPr>
            <w:rFonts w:ascii="Calibri" w:hAnsi="Calibri" w:cs="Calibri"/>
            <w:sz w:val="18"/>
            <w:szCs w:val="18"/>
          </w:rPr>
          <w:t>or</w:t>
        </w:r>
      </w:ins>
      <w:ins w:id="26" w:author="Huang, Po-kai" w:date="2019-10-31T15:42:00Z">
        <w:r w:rsidR="004B1C05" w:rsidRPr="00FF1FC6">
          <w:rPr>
            <w:rFonts w:ascii="Calibri" w:hAnsi="Calibri" w:cs="Calibri"/>
            <w:sz w:val="18"/>
            <w:szCs w:val="18"/>
          </w:rPr>
          <w:t xml:space="preserve"> dot11TXOPDurationRTSThreshold</w:t>
        </w:r>
        <w:r w:rsidR="004B1C05">
          <w:rPr>
            <w:rFonts w:ascii="Calibri" w:hAnsi="Calibri" w:cs="Calibri"/>
            <w:sz w:val="18"/>
            <w:szCs w:val="18"/>
          </w:rPr>
          <w:t>(#22235</w:t>
        </w:r>
      </w:ins>
      <w:ins w:id="27" w:author="Huang, Po-kai" w:date="2019-11-01T15:22:00Z">
        <w:r w:rsidR="00CA11CD">
          <w:rPr>
            <w:rFonts w:ascii="Calibri" w:hAnsi="Calibri" w:cs="Calibri"/>
            <w:sz w:val="18"/>
            <w:szCs w:val="18"/>
          </w:rPr>
          <w:t>, #2223</w:t>
        </w:r>
      </w:ins>
      <w:ins w:id="28" w:author="Huang, Po-kai" w:date="2019-11-01T15:23:00Z">
        <w:r w:rsidR="00CA11CD">
          <w:rPr>
            <w:rFonts w:ascii="Calibri" w:hAnsi="Calibri" w:cs="Calibri"/>
            <w:sz w:val="18"/>
            <w:szCs w:val="18"/>
          </w:rPr>
          <w:t>4</w:t>
        </w:r>
      </w:ins>
      <w:ins w:id="29" w:author="Huang, Po-kai" w:date="2019-10-31T15:42:00Z">
        <w:r w:rsidR="004B1C05">
          <w:rPr>
            <w:rFonts w:ascii="Calibri" w:hAnsi="Calibri" w:cs="Calibri"/>
            <w:sz w:val="18"/>
            <w:szCs w:val="18"/>
          </w:rPr>
          <w:t>)</w:t>
        </w:r>
      </w:ins>
      <w:r w:rsidRPr="002D2BDA">
        <w:rPr>
          <w:rFonts w:ascii="TimesNewRoman" w:hAnsi="TimesNewRoman"/>
          <w:color w:val="000000"/>
          <w:sz w:val="20"/>
        </w:rPr>
        <w:t>.</w:t>
      </w:r>
      <w:r w:rsidRPr="002D2BDA">
        <w:rPr>
          <w:rFonts w:ascii="TimesNewRoman" w:hAnsi="TimesNewRoman"/>
          <w:color w:val="218A21"/>
          <w:sz w:val="20"/>
        </w:rPr>
        <w:t>(M53)</w:t>
      </w:r>
    </w:p>
    <w:p w14:paraId="589CF02F" w14:textId="17B71F1B" w:rsidR="00F502B2" w:rsidRDefault="00F502B2" w:rsidP="00A72F70">
      <w:pPr>
        <w:rPr>
          <w:rFonts w:ascii="TimesNewRoman" w:hAnsi="TimesNewRoman"/>
          <w:color w:val="218A21"/>
          <w:sz w:val="20"/>
        </w:rPr>
      </w:pPr>
    </w:p>
    <w:p w14:paraId="4FDDBC89" w14:textId="69B36DFD" w:rsidR="00F502B2" w:rsidRPr="00F502B2" w:rsidRDefault="00F502B2" w:rsidP="00F502B2">
      <w:pPr>
        <w:rPr>
          <w:rFonts w:ascii="Arial" w:hAnsi="Arial" w:cs="Arial"/>
          <w:b/>
          <w:bCs/>
          <w:color w:val="000000"/>
          <w:sz w:val="20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F502B2">
        <w:rPr>
          <w:b/>
          <w:i/>
          <w:lang w:eastAsia="ko-KR"/>
        </w:rPr>
        <w:t xml:space="preserve">Change </w:t>
      </w:r>
      <w:r w:rsidRPr="00F502B2">
        <w:rPr>
          <w:rFonts w:ascii="Arial" w:hAnsi="Arial" w:cs="Arial"/>
          <w:b/>
          <w:bCs/>
          <w:i/>
          <w:color w:val="000000"/>
          <w:sz w:val="24"/>
          <w:szCs w:val="24"/>
        </w:rPr>
        <w:t>C.3 MIB detail</w:t>
      </w:r>
      <w:r w:rsidRPr="00F502B2">
        <w:rPr>
          <w:rFonts w:ascii="Arial" w:hAnsi="Arial" w:cs="Arial"/>
          <w:b/>
          <w:bCs/>
          <w:i/>
          <w:color w:val="000000"/>
          <w:sz w:val="20"/>
        </w:rPr>
        <w:t xml:space="preserve"> </w:t>
      </w:r>
      <w:r w:rsidRPr="00F502B2">
        <w:rPr>
          <w:b/>
          <w:i/>
          <w:lang w:eastAsia="ko-KR"/>
        </w:rPr>
        <w:t>as follows</w:t>
      </w:r>
      <w:r>
        <w:rPr>
          <w:b/>
          <w:i/>
          <w:lang w:eastAsia="ko-KR"/>
        </w:rPr>
        <w:t>: (Track change on)</w:t>
      </w:r>
    </w:p>
    <w:p w14:paraId="03B19CEC" w14:textId="77777777" w:rsidR="00F502B2" w:rsidRDefault="00F502B2" w:rsidP="00F502B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0871C5" w14:textId="0F0D137F" w:rsidR="00F502B2" w:rsidRDefault="00F502B2" w:rsidP="00F502B2">
      <w:pPr>
        <w:rPr>
          <w:rFonts w:ascii="Arial" w:hAnsi="Arial" w:cs="Arial"/>
          <w:b/>
          <w:bCs/>
          <w:color w:val="000000"/>
          <w:sz w:val="20"/>
        </w:rPr>
      </w:pPr>
      <w:r w:rsidRPr="00F502B2">
        <w:rPr>
          <w:rFonts w:ascii="Arial" w:hAnsi="Arial" w:cs="Arial"/>
          <w:b/>
          <w:bCs/>
          <w:color w:val="000000"/>
          <w:sz w:val="24"/>
          <w:szCs w:val="24"/>
        </w:rPr>
        <w:t>C.3 MIB detail</w:t>
      </w:r>
    </w:p>
    <w:p w14:paraId="2F4B2648" w14:textId="77777777" w:rsidR="00F502B2" w:rsidRDefault="00F502B2" w:rsidP="00A72F70">
      <w:pPr>
        <w:rPr>
          <w:rFonts w:ascii="Courier" w:hAnsi="Courier"/>
          <w:color w:val="000000"/>
          <w:sz w:val="18"/>
          <w:szCs w:val="18"/>
        </w:rPr>
      </w:pPr>
    </w:p>
    <w:p w14:paraId="67311517" w14:textId="58840EA7" w:rsidR="00F502B2" w:rsidRDefault="00F502B2" w:rsidP="00A72F70">
      <w:pPr>
        <w:rPr>
          <w:rFonts w:ascii="Courier" w:hAnsi="Courier"/>
          <w:color w:val="000000"/>
          <w:sz w:val="18"/>
          <w:szCs w:val="18"/>
        </w:rPr>
      </w:pPr>
      <w:r w:rsidRPr="00F502B2">
        <w:rPr>
          <w:rFonts w:ascii="Courier" w:hAnsi="Courier"/>
          <w:color w:val="000000"/>
          <w:sz w:val="18"/>
          <w:szCs w:val="18"/>
        </w:rPr>
        <w:t>dot11RTSThreshold OBJECT-TYPE</w:t>
      </w:r>
      <w:r w:rsidRPr="00F502B2">
        <w:rPr>
          <w:rFonts w:ascii="Courier" w:hAnsi="Courier"/>
          <w:color w:val="000000"/>
          <w:sz w:val="18"/>
          <w:szCs w:val="18"/>
        </w:rPr>
        <w:br/>
        <w:t>SYNTAX Unsigned32 (</w:t>
      </w:r>
      <w:proofErr w:type="gramStart"/>
      <w:r w:rsidRPr="00F502B2">
        <w:rPr>
          <w:rFonts w:ascii="Courier" w:hAnsi="Courier"/>
          <w:color w:val="000000"/>
          <w:sz w:val="18"/>
          <w:szCs w:val="18"/>
        </w:rPr>
        <w:t>0..</w:t>
      </w:r>
      <w:proofErr w:type="gramEnd"/>
      <w:ins w:id="30" w:author="Huang, Po-kai" w:date="2019-10-31T15:55:00Z">
        <w:r w:rsidRPr="00F502B2">
          <w:rPr>
            <w:rFonts w:ascii="Calibri" w:hAnsi="Calibri" w:cs="Calibri"/>
            <w:sz w:val="18"/>
            <w:szCs w:val="18"/>
          </w:rPr>
          <w:t xml:space="preserve"> </w:t>
        </w:r>
        <w:r w:rsidRPr="00FF1FC6">
          <w:rPr>
            <w:rFonts w:ascii="Calibri" w:hAnsi="Calibri" w:cs="Calibri"/>
            <w:sz w:val="18"/>
            <w:szCs w:val="18"/>
          </w:rPr>
          <w:t>6500631</w:t>
        </w:r>
        <w:r w:rsidRPr="00F502B2" w:rsidDel="00F502B2">
          <w:rPr>
            <w:rFonts w:ascii="Courier" w:hAnsi="Courier"/>
            <w:color w:val="000000"/>
            <w:sz w:val="18"/>
            <w:szCs w:val="18"/>
          </w:rPr>
          <w:t xml:space="preserve"> </w:t>
        </w:r>
      </w:ins>
      <w:del w:id="31" w:author="Huang, Po-kai" w:date="2019-10-31T15:55:00Z">
        <w:r w:rsidRPr="00F502B2" w:rsidDel="00F502B2">
          <w:rPr>
            <w:rFonts w:ascii="Courier" w:hAnsi="Courier"/>
            <w:color w:val="000000"/>
            <w:sz w:val="18"/>
            <w:szCs w:val="18"/>
          </w:rPr>
          <w:delText>4692480</w:delText>
        </w:r>
      </w:del>
      <w:ins w:id="32" w:author="Huang, Po-kai" w:date="2019-10-31T15:55:00Z">
        <w:r>
          <w:rPr>
            <w:rFonts w:ascii="Courier" w:hAnsi="Courier"/>
            <w:color w:val="000000"/>
            <w:sz w:val="18"/>
            <w:szCs w:val="18"/>
          </w:rPr>
          <w:t>(#22288)</w:t>
        </w:r>
      </w:ins>
      <w:r w:rsidRPr="00F502B2">
        <w:rPr>
          <w:rFonts w:ascii="Courier" w:hAnsi="Courier"/>
          <w:color w:val="218A21"/>
          <w:sz w:val="18"/>
          <w:szCs w:val="18"/>
        </w:rPr>
        <w:t>(#2341)</w:t>
      </w:r>
      <w:r w:rsidRPr="00F502B2">
        <w:rPr>
          <w:rFonts w:ascii="Courier" w:hAnsi="Courier"/>
          <w:color w:val="000000"/>
          <w:sz w:val="18"/>
          <w:szCs w:val="18"/>
        </w:rPr>
        <w:t>)</w:t>
      </w:r>
      <w:r w:rsidRPr="00F502B2">
        <w:rPr>
          <w:rFonts w:ascii="Courier" w:hAnsi="Courier"/>
          <w:color w:val="000000"/>
          <w:sz w:val="18"/>
          <w:szCs w:val="18"/>
        </w:rPr>
        <w:br/>
        <w:t>MAX-ACCESS read-write</w:t>
      </w:r>
      <w:r w:rsidRPr="00F502B2">
        <w:rPr>
          <w:rFonts w:ascii="Courier" w:hAnsi="Courier"/>
          <w:color w:val="000000"/>
          <w:sz w:val="18"/>
          <w:szCs w:val="18"/>
        </w:rPr>
        <w:br/>
        <w:t>STATUS current</w:t>
      </w:r>
      <w:r w:rsidRPr="00F502B2">
        <w:rPr>
          <w:rFonts w:ascii="Courier" w:hAnsi="Courier"/>
          <w:color w:val="000000"/>
          <w:sz w:val="18"/>
          <w:szCs w:val="18"/>
        </w:rPr>
        <w:br/>
        <w:t>DESCRIPTION</w:t>
      </w:r>
      <w:r w:rsidRPr="00F502B2">
        <w:rPr>
          <w:rFonts w:ascii="Courier" w:hAnsi="Courier"/>
          <w:color w:val="000000"/>
          <w:sz w:val="18"/>
          <w:szCs w:val="18"/>
        </w:rPr>
        <w:br/>
        <w:t>"This is a control variable.</w:t>
      </w:r>
      <w:r w:rsidRPr="00F502B2">
        <w:rPr>
          <w:rFonts w:ascii="Courier" w:hAnsi="Courier"/>
          <w:color w:val="000000"/>
          <w:sz w:val="18"/>
          <w:szCs w:val="18"/>
        </w:rPr>
        <w:br/>
        <w:t>It is written by an external management entity.</w:t>
      </w:r>
      <w:r w:rsidRPr="00F502B2">
        <w:rPr>
          <w:rFonts w:ascii="Courier" w:hAnsi="Courier"/>
          <w:color w:val="000000"/>
          <w:sz w:val="18"/>
          <w:szCs w:val="18"/>
        </w:rPr>
        <w:br/>
        <w:t>Changes take effect as soon as practical in the implementation.</w:t>
      </w:r>
      <w:r w:rsidRPr="00F502B2">
        <w:rPr>
          <w:rFonts w:ascii="Courier" w:hAnsi="Courier"/>
          <w:color w:val="000000"/>
          <w:sz w:val="18"/>
          <w:szCs w:val="18"/>
        </w:rPr>
        <w:br/>
        <w:t>This attribute indicates the number of octets in a PSDU, below which an</w:t>
      </w:r>
      <w:r w:rsidRPr="00F502B2">
        <w:rPr>
          <w:rFonts w:ascii="Courier" w:hAnsi="Courier"/>
          <w:color w:val="000000"/>
          <w:sz w:val="18"/>
          <w:szCs w:val="18"/>
        </w:rPr>
        <w:br/>
        <w:t>RTS/CTS handshake is not performed</w:t>
      </w:r>
      <w:ins w:id="33" w:author="Huang, Po-kai" w:date="2019-10-31T16:02:00Z">
        <w:r w:rsidR="00BE73AF">
          <w:rPr>
            <w:rFonts w:ascii="Courier" w:hAnsi="Courier"/>
            <w:color w:val="000000"/>
            <w:sz w:val="18"/>
            <w:szCs w:val="18"/>
          </w:rPr>
          <w:t xml:space="preserve"> </w:t>
        </w:r>
        <w:r w:rsidR="00BE73AF" w:rsidRPr="00BE73AF">
          <w:rPr>
            <w:b/>
            <w:i/>
            <w:lang w:eastAsia="ko-KR"/>
          </w:rPr>
          <w:t>if</w:t>
        </w:r>
        <w:r w:rsidR="00BE73AF">
          <w:rPr>
            <w:b/>
            <w:i/>
            <w:lang w:eastAsia="ko-KR"/>
          </w:rPr>
          <w:t xml:space="preserve"> </w:t>
        </w:r>
        <w:r w:rsidR="00BE73AF" w:rsidRPr="00BE73AF">
          <w:rPr>
            <w:b/>
            <w:i/>
            <w:lang w:eastAsia="ko-KR"/>
          </w:rPr>
          <w:t>dot11TXOPDurationRTSThreshold is 1023 or it is not present</w:t>
        </w:r>
        <w:r w:rsidR="00BE73AF">
          <w:rPr>
            <w:b/>
            <w:i/>
            <w:lang w:eastAsia="ko-KR"/>
          </w:rPr>
          <w:t>(#22234)</w:t>
        </w:r>
      </w:ins>
      <w:r w:rsidRPr="00F502B2">
        <w:rPr>
          <w:rFonts w:ascii="Courier" w:hAnsi="Courier"/>
          <w:color w:val="000000"/>
          <w:sz w:val="18"/>
          <w:szCs w:val="18"/>
        </w:rPr>
        <w:t>, except as RTS/CTS is used as a cross</w:t>
      </w:r>
      <w:r w:rsidRPr="00F502B2">
        <w:rPr>
          <w:rFonts w:ascii="Courier" w:hAnsi="Courier"/>
          <w:color w:val="000000"/>
          <w:sz w:val="18"/>
          <w:szCs w:val="18"/>
        </w:rPr>
        <w:br/>
        <w:t>modulation protection mechanism as defined in 10.27 (Protection mechanisms). An RTS/CTS handshake is performed at the beginning of any frame</w:t>
      </w:r>
      <w:r w:rsidRPr="00F502B2">
        <w:rPr>
          <w:rFonts w:ascii="Courier" w:hAnsi="Courier"/>
          <w:color w:val="000000"/>
          <w:sz w:val="18"/>
          <w:szCs w:val="18"/>
        </w:rPr>
        <w:br/>
        <w:t xml:space="preserve">exchange sequence where the PSDU </w:t>
      </w:r>
      <w:r w:rsidRPr="00F502B2">
        <w:rPr>
          <w:rFonts w:ascii="Courier" w:hAnsi="Courier"/>
          <w:color w:val="218A21"/>
          <w:sz w:val="18"/>
          <w:szCs w:val="18"/>
        </w:rPr>
        <w:t>(#</w:t>
      </w:r>
      <w:proofErr w:type="gramStart"/>
      <w:r w:rsidRPr="00F502B2">
        <w:rPr>
          <w:rFonts w:ascii="Courier" w:hAnsi="Courier"/>
          <w:color w:val="218A21"/>
          <w:sz w:val="18"/>
          <w:szCs w:val="18"/>
        </w:rPr>
        <w:t>1465)</w:t>
      </w:r>
      <w:r w:rsidRPr="00F502B2">
        <w:rPr>
          <w:rFonts w:ascii="Courier" w:hAnsi="Courier"/>
          <w:color w:val="000000"/>
          <w:sz w:val="18"/>
          <w:szCs w:val="18"/>
        </w:rPr>
        <w:t>contains</w:t>
      </w:r>
      <w:proofErr w:type="gramEnd"/>
      <w:r w:rsidRPr="00F502B2">
        <w:rPr>
          <w:rFonts w:ascii="Courier" w:hAnsi="Courier"/>
          <w:color w:val="000000"/>
          <w:sz w:val="18"/>
          <w:szCs w:val="18"/>
        </w:rPr>
        <w:t xml:space="preserve"> an MPDU with the Type</w:t>
      </w:r>
      <w:r w:rsidRPr="00F502B2">
        <w:rPr>
          <w:rFonts w:ascii="Courier" w:hAnsi="Courier"/>
          <w:color w:val="000000"/>
          <w:sz w:val="18"/>
          <w:szCs w:val="18"/>
        </w:rPr>
        <w:br/>
        <w:t xml:space="preserve">subfield equal to Data or Management </w:t>
      </w:r>
      <w:r w:rsidRPr="00F502B2">
        <w:rPr>
          <w:rFonts w:ascii="Courier" w:hAnsi="Courier"/>
          <w:color w:val="218A21"/>
          <w:sz w:val="18"/>
          <w:szCs w:val="18"/>
        </w:rPr>
        <w:t>(#1465)</w:t>
      </w:r>
      <w:r w:rsidRPr="00F502B2">
        <w:rPr>
          <w:rFonts w:ascii="Courier" w:hAnsi="Courier"/>
          <w:color w:val="000000"/>
          <w:sz w:val="18"/>
          <w:szCs w:val="18"/>
        </w:rPr>
        <w:t>and an individual address in</w:t>
      </w:r>
      <w:r w:rsidRPr="00F502B2">
        <w:rPr>
          <w:rFonts w:ascii="Courier" w:hAnsi="Courier"/>
          <w:color w:val="000000"/>
          <w:sz w:val="18"/>
          <w:szCs w:val="18"/>
        </w:rPr>
        <w:br/>
        <w:t>the Address 1 field, and the length of the PSDU is greater than this</w:t>
      </w:r>
      <w:r w:rsidRPr="00F502B2">
        <w:rPr>
          <w:rFonts w:ascii="Courier" w:hAnsi="Courier"/>
          <w:color w:val="000000"/>
          <w:sz w:val="18"/>
          <w:szCs w:val="18"/>
        </w:rPr>
        <w:br/>
        <w:t>threshold. Setting this attribute to be larger than the maximum PSDU size</w:t>
      </w:r>
      <w:r w:rsidRPr="00F502B2">
        <w:rPr>
          <w:rFonts w:ascii="Courier" w:hAnsi="Courier"/>
          <w:color w:val="000000"/>
          <w:sz w:val="18"/>
          <w:szCs w:val="18"/>
        </w:rPr>
        <w:br/>
        <w:t>has the effect of turning off the RTS/CTS handshake for frames of Data or</w:t>
      </w:r>
      <w:r w:rsidRPr="00F502B2">
        <w:rPr>
          <w:rFonts w:ascii="Courier" w:hAnsi="Courier"/>
          <w:color w:val="000000"/>
          <w:sz w:val="18"/>
          <w:szCs w:val="18"/>
        </w:rPr>
        <w:br/>
        <w:t>Management type transmitted by this STA. Setting this attribute to 0 has</w:t>
      </w:r>
      <w:r w:rsidRPr="00F502B2">
        <w:rPr>
          <w:rFonts w:ascii="Courier" w:hAnsi="Courier"/>
          <w:color w:val="000000"/>
          <w:sz w:val="18"/>
          <w:szCs w:val="18"/>
        </w:rPr>
        <w:br/>
        <w:t>the effect of turning on the RTS/CTS handshake for all frames of Data or</w:t>
      </w:r>
      <w:r w:rsidRPr="00F502B2">
        <w:rPr>
          <w:rFonts w:ascii="Courier" w:hAnsi="Courier"/>
          <w:color w:val="000000"/>
          <w:sz w:val="18"/>
          <w:szCs w:val="18"/>
        </w:rPr>
        <w:br/>
        <w:t>Management type transmitted by this STA."</w:t>
      </w:r>
      <w:r w:rsidRPr="00F502B2">
        <w:rPr>
          <w:rFonts w:ascii="Courier" w:hAnsi="Courier"/>
          <w:color w:val="000000"/>
          <w:sz w:val="18"/>
          <w:szCs w:val="18"/>
        </w:rPr>
        <w:br/>
        <w:t xml:space="preserve">DEFVAL { </w:t>
      </w:r>
      <w:ins w:id="34" w:author="Huang, Po-kai" w:date="2019-10-31T15:55:00Z">
        <w:r w:rsidRPr="00FF1FC6">
          <w:rPr>
            <w:rFonts w:ascii="Calibri" w:hAnsi="Calibri" w:cs="Calibri"/>
            <w:sz w:val="18"/>
            <w:szCs w:val="18"/>
          </w:rPr>
          <w:t>6500631</w:t>
        </w:r>
        <w:r w:rsidRPr="00F502B2" w:rsidDel="00F502B2">
          <w:rPr>
            <w:rFonts w:ascii="Courier" w:hAnsi="Courier"/>
            <w:color w:val="000000"/>
            <w:sz w:val="18"/>
            <w:szCs w:val="18"/>
          </w:rPr>
          <w:t xml:space="preserve"> </w:t>
        </w:r>
      </w:ins>
      <w:del w:id="35" w:author="Huang, Po-kai" w:date="2019-10-31T15:55:00Z">
        <w:r w:rsidRPr="00F502B2" w:rsidDel="00F502B2">
          <w:rPr>
            <w:rFonts w:ascii="Courier" w:hAnsi="Courier"/>
            <w:color w:val="000000"/>
            <w:sz w:val="18"/>
            <w:szCs w:val="18"/>
          </w:rPr>
          <w:delText>4692480</w:delText>
        </w:r>
      </w:del>
      <w:ins w:id="36" w:author="Huang, Po-kai" w:date="2019-10-31T15:55:00Z">
        <w:r>
          <w:rPr>
            <w:rFonts w:ascii="Courier" w:hAnsi="Courier"/>
            <w:color w:val="000000"/>
            <w:sz w:val="18"/>
            <w:szCs w:val="18"/>
          </w:rPr>
          <w:t>(#22288)</w:t>
        </w:r>
      </w:ins>
      <w:r w:rsidRPr="00F502B2">
        <w:rPr>
          <w:rFonts w:ascii="Courier" w:hAnsi="Courier"/>
          <w:color w:val="218A21"/>
          <w:sz w:val="18"/>
          <w:szCs w:val="18"/>
        </w:rPr>
        <w:t xml:space="preserve">(#2341) </w:t>
      </w:r>
      <w:r w:rsidRPr="00F502B2">
        <w:rPr>
          <w:rFonts w:ascii="Courier" w:hAnsi="Courier"/>
          <w:color w:val="000000"/>
          <w:sz w:val="18"/>
          <w:szCs w:val="18"/>
        </w:rPr>
        <w:t>}</w:t>
      </w:r>
      <w:r w:rsidRPr="00F502B2">
        <w:rPr>
          <w:rFonts w:ascii="Courier" w:hAnsi="Courier"/>
          <w:color w:val="000000"/>
          <w:sz w:val="18"/>
          <w:szCs w:val="18"/>
        </w:rPr>
        <w:br/>
        <w:t>::= { dot11OperationEntry 2 }</w:t>
      </w:r>
    </w:p>
    <w:p w14:paraId="0BB5EDA8" w14:textId="7C6308DD" w:rsidR="00BE73AF" w:rsidRDefault="00BE73AF" w:rsidP="00A72F70">
      <w:pPr>
        <w:rPr>
          <w:rFonts w:ascii="Courier" w:hAnsi="Courier"/>
          <w:color w:val="000000"/>
          <w:sz w:val="18"/>
          <w:szCs w:val="18"/>
        </w:rPr>
      </w:pPr>
    </w:p>
    <w:p w14:paraId="7E58129F" w14:textId="13CF6636" w:rsidR="00EF4936" w:rsidRDefault="00EF4936" w:rsidP="00A72F70">
      <w:pPr>
        <w:rPr>
          <w:rFonts w:ascii="Courier" w:hAnsi="Courier"/>
          <w:color w:val="000000"/>
          <w:sz w:val="18"/>
          <w:szCs w:val="18"/>
        </w:rPr>
      </w:pPr>
    </w:p>
    <w:p w14:paraId="34CAEDC0" w14:textId="6A96D4AF" w:rsidR="00EF4936" w:rsidRPr="00EF4936" w:rsidRDefault="00EF4936" w:rsidP="00EF4936">
      <w:pPr>
        <w:rPr>
          <w:rFonts w:ascii="Arial" w:hAnsi="Arial" w:cs="Arial"/>
          <w:b/>
          <w:bCs/>
          <w:i/>
          <w:color w:val="000000"/>
          <w:sz w:val="20"/>
        </w:rPr>
      </w:pPr>
      <w:proofErr w:type="spellStart"/>
      <w:r w:rsidRPr="00EF4936">
        <w:rPr>
          <w:b/>
          <w:i/>
          <w:highlight w:val="yellow"/>
          <w:lang w:eastAsia="ko-KR"/>
        </w:rPr>
        <w:t>TGax</w:t>
      </w:r>
      <w:proofErr w:type="spellEnd"/>
      <w:r w:rsidRPr="00EF4936">
        <w:rPr>
          <w:b/>
          <w:i/>
          <w:highlight w:val="yellow"/>
          <w:lang w:eastAsia="ko-KR"/>
        </w:rPr>
        <w:t xml:space="preserve"> editor:</w:t>
      </w:r>
      <w:r w:rsidRPr="00EF4936">
        <w:rPr>
          <w:b/>
          <w:i/>
          <w:lang w:eastAsia="ko-KR"/>
        </w:rPr>
        <w:t xml:space="preserve"> Change 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>10.3.2.6 RTS/CTS with fragmentation as follows: (Track change on)</w:t>
      </w:r>
    </w:p>
    <w:p w14:paraId="1690D041" w14:textId="4C920EA7" w:rsidR="00EF4936" w:rsidRDefault="00EF4936" w:rsidP="00A72F70">
      <w:pPr>
        <w:rPr>
          <w:rFonts w:ascii="Courier" w:hAnsi="Courier"/>
          <w:color w:val="000000"/>
          <w:sz w:val="18"/>
          <w:szCs w:val="18"/>
        </w:rPr>
      </w:pPr>
    </w:p>
    <w:p w14:paraId="3FAEF1B2" w14:textId="357B1DB2" w:rsidR="00B7785B" w:rsidRDefault="00B7785B" w:rsidP="00A72F70">
      <w:pPr>
        <w:rPr>
          <w:ins w:id="37" w:author="Huang, Po-kai" w:date="2019-11-01T15:01:00Z"/>
          <w:b/>
          <w:i/>
          <w:lang w:eastAsia="ko-KR"/>
        </w:rPr>
      </w:pPr>
    </w:p>
    <w:p w14:paraId="4F2EFBF2" w14:textId="5237B62D" w:rsidR="00B7785B" w:rsidRDefault="00EF4936" w:rsidP="00A72F70">
      <w:pPr>
        <w:rPr>
          <w:rFonts w:ascii="Arial" w:hAnsi="Arial" w:cs="Arial"/>
          <w:b/>
          <w:bCs/>
          <w:color w:val="000000"/>
          <w:sz w:val="20"/>
        </w:rPr>
      </w:pPr>
      <w:r w:rsidRPr="00EF4936">
        <w:rPr>
          <w:rFonts w:ascii="Arial" w:hAnsi="Arial" w:cs="Arial"/>
          <w:b/>
          <w:bCs/>
          <w:color w:val="000000"/>
          <w:sz w:val="20"/>
        </w:rPr>
        <w:t>10.3.2.6 RTS/CTS with fragmentation</w:t>
      </w:r>
    </w:p>
    <w:p w14:paraId="68AF00B2" w14:textId="1CBA8C33" w:rsidR="00B7785B" w:rsidRDefault="00B7785B" w:rsidP="00A72F70">
      <w:pPr>
        <w:rPr>
          <w:ins w:id="38" w:author="Huang, Po-kai" w:date="2019-11-01T15:01:00Z"/>
          <w:b/>
          <w:i/>
          <w:lang w:eastAsia="ko-KR"/>
        </w:rPr>
      </w:pPr>
    </w:p>
    <w:p w14:paraId="2EAF5E79" w14:textId="7ECE1C6A" w:rsidR="00EF4936" w:rsidRDefault="00EF4936" w:rsidP="00A72F70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lastRenderedPageBreak/>
        <w:t>(…existing texts…)</w:t>
      </w:r>
    </w:p>
    <w:p w14:paraId="5A90066F" w14:textId="77777777" w:rsidR="00EF4936" w:rsidRDefault="00EF4936" w:rsidP="00A72F70">
      <w:pPr>
        <w:rPr>
          <w:rFonts w:ascii="TimesNewRoman" w:hAnsi="TimesNewRoman"/>
          <w:color w:val="000000"/>
          <w:sz w:val="20"/>
        </w:rPr>
      </w:pPr>
    </w:p>
    <w:p w14:paraId="3BA14AB5" w14:textId="3F5063A6" w:rsidR="00B7785B" w:rsidRDefault="00B7785B" w:rsidP="00A72F70">
      <w:pPr>
        <w:rPr>
          <w:rFonts w:ascii="TimesNewRoman" w:hAnsi="TimesNewRoman"/>
          <w:color w:val="000000"/>
          <w:sz w:val="20"/>
        </w:rPr>
      </w:pPr>
      <w:r w:rsidRPr="00B7785B">
        <w:rPr>
          <w:rFonts w:ascii="TimesNewRoman" w:hAnsi="TimesNewRoman"/>
          <w:color w:val="000000"/>
          <w:sz w:val="20"/>
        </w:rPr>
        <w:t>Each fragment and Ack frame acts as a</w:t>
      </w:r>
      <w:r w:rsidR="00EF4936">
        <w:rPr>
          <w:rFonts w:ascii="TimesNewRoman" w:hAnsi="TimesNewRoman"/>
          <w:color w:val="000000"/>
          <w:sz w:val="20"/>
        </w:rPr>
        <w:t xml:space="preserve"> </w:t>
      </w:r>
      <w:r w:rsidRPr="00B7785B">
        <w:rPr>
          <w:rFonts w:ascii="TimesNewRoman" w:hAnsi="TimesNewRoman"/>
          <w:color w:val="000000"/>
          <w:sz w:val="20"/>
        </w:rPr>
        <w:t>virtual RTS frame and CTS frame; therefore no further RTS/CTS frames need to be generated after the RTS/CTS that began the frame exchange sequence</w:t>
      </w:r>
      <w:del w:id="39" w:author="Huang, Po-kai" w:date="2019-11-01T15:03:00Z">
        <w:r w:rsidRPr="00B7785B" w:rsidDel="00102352">
          <w:rPr>
            <w:rFonts w:ascii="TimesNewRoman" w:hAnsi="TimesNewRoman"/>
            <w:color w:val="000000"/>
            <w:sz w:val="20"/>
          </w:rPr>
          <w:delText xml:space="preserve"> even though the PSDUs carrying subsequent fragments may be</w:delText>
        </w:r>
        <w:r w:rsidR="00EF4936" w:rsidDel="00102352">
          <w:rPr>
            <w:rFonts w:ascii="TimesNewRoman" w:hAnsi="TimesNewRoman"/>
            <w:color w:val="000000"/>
            <w:sz w:val="20"/>
          </w:rPr>
          <w:delText xml:space="preserve"> </w:delText>
        </w:r>
        <w:r w:rsidRPr="00B7785B" w:rsidDel="00102352">
          <w:rPr>
            <w:rFonts w:ascii="TimesNewRoman" w:hAnsi="TimesNewRoman"/>
            <w:color w:val="000000"/>
            <w:sz w:val="20"/>
          </w:rPr>
          <w:delText>larger than dot11RTSThreshold</w:delText>
        </w:r>
      </w:del>
      <w:r w:rsidRPr="00B7785B">
        <w:rPr>
          <w:rFonts w:ascii="TimesNewRoman" w:hAnsi="TimesNewRoman"/>
          <w:color w:val="000000"/>
          <w:sz w:val="20"/>
        </w:rPr>
        <w:t>.</w:t>
      </w:r>
      <w:ins w:id="40" w:author="Huang, Po-kai" w:date="2019-11-01T15:03:00Z">
        <w:r w:rsidR="00102352">
          <w:rPr>
            <w:rFonts w:ascii="TimesNewRoman" w:hAnsi="TimesNewRoman"/>
            <w:color w:val="000000"/>
            <w:sz w:val="20"/>
          </w:rPr>
          <w:t>(#22234)</w:t>
        </w:r>
      </w:ins>
    </w:p>
    <w:p w14:paraId="1342A0C8" w14:textId="7E1ED0D9" w:rsidR="00EF4936" w:rsidRDefault="00EF4936" w:rsidP="00A72F70">
      <w:pPr>
        <w:rPr>
          <w:rFonts w:ascii="TimesNewRoman" w:hAnsi="TimesNewRoman"/>
          <w:color w:val="000000"/>
          <w:sz w:val="20"/>
        </w:rPr>
      </w:pPr>
    </w:p>
    <w:p w14:paraId="7F3F1DDF" w14:textId="503EA724" w:rsidR="00EF4936" w:rsidRDefault="00EF4936" w:rsidP="00A72F70">
      <w:pPr>
        <w:rPr>
          <w:ins w:id="41" w:author="Huang, Po-kai" w:date="2019-11-01T15:04:00Z"/>
          <w:rFonts w:ascii="TimesNewRoman" w:hAnsi="TimesNewRoman"/>
          <w:color w:val="000000"/>
          <w:sz w:val="20"/>
        </w:rPr>
      </w:pPr>
    </w:p>
    <w:p w14:paraId="3673AE6F" w14:textId="23A877BD" w:rsidR="00102352" w:rsidRPr="00EF4936" w:rsidRDefault="00102352" w:rsidP="00102352">
      <w:pPr>
        <w:rPr>
          <w:rFonts w:ascii="Arial" w:hAnsi="Arial" w:cs="Arial"/>
          <w:b/>
          <w:bCs/>
          <w:i/>
          <w:color w:val="000000"/>
          <w:sz w:val="20"/>
        </w:rPr>
      </w:pPr>
      <w:proofErr w:type="spellStart"/>
      <w:r w:rsidRPr="00EF4936">
        <w:rPr>
          <w:b/>
          <w:i/>
          <w:highlight w:val="yellow"/>
          <w:lang w:eastAsia="ko-KR"/>
        </w:rPr>
        <w:t>TGax</w:t>
      </w:r>
      <w:proofErr w:type="spellEnd"/>
      <w:r w:rsidRPr="00EF4936">
        <w:rPr>
          <w:b/>
          <w:i/>
          <w:highlight w:val="yellow"/>
          <w:lang w:eastAsia="ko-KR"/>
        </w:rPr>
        <w:t xml:space="preserve"> editor:</w:t>
      </w:r>
      <w:r w:rsidRPr="00EF4936">
        <w:rPr>
          <w:b/>
          <w:i/>
          <w:lang w:eastAsia="ko-KR"/>
        </w:rPr>
        <w:t xml:space="preserve"> Change 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>10.3.</w:t>
      </w:r>
      <w:r>
        <w:rPr>
          <w:rFonts w:ascii="Arial" w:hAnsi="Arial" w:cs="Arial"/>
          <w:b/>
          <w:bCs/>
          <w:i/>
          <w:color w:val="000000"/>
          <w:sz w:val="20"/>
        </w:rPr>
        <w:t xml:space="preserve">3 </w:t>
      </w:r>
      <w:r w:rsidRPr="00102352">
        <w:rPr>
          <w:rFonts w:ascii="Arial" w:hAnsi="Arial" w:cs="Arial"/>
          <w:b/>
          <w:bCs/>
          <w:i/>
          <w:color w:val="000000"/>
          <w:sz w:val="20"/>
        </w:rPr>
        <w:t xml:space="preserve">Random </w:t>
      </w:r>
      <w:proofErr w:type="spellStart"/>
      <w:r w:rsidRPr="00102352">
        <w:rPr>
          <w:rFonts w:ascii="Arial" w:hAnsi="Arial" w:cs="Arial"/>
          <w:b/>
          <w:bCs/>
          <w:i/>
          <w:color w:val="000000"/>
          <w:sz w:val="20"/>
        </w:rPr>
        <w:t>backoff</w:t>
      </w:r>
      <w:proofErr w:type="spellEnd"/>
      <w:r w:rsidRPr="00102352">
        <w:rPr>
          <w:rFonts w:ascii="Arial" w:hAnsi="Arial" w:cs="Arial"/>
          <w:b/>
          <w:bCs/>
          <w:i/>
          <w:color w:val="000000"/>
          <w:sz w:val="20"/>
        </w:rPr>
        <w:t xml:space="preserve"> time as</w:t>
      </w:r>
      <w:r w:rsidRPr="00EF4936">
        <w:rPr>
          <w:rFonts w:ascii="Arial" w:hAnsi="Arial" w:cs="Arial"/>
          <w:b/>
          <w:bCs/>
          <w:i/>
          <w:color w:val="000000"/>
          <w:sz w:val="20"/>
        </w:rPr>
        <w:t xml:space="preserve"> follows: (Track change on)</w:t>
      </w:r>
    </w:p>
    <w:p w14:paraId="0EF79C23" w14:textId="77777777" w:rsidR="00102352" w:rsidRDefault="00102352" w:rsidP="00102352">
      <w:pPr>
        <w:rPr>
          <w:rFonts w:ascii="Courier" w:hAnsi="Courier"/>
          <w:color w:val="000000"/>
          <w:sz w:val="18"/>
          <w:szCs w:val="18"/>
        </w:rPr>
      </w:pPr>
    </w:p>
    <w:p w14:paraId="0E9EEC05" w14:textId="47C97985" w:rsidR="00102352" w:rsidRDefault="00BD5F56" w:rsidP="00A72F70">
      <w:pPr>
        <w:rPr>
          <w:rFonts w:ascii="TimesNewRoman" w:hAnsi="TimesNewRoman"/>
          <w:color w:val="000000"/>
          <w:sz w:val="20"/>
        </w:rPr>
      </w:pPr>
      <w:r>
        <w:rPr>
          <w:rFonts w:ascii="TimesNewRoman" w:hAnsi="TimesNewRoman"/>
          <w:color w:val="000000"/>
          <w:sz w:val="20"/>
        </w:rPr>
        <w:t>(…existing texts…)</w:t>
      </w:r>
    </w:p>
    <w:p w14:paraId="7F3ACED6" w14:textId="77777777" w:rsidR="00BD5F56" w:rsidRDefault="00BD5F56" w:rsidP="00A72F70">
      <w:pPr>
        <w:rPr>
          <w:rFonts w:ascii="TimesNewRoman" w:hAnsi="TimesNewRoman"/>
          <w:color w:val="000000"/>
          <w:sz w:val="20"/>
        </w:rPr>
      </w:pPr>
    </w:p>
    <w:p w14:paraId="47652A5D" w14:textId="375CD3EC" w:rsidR="00102352" w:rsidRDefault="00102352" w:rsidP="00A72F70">
      <w:pPr>
        <w:rPr>
          <w:rFonts w:ascii="TimesNewRoman" w:hAnsi="TimesNewRoman"/>
          <w:color w:val="000000"/>
          <w:sz w:val="20"/>
        </w:rPr>
      </w:pPr>
      <w:r w:rsidRPr="00102352">
        <w:rPr>
          <w:rFonts w:ascii="TimesNewRoman" w:hAnsi="TimesNewRoman"/>
          <w:color w:val="000000"/>
          <w:sz w:val="20"/>
        </w:rPr>
        <w:t xml:space="preserve">The SSRC shall be reset to 0 when a CTS frame is received in response to an RTS frame, when a </w:t>
      </w:r>
      <w:proofErr w:type="spellStart"/>
      <w:r w:rsidRPr="00102352">
        <w:rPr>
          <w:rFonts w:ascii="TimesNewRoman" w:hAnsi="TimesNewRoman"/>
          <w:color w:val="000000"/>
          <w:sz w:val="20"/>
        </w:rPr>
        <w:t>BlockAck</w:t>
      </w:r>
      <w:proofErr w:type="spellEnd"/>
      <w:r w:rsidRPr="00102352">
        <w:rPr>
          <w:rFonts w:ascii="TimesNewRoman" w:hAnsi="TimesNewRoman"/>
          <w:color w:val="000000"/>
          <w:sz w:val="20"/>
        </w:rPr>
        <w:br/>
        <w:t xml:space="preserve">frame is received in response to a </w:t>
      </w:r>
      <w:proofErr w:type="spellStart"/>
      <w:r w:rsidRPr="00102352">
        <w:rPr>
          <w:rFonts w:ascii="TimesNewRoman" w:hAnsi="TimesNewRoman"/>
          <w:color w:val="000000"/>
          <w:sz w:val="20"/>
        </w:rPr>
        <w:t>BlockAckReq</w:t>
      </w:r>
      <w:proofErr w:type="spellEnd"/>
      <w:r w:rsidRPr="00102352">
        <w:rPr>
          <w:rFonts w:ascii="TimesNewRoman" w:hAnsi="TimesNewRoman"/>
          <w:color w:val="000000"/>
          <w:sz w:val="20"/>
        </w:rPr>
        <w:t xml:space="preserve"> frame, when an Ack frame is received in response to the</w:t>
      </w:r>
      <w:r w:rsidRPr="00102352">
        <w:rPr>
          <w:rFonts w:ascii="TimesNewRoman" w:hAnsi="TimesNewRoman"/>
          <w:color w:val="000000"/>
          <w:sz w:val="20"/>
        </w:rPr>
        <w:br/>
        <w:t>transmission of a frame containing all or part of an MSDU or MMPDU that is contained in a PSDU of length</w:t>
      </w:r>
      <w:r w:rsidRPr="00102352">
        <w:rPr>
          <w:rFonts w:ascii="TimesNewRoman" w:hAnsi="TimesNewRoman"/>
          <w:color w:val="000000"/>
          <w:sz w:val="20"/>
        </w:rPr>
        <w:br/>
        <w:t>less than or equal to dot11RTSThreshold, or when a frame with a group address in the Address 1 field is</w:t>
      </w:r>
      <w:r w:rsidRPr="00102352">
        <w:rPr>
          <w:rFonts w:ascii="TimesNewRoman" w:hAnsi="TimesNewRoman"/>
          <w:color w:val="000000"/>
          <w:sz w:val="20"/>
        </w:rPr>
        <w:br/>
        <w:t>transmitted.</w:t>
      </w:r>
    </w:p>
    <w:p w14:paraId="3C9DE765" w14:textId="6856075B" w:rsidR="00102352" w:rsidRDefault="00102352" w:rsidP="00A72F70">
      <w:pPr>
        <w:rPr>
          <w:rFonts w:ascii="TimesNewRoman" w:hAnsi="TimesNewRoman"/>
          <w:color w:val="000000"/>
          <w:sz w:val="20"/>
        </w:rPr>
      </w:pPr>
      <w:r w:rsidRPr="00102352">
        <w:rPr>
          <w:rFonts w:ascii="TimesNewRoman" w:hAnsi="TimesNewRoman"/>
          <w:color w:val="000000"/>
          <w:sz w:val="20"/>
        </w:rPr>
        <w:br/>
        <w:t>The SLRC shall be reset to 0 when an Ack frame is received in response to transmission of a frame containing</w:t>
      </w:r>
      <w:r w:rsidRPr="00102352">
        <w:rPr>
          <w:rFonts w:ascii="TimesNewRoman" w:hAnsi="TimesNewRoman"/>
          <w:color w:val="000000"/>
          <w:sz w:val="20"/>
        </w:rPr>
        <w:br/>
        <w:t>all or part of an MSDU or MMPDU that is contained in a PSDU of length greater than dot11RTSThreshold, or</w:t>
      </w:r>
      <w:r w:rsidRPr="00102352">
        <w:rPr>
          <w:rFonts w:ascii="TimesNewRoman" w:hAnsi="TimesNewRoman"/>
          <w:color w:val="000000"/>
          <w:sz w:val="20"/>
        </w:rPr>
        <w:br/>
        <w:t>when a frame with a group address in the Address 1 field is transmitted.</w:t>
      </w:r>
    </w:p>
    <w:p w14:paraId="1F3C2976" w14:textId="2AF6C465" w:rsidR="00102352" w:rsidRDefault="00102352" w:rsidP="00A72F70">
      <w:pPr>
        <w:rPr>
          <w:rFonts w:ascii="TimesNewRoman" w:hAnsi="TimesNewRoman"/>
          <w:color w:val="000000"/>
          <w:sz w:val="20"/>
        </w:rPr>
      </w:pPr>
    </w:p>
    <w:p w14:paraId="169F5559" w14:textId="65EE06F5" w:rsidR="00791D82" w:rsidRDefault="00791D82" w:rsidP="00791D82">
      <w:pPr>
        <w:rPr>
          <w:ins w:id="42" w:author="Huang, Po-kai" w:date="2019-11-01T15:21:00Z"/>
          <w:rFonts w:ascii="TimesNewRoman" w:hAnsi="TimesNewRoman"/>
          <w:color w:val="000000"/>
          <w:sz w:val="20"/>
        </w:rPr>
      </w:pPr>
      <w:ins w:id="43" w:author="Huang, Po-kai" w:date="2019-11-01T15:14:00Z">
        <w:r>
          <w:rPr>
            <w:rFonts w:ascii="TimesNewRoman" w:hAnsi="TimesNewRoman"/>
            <w:color w:val="000000"/>
            <w:sz w:val="20"/>
          </w:rPr>
          <w:t xml:space="preserve">NOTE </w:t>
        </w:r>
        <w:proofErr w:type="gramStart"/>
        <w:r>
          <w:rPr>
            <w:rFonts w:ascii="TimesNewRoman" w:hAnsi="TimesNewRoman"/>
            <w:color w:val="000000"/>
            <w:sz w:val="20"/>
          </w:rPr>
          <w:t>-  For</w:t>
        </w:r>
        <w:proofErr w:type="gramEnd"/>
        <w:r>
          <w:rPr>
            <w:rFonts w:ascii="TimesNewRoman" w:hAnsi="TimesNewRoman"/>
            <w:color w:val="000000"/>
            <w:sz w:val="20"/>
          </w:rPr>
          <w:t xml:space="preserve"> non-HE STAs that use DCF for channel access, </w:t>
        </w:r>
      </w:ins>
      <w:ins w:id="44" w:author="Huang, Po-kai" w:date="2019-11-01T15:15:00Z">
        <w:r w:rsidRPr="00791D82">
          <w:rPr>
            <w:rFonts w:ascii="TimesNewRoman" w:hAnsi="TimesNewRoman"/>
            <w:color w:val="000000"/>
            <w:sz w:val="20"/>
          </w:rPr>
          <w:t>dot11TXOPDurationRTSThreshold is not present</w:t>
        </w:r>
      </w:ins>
      <w:ins w:id="45" w:author="Huang, Po-kai" w:date="2019-11-01T15:21:00Z">
        <w:r>
          <w:rPr>
            <w:rFonts w:ascii="TimesNewRoman" w:hAnsi="TimesNewRoman"/>
            <w:color w:val="000000"/>
            <w:sz w:val="20"/>
          </w:rPr>
          <w:t xml:space="preserve">, and </w:t>
        </w:r>
        <w:r>
          <w:rPr>
            <w:rFonts w:ascii="TimesNewRomanPSMT" w:eastAsia="TimesNewRomanPSMT" w:hAnsi="TimesNewRomanPSMT"/>
            <w:color w:val="000000"/>
            <w:sz w:val="20"/>
          </w:rPr>
          <w:t>t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 xml:space="preserve">he use of the RTS/CTS mechanism 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is 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>under control of dot11RTSThreshold</w:t>
        </w:r>
        <w:r w:rsidRPr="00791D82">
          <w:rPr>
            <w:rFonts w:ascii="TimesNewRoman" w:hAnsi="TimesNewRoman"/>
            <w:color w:val="000000"/>
            <w:sz w:val="20"/>
          </w:rPr>
          <w:t>.</w:t>
        </w:r>
      </w:ins>
      <w:ins w:id="46" w:author="Huang, Po-kai" w:date="2019-11-01T16:35:00Z">
        <w:r w:rsidR="003F273C">
          <w:rPr>
            <w:rFonts w:ascii="TimesNewRoman" w:hAnsi="TimesNewRoman"/>
            <w:color w:val="000000"/>
            <w:sz w:val="20"/>
          </w:rPr>
          <w:t>(#22234)</w:t>
        </w:r>
      </w:ins>
    </w:p>
    <w:p w14:paraId="57D9163B" w14:textId="3FF434EE" w:rsidR="00791D82" w:rsidRDefault="00791D82" w:rsidP="00A72F70">
      <w:pPr>
        <w:rPr>
          <w:ins w:id="47" w:author="Huang, Po-kai" w:date="2019-11-01T15:16:00Z"/>
          <w:rFonts w:ascii="TimesNewRoman" w:hAnsi="TimesNewRoman"/>
          <w:color w:val="000000"/>
          <w:sz w:val="20"/>
        </w:rPr>
      </w:pPr>
    </w:p>
    <w:p w14:paraId="4D7064BD" w14:textId="6BD58F68" w:rsidR="00791D82" w:rsidRDefault="00791D82" w:rsidP="00A72F70">
      <w:pPr>
        <w:rPr>
          <w:ins w:id="48" w:author="Huang, Po-kai" w:date="2019-11-01T15:16:00Z"/>
          <w:rFonts w:ascii="TimesNewRoman" w:hAnsi="TimesNewRoman"/>
          <w:color w:val="000000"/>
          <w:sz w:val="20"/>
        </w:rPr>
      </w:pPr>
    </w:p>
    <w:p w14:paraId="00E5C20D" w14:textId="70E5D491" w:rsidR="00791D82" w:rsidRPr="00791D82" w:rsidRDefault="00791D82" w:rsidP="00791D82">
      <w:pPr>
        <w:rPr>
          <w:rFonts w:ascii="TimesNewRoman" w:hAnsi="TimesNewRoman"/>
          <w:i/>
          <w:color w:val="000000"/>
          <w:sz w:val="20"/>
        </w:rPr>
      </w:pPr>
      <w:proofErr w:type="spellStart"/>
      <w:r w:rsidRPr="00791D82">
        <w:rPr>
          <w:b/>
          <w:i/>
          <w:highlight w:val="yellow"/>
          <w:lang w:eastAsia="ko-KR"/>
        </w:rPr>
        <w:t>TGax</w:t>
      </w:r>
      <w:proofErr w:type="spellEnd"/>
      <w:r w:rsidRPr="00791D82">
        <w:rPr>
          <w:b/>
          <w:i/>
          <w:highlight w:val="yellow"/>
          <w:lang w:eastAsia="ko-KR"/>
        </w:rPr>
        <w:t xml:space="preserve"> editor:</w:t>
      </w:r>
      <w:r w:rsidRPr="00791D82">
        <w:rPr>
          <w:b/>
          <w:i/>
          <w:lang w:eastAsia="ko-KR"/>
        </w:rPr>
        <w:t xml:space="preserve"> Change </w:t>
      </w:r>
      <w:r w:rsidRPr="00791D82">
        <w:rPr>
          <w:rFonts w:ascii="Arial" w:hAnsi="Arial" w:cs="Arial"/>
          <w:b/>
          <w:bCs/>
          <w:i/>
          <w:color w:val="000000"/>
          <w:sz w:val="20"/>
        </w:rPr>
        <w:t>10.3.4.4 Recovery procedures and retransmit limits</w:t>
      </w:r>
      <w:r w:rsidRPr="00791D82">
        <w:rPr>
          <w:rFonts w:ascii="TimesNewRoman" w:hAnsi="TimesNewRoman"/>
          <w:i/>
          <w:color w:val="000000"/>
          <w:sz w:val="20"/>
        </w:rPr>
        <w:t xml:space="preserve"> </w:t>
      </w:r>
      <w:r w:rsidRPr="00791D82">
        <w:rPr>
          <w:rFonts w:ascii="Arial" w:hAnsi="Arial" w:cs="Arial"/>
          <w:b/>
          <w:bCs/>
          <w:i/>
          <w:color w:val="000000"/>
          <w:sz w:val="20"/>
        </w:rPr>
        <w:t>as follows: (Track change on)</w:t>
      </w:r>
    </w:p>
    <w:p w14:paraId="7AEB866F" w14:textId="64743278" w:rsidR="00791D82" w:rsidRDefault="00791D82" w:rsidP="00A72F70">
      <w:pPr>
        <w:rPr>
          <w:rFonts w:ascii="TimesNewRoman" w:hAnsi="TimesNewRoman"/>
          <w:color w:val="000000"/>
          <w:sz w:val="20"/>
        </w:rPr>
      </w:pPr>
    </w:p>
    <w:p w14:paraId="58C10B92" w14:textId="73399AB2" w:rsidR="00791D82" w:rsidRDefault="00791D82" w:rsidP="00A72F70">
      <w:pPr>
        <w:rPr>
          <w:rFonts w:ascii="TimesNewRoman" w:hAnsi="TimesNewRoman"/>
          <w:color w:val="000000"/>
          <w:sz w:val="20"/>
        </w:rPr>
      </w:pPr>
      <w:r w:rsidRPr="00791D82">
        <w:rPr>
          <w:rFonts w:ascii="TimesNewRoman" w:hAnsi="TimesNewRoman"/>
          <w:color w:val="000000"/>
          <w:sz w:val="20"/>
        </w:rPr>
        <w:t xml:space="preserve">After transmitting a frame that requires immediate </w:t>
      </w:r>
      <w:proofErr w:type="gramStart"/>
      <w:r w:rsidRPr="00791D82">
        <w:rPr>
          <w:rFonts w:ascii="TimesNewRoman" w:hAnsi="TimesNewRoman"/>
          <w:color w:val="000000"/>
          <w:sz w:val="20"/>
        </w:rPr>
        <w:t>acknowledgment</w:t>
      </w:r>
      <w:r w:rsidRPr="00791D82">
        <w:rPr>
          <w:rFonts w:ascii="TimesNewRoman" w:hAnsi="TimesNewRoman"/>
          <w:color w:val="218A21"/>
          <w:sz w:val="20"/>
        </w:rPr>
        <w:t>(</w:t>
      </w:r>
      <w:proofErr w:type="gramEnd"/>
      <w:r w:rsidRPr="00791D82">
        <w:rPr>
          <w:rFonts w:ascii="TimesNewRoman" w:hAnsi="TimesNewRoman"/>
          <w:color w:val="218A21"/>
          <w:sz w:val="20"/>
        </w:rPr>
        <w:t>#1442)</w:t>
      </w:r>
      <w:r w:rsidRPr="00791D82">
        <w:rPr>
          <w:rFonts w:ascii="TimesNewRoman" w:hAnsi="TimesNewRoman"/>
          <w:color w:val="000000"/>
          <w:sz w:val="20"/>
        </w:rPr>
        <w:t>, the STA shall perform the</w:t>
      </w:r>
      <w:r w:rsidRPr="00791D82">
        <w:rPr>
          <w:rFonts w:ascii="TimesNewRoman" w:hAnsi="TimesNewRoman"/>
          <w:color w:val="000000"/>
          <w:sz w:val="20"/>
        </w:rPr>
        <w:br/>
        <w:t>acknowledgment procedure, as defined in 10.3.2.11 (Acknowledgment procedure). The SRC for an MPDU</w:t>
      </w:r>
      <w:r w:rsidRPr="00791D82">
        <w:rPr>
          <w:rFonts w:ascii="TimesNewRoman" w:hAnsi="TimesNewRoman"/>
          <w:color w:val="000000"/>
          <w:sz w:val="20"/>
        </w:rPr>
        <w:br/>
        <w:t>with the Type subfield equal to Data or Management and of length less than or equal to dot11RTSThreshold</w:t>
      </w:r>
      <w:r w:rsidRPr="00791D82">
        <w:rPr>
          <w:rFonts w:ascii="TimesNewRoman" w:hAnsi="TimesNewRoman"/>
          <w:color w:val="000000"/>
          <w:sz w:val="20"/>
        </w:rPr>
        <w:br/>
        <w:t xml:space="preserve">and the SSRC shall be incremented every time transmission of that MPDU </w:t>
      </w:r>
      <w:proofErr w:type="gramStart"/>
      <w:r w:rsidRPr="00791D82">
        <w:rPr>
          <w:rFonts w:ascii="TimesNewRoman" w:hAnsi="TimesNewRoman"/>
          <w:color w:val="000000"/>
          <w:sz w:val="20"/>
        </w:rPr>
        <w:t>fails</w:t>
      </w:r>
      <w:r w:rsidRPr="00791D82">
        <w:rPr>
          <w:rFonts w:ascii="TimesNewRoman" w:hAnsi="TimesNewRoman"/>
          <w:color w:val="218A21"/>
          <w:sz w:val="20"/>
        </w:rPr>
        <w:t>(</w:t>
      </w:r>
      <w:proofErr w:type="gramEnd"/>
      <w:r w:rsidRPr="00791D82">
        <w:rPr>
          <w:rFonts w:ascii="TimesNewRoman" w:hAnsi="TimesNewRoman"/>
          <w:color w:val="218A21"/>
          <w:sz w:val="20"/>
        </w:rPr>
        <w:t>#282)</w:t>
      </w:r>
      <w:r w:rsidRPr="00791D82">
        <w:rPr>
          <w:rFonts w:ascii="TimesNewRoman" w:hAnsi="TimesNewRoman"/>
          <w:color w:val="000000"/>
          <w:sz w:val="20"/>
        </w:rPr>
        <w:t>. This SRC and the</w:t>
      </w:r>
      <w:r w:rsidRPr="00791D82">
        <w:rPr>
          <w:rFonts w:ascii="TimesNewRoman" w:hAnsi="TimesNewRoman"/>
          <w:color w:val="000000"/>
          <w:sz w:val="20"/>
        </w:rPr>
        <w:br/>
        <w:t>SSRC shall be reset when transmission of that MPDU succeeds. The LRC for an MPDU with the Type</w:t>
      </w:r>
      <w:r w:rsidRPr="00791D82">
        <w:rPr>
          <w:rFonts w:ascii="TimesNewRoman" w:hAnsi="TimesNewRoman"/>
          <w:color w:val="000000"/>
          <w:sz w:val="20"/>
        </w:rPr>
        <w:br/>
        <w:t>subfield equal to Data or Management and of length greater than dot11RTSThreshold and the SLRC shall be</w:t>
      </w:r>
      <w:r w:rsidRPr="00791D82">
        <w:rPr>
          <w:rFonts w:ascii="TimesNewRoman" w:hAnsi="TimesNewRoman"/>
          <w:color w:val="000000"/>
          <w:sz w:val="20"/>
        </w:rPr>
        <w:br/>
        <w:t>incremented every time transmission of that MPDU fails. This LRC and the SLRC shall be reset when</w:t>
      </w:r>
      <w:r w:rsidRPr="00791D82">
        <w:rPr>
          <w:rFonts w:ascii="TimesNewRoman" w:hAnsi="TimesNewRoman"/>
          <w:color w:val="000000"/>
          <w:sz w:val="20"/>
        </w:rPr>
        <w:br/>
        <w:t>transmission of that MPDU succeeds. All retransmission attempts for an MPDU with the Type subfield equal</w:t>
      </w:r>
      <w:r w:rsidRPr="00791D82">
        <w:rPr>
          <w:rFonts w:ascii="TimesNewRoman" w:hAnsi="TimesNewRoman"/>
          <w:color w:val="000000"/>
          <w:sz w:val="20"/>
        </w:rPr>
        <w:br/>
        <w:t>to Data or Management that has failed the acknowledgment procedure one or more times shall be made with</w:t>
      </w:r>
      <w:r w:rsidRPr="00791D82">
        <w:rPr>
          <w:rFonts w:ascii="TimesNewRoman" w:hAnsi="TimesNewRoman"/>
          <w:color w:val="000000"/>
          <w:sz w:val="20"/>
        </w:rPr>
        <w:br/>
        <w:t>the Retry subfield set to 1. These rules do not apply for frames sent by a non-DMG STA under a block</w:t>
      </w:r>
      <w:r w:rsidRPr="00791D82">
        <w:rPr>
          <w:rFonts w:ascii="TimesNewRoman" w:hAnsi="TimesNewRoman"/>
          <w:color w:val="000000"/>
          <w:sz w:val="20"/>
        </w:rPr>
        <w:br/>
      </w:r>
      <w:proofErr w:type="gramStart"/>
      <w:r w:rsidRPr="00791D82">
        <w:rPr>
          <w:rFonts w:ascii="TimesNewRoman" w:hAnsi="TimesNewRoman"/>
          <w:color w:val="000000"/>
          <w:sz w:val="20"/>
        </w:rPr>
        <w:t>agreement.</w:t>
      </w:r>
      <w:r w:rsidRPr="00791D82">
        <w:rPr>
          <w:rFonts w:ascii="TimesNewRoman" w:hAnsi="TimesNewRoman"/>
          <w:color w:val="218A21"/>
          <w:sz w:val="20"/>
        </w:rPr>
        <w:t>(</w:t>
      </w:r>
      <w:proofErr w:type="gramEnd"/>
      <w:r w:rsidRPr="00791D82">
        <w:rPr>
          <w:rFonts w:ascii="TimesNewRoman" w:hAnsi="TimesNewRoman"/>
          <w:color w:val="218A21"/>
          <w:sz w:val="20"/>
        </w:rPr>
        <w:t>#2358)</w:t>
      </w:r>
    </w:p>
    <w:p w14:paraId="17EA62E8" w14:textId="0BCB6067" w:rsidR="00791D82" w:rsidRDefault="00791D82" w:rsidP="00A72F70">
      <w:pPr>
        <w:rPr>
          <w:rFonts w:ascii="TimesNewRoman" w:hAnsi="TimesNewRoman"/>
          <w:color w:val="000000"/>
          <w:sz w:val="20"/>
        </w:rPr>
      </w:pPr>
    </w:p>
    <w:p w14:paraId="2D54B696" w14:textId="17C2AAE6" w:rsidR="00791D82" w:rsidRDefault="00791D82" w:rsidP="00791D82">
      <w:pPr>
        <w:rPr>
          <w:ins w:id="49" w:author="Huang, Po-kai" w:date="2019-11-01T15:16:00Z"/>
          <w:rFonts w:ascii="TimesNewRoman" w:hAnsi="TimesNewRoman"/>
          <w:color w:val="000000"/>
          <w:sz w:val="20"/>
        </w:rPr>
      </w:pPr>
      <w:ins w:id="50" w:author="Huang, Po-kai" w:date="2019-11-01T15:14:00Z">
        <w:r>
          <w:rPr>
            <w:rFonts w:ascii="TimesNewRoman" w:hAnsi="TimesNewRoman"/>
            <w:color w:val="000000"/>
            <w:sz w:val="20"/>
          </w:rPr>
          <w:t xml:space="preserve">NOTE </w:t>
        </w:r>
        <w:proofErr w:type="gramStart"/>
        <w:r>
          <w:rPr>
            <w:rFonts w:ascii="TimesNewRoman" w:hAnsi="TimesNewRoman"/>
            <w:color w:val="000000"/>
            <w:sz w:val="20"/>
          </w:rPr>
          <w:t>-  For</w:t>
        </w:r>
        <w:proofErr w:type="gramEnd"/>
        <w:r>
          <w:rPr>
            <w:rFonts w:ascii="TimesNewRoman" w:hAnsi="TimesNewRoman"/>
            <w:color w:val="000000"/>
            <w:sz w:val="20"/>
          </w:rPr>
          <w:t xml:space="preserve"> non-HE STAs that use DCF for channel access, </w:t>
        </w:r>
      </w:ins>
      <w:ins w:id="51" w:author="Huang, Po-kai" w:date="2019-11-01T15:15:00Z">
        <w:r w:rsidRPr="00791D82">
          <w:rPr>
            <w:rFonts w:ascii="TimesNewRoman" w:hAnsi="TimesNewRoman"/>
            <w:color w:val="000000"/>
            <w:sz w:val="20"/>
          </w:rPr>
          <w:t>dot11TXOPDurationRTSThreshold is not present</w:t>
        </w:r>
      </w:ins>
      <w:ins w:id="52" w:author="Huang, Po-kai" w:date="2019-11-01T15:21:00Z">
        <w:r>
          <w:rPr>
            <w:rFonts w:ascii="TimesNewRoman" w:hAnsi="TimesNewRoman"/>
            <w:color w:val="000000"/>
            <w:sz w:val="20"/>
          </w:rPr>
          <w:t xml:space="preserve">, and </w:t>
        </w:r>
        <w:r>
          <w:rPr>
            <w:rFonts w:ascii="TimesNewRomanPSMT" w:eastAsia="TimesNewRomanPSMT" w:hAnsi="TimesNewRomanPSMT"/>
            <w:color w:val="000000"/>
            <w:sz w:val="20"/>
          </w:rPr>
          <w:t>t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 xml:space="preserve">he use of the RTS/CTS mechanism </w:t>
        </w:r>
        <w:r>
          <w:rPr>
            <w:rFonts w:ascii="TimesNewRomanPSMT" w:eastAsia="TimesNewRomanPSMT" w:hAnsi="TimesNewRomanPSMT"/>
            <w:color w:val="000000"/>
            <w:sz w:val="20"/>
          </w:rPr>
          <w:t xml:space="preserve">is </w:t>
        </w:r>
        <w:r w:rsidRPr="00FD6DD2">
          <w:rPr>
            <w:rFonts w:ascii="TimesNewRomanPSMT" w:eastAsia="TimesNewRomanPSMT" w:hAnsi="TimesNewRomanPSMT"/>
            <w:color w:val="000000"/>
            <w:sz w:val="20"/>
          </w:rPr>
          <w:t>under control of dot11RTSThreshold</w:t>
        </w:r>
      </w:ins>
      <w:ins w:id="53" w:author="Huang, Po-kai" w:date="2019-11-01T15:15:00Z">
        <w:r w:rsidRPr="00791D82">
          <w:rPr>
            <w:rFonts w:ascii="TimesNewRoman" w:hAnsi="TimesNewRoman"/>
            <w:color w:val="000000"/>
            <w:sz w:val="20"/>
          </w:rPr>
          <w:t>.</w:t>
        </w:r>
      </w:ins>
      <w:ins w:id="54" w:author="Huang, Po-kai" w:date="2019-11-01T16:35:00Z">
        <w:r w:rsidR="003F273C">
          <w:rPr>
            <w:rFonts w:ascii="TimesNewRoman" w:hAnsi="TimesNewRoman"/>
            <w:color w:val="000000"/>
            <w:sz w:val="20"/>
          </w:rPr>
          <w:t>(#22234)</w:t>
        </w:r>
      </w:ins>
    </w:p>
    <w:p w14:paraId="143E1913" w14:textId="77777777" w:rsidR="00791D82" w:rsidRDefault="00791D82" w:rsidP="00A72F70">
      <w:pPr>
        <w:rPr>
          <w:ins w:id="55" w:author="Huang, Po-kai" w:date="2019-11-01T15:18:00Z"/>
          <w:rFonts w:ascii="TimesNewRoman" w:hAnsi="TimesNewRoman"/>
          <w:color w:val="000000"/>
          <w:sz w:val="20"/>
        </w:rPr>
      </w:pPr>
    </w:p>
    <w:p w14:paraId="50554A53" w14:textId="77777777" w:rsidR="00102352" w:rsidRDefault="00102352" w:rsidP="00A72F70">
      <w:pPr>
        <w:rPr>
          <w:rFonts w:ascii="TimesNewRoman" w:hAnsi="TimesNewRoman"/>
          <w:color w:val="000000"/>
          <w:sz w:val="20"/>
        </w:rPr>
      </w:pPr>
    </w:p>
    <w:p w14:paraId="041264FD" w14:textId="77777777" w:rsidR="00EF4936" w:rsidRPr="00BE73AF" w:rsidRDefault="00EF4936" w:rsidP="00A72F70">
      <w:pPr>
        <w:rPr>
          <w:b/>
          <w:i/>
          <w:lang w:eastAsia="ko-KR"/>
        </w:rPr>
      </w:pPr>
    </w:p>
    <w:sectPr w:rsidR="00EF4936" w:rsidRPr="00BE73AF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64E78" w14:textId="77777777" w:rsidR="006177EB" w:rsidRDefault="006177EB">
      <w:r>
        <w:separator/>
      </w:r>
    </w:p>
  </w:endnote>
  <w:endnote w:type="continuationSeparator" w:id="0">
    <w:p w14:paraId="10BC61EE" w14:textId="77777777" w:rsidR="006177EB" w:rsidRDefault="0061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A96B07" w:rsidRDefault="006177E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7732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72CD" w14:textId="77777777" w:rsidR="006177EB" w:rsidRDefault="006177EB">
      <w:r>
        <w:separator/>
      </w:r>
    </w:p>
  </w:footnote>
  <w:footnote w:type="continuationSeparator" w:id="0">
    <w:p w14:paraId="2E7942F1" w14:textId="77777777" w:rsidR="006177EB" w:rsidRDefault="0061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74D62C02" w:rsidR="00A96B07" w:rsidRDefault="001C7751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r w:rsidR="006177EB">
      <w:fldChar w:fldCharType="begin"/>
    </w:r>
    <w:r w:rsidR="006177EB">
      <w:instrText xml:space="preserve"> TITLE  \* MERGEFORMAT </w:instrText>
    </w:r>
    <w:r w:rsidR="006177EB">
      <w:fldChar w:fldCharType="separate"/>
    </w:r>
    <w:r w:rsidR="00F36985">
      <w:t>doc.: IEEE 802.11-19/1</w:t>
    </w:r>
    <w:r w:rsidR="00335CD6">
      <w:t>81</w:t>
    </w:r>
    <w:r w:rsidR="00CB7550">
      <w:t>6</w:t>
    </w:r>
    <w:r w:rsidR="00A96B07">
      <w:t>r</w:t>
    </w:r>
    <w:r w:rsidR="006177EB">
      <w:fldChar w:fldCharType="end"/>
    </w:r>
    <w:r w:rsidR="0011489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19CE3B91"/>
    <w:multiLevelType w:val="hybridMultilevel"/>
    <w:tmpl w:val="CFAA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43AB"/>
    <w:multiLevelType w:val="hybridMultilevel"/>
    <w:tmpl w:val="7C4C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A5797"/>
    <w:multiLevelType w:val="hybridMultilevel"/>
    <w:tmpl w:val="2A8ED89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6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515"/>
    <w:rsid w:val="00017D25"/>
    <w:rsid w:val="0002184C"/>
    <w:rsid w:val="000230FB"/>
    <w:rsid w:val="00024344"/>
    <w:rsid w:val="00024487"/>
    <w:rsid w:val="00025718"/>
    <w:rsid w:val="000266CF"/>
    <w:rsid w:val="00027D05"/>
    <w:rsid w:val="00030122"/>
    <w:rsid w:val="00030196"/>
    <w:rsid w:val="00030CF7"/>
    <w:rsid w:val="00034514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A33"/>
    <w:rsid w:val="00062E0C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690B"/>
    <w:rsid w:val="000D11DB"/>
    <w:rsid w:val="000D1435"/>
    <w:rsid w:val="000D174A"/>
    <w:rsid w:val="000D232E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2352"/>
    <w:rsid w:val="00103762"/>
    <w:rsid w:val="00105918"/>
    <w:rsid w:val="00106A7F"/>
    <w:rsid w:val="0010725F"/>
    <w:rsid w:val="001101C2"/>
    <w:rsid w:val="001109AA"/>
    <w:rsid w:val="00112C6A"/>
    <w:rsid w:val="00114763"/>
    <w:rsid w:val="0011489B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30F7"/>
    <w:rsid w:val="0014478E"/>
    <w:rsid w:val="001448D8"/>
    <w:rsid w:val="001450BB"/>
    <w:rsid w:val="001459E7"/>
    <w:rsid w:val="00146902"/>
    <w:rsid w:val="00151BBE"/>
    <w:rsid w:val="0015378F"/>
    <w:rsid w:val="00154B26"/>
    <w:rsid w:val="001559BB"/>
    <w:rsid w:val="001564C6"/>
    <w:rsid w:val="001606C3"/>
    <w:rsid w:val="00160CFE"/>
    <w:rsid w:val="0016120D"/>
    <w:rsid w:val="00165BE6"/>
    <w:rsid w:val="001664C3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87E51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CA2"/>
    <w:rsid w:val="001C2D5D"/>
    <w:rsid w:val="001C3131"/>
    <w:rsid w:val="001C7751"/>
    <w:rsid w:val="001C7CCE"/>
    <w:rsid w:val="001D0117"/>
    <w:rsid w:val="001D15ED"/>
    <w:rsid w:val="001D328B"/>
    <w:rsid w:val="001D4346"/>
    <w:rsid w:val="001D4A93"/>
    <w:rsid w:val="001D5902"/>
    <w:rsid w:val="001D7492"/>
    <w:rsid w:val="001D76CA"/>
    <w:rsid w:val="001D7948"/>
    <w:rsid w:val="001E07D7"/>
    <w:rsid w:val="001E0946"/>
    <w:rsid w:val="001E0D99"/>
    <w:rsid w:val="001E1C20"/>
    <w:rsid w:val="001E20C2"/>
    <w:rsid w:val="001E43FF"/>
    <w:rsid w:val="001E4D8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08C"/>
    <w:rsid w:val="00210DDD"/>
    <w:rsid w:val="00210E1E"/>
    <w:rsid w:val="002125EA"/>
    <w:rsid w:val="00214B50"/>
    <w:rsid w:val="00215751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7A7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36D2"/>
    <w:rsid w:val="00255378"/>
    <w:rsid w:val="0025539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320"/>
    <w:rsid w:val="00277F6F"/>
    <w:rsid w:val="00281A5D"/>
    <w:rsid w:val="00281D56"/>
    <w:rsid w:val="00282053"/>
    <w:rsid w:val="002825B1"/>
    <w:rsid w:val="00282ABB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97635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1D1"/>
    <w:rsid w:val="002C0375"/>
    <w:rsid w:val="002C3CD7"/>
    <w:rsid w:val="002C50BC"/>
    <w:rsid w:val="002C61FC"/>
    <w:rsid w:val="002C66AA"/>
    <w:rsid w:val="002C6B4F"/>
    <w:rsid w:val="002C72E1"/>
    <w:rsid w:val="002D1D40"/>
    <w:rsid w:val="002D2BDA"/>
    <w:rsid w:val="002D36DC"/>
    <w:rsid w:val="002D4629"/>
    <w:rsid w:val="002D518F"/>
    <w:rsid w:val="002D7ED5"/>
    <w:rsid w:val="002E1B18"/>
    <w:rsid w:val="002E39A2"/>
    <w:rsid w:val="002E46D8"/>
    <w:rsid w:val="002E6FF6"/>
    <w:rsid w:val="002E74EC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6B13"/>
    <w:rsid w:val="002F7199"/>
    <w:rsid w:val="002F73D9"/>
    <w:rsid w:val="002F76A3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5F23"/>
    <w:rsid w:val="00316708"/>
    <w:rsid w:val="003214E2"/>
    <w:rsid w:val="00321B2A"/>
    <w:rsid w:val="00323774"/>
    <w:rsid w:val="00323827"/>
    <w:rsid w:val="00323A88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5CD6"/>
    <w:rsid w:val="00336337"/>
    <w:rsid w:val="0034133D"/>
    <w:rsid w:val="003449F9"/>
    <w:rsid w:val="003453E1"/>
    <w:rsid w:val="00346804"/>
    <w:rsid w:val="003479E4"/>
    <w:rsid w:val="00347C43"/>
    <w:rsid w:val="003546AD"/>
    <w:rsid w:val="00354A2D"/>
    <w:rsid w:val="00355D12"/>
    <w:rsid w:val="00356128"/>
    <w:rsid w:val="00360C87"/>
    <w:rsid w:val="0036479A"/>
    <w:rsid w:val="00365A95"/>
    <w:rsid w:val="00366AF0"/>
    <w:rsid w:val="00370808"/>
    <w:rsid w:val="003713CA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52B"/>
    <w:rsid w:val="00391EA2"/>
    <w:rsid w:val="003924F8"/>
    <w:rsid w:val="003929DA"/>
    <w:rsid w:val="003945E3"/>
    <w:rsid w:val="00395A50"/>
    <w:rsid w:val="003972D9"/>
    <w:rsid w:val="0039787F"/>
    <w:rsid w:val="003A0DFB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18A"/>
    <w:rsid w:val="003B52F2"/>
    <w:rsid w:val="003B76BD"/>
    <w:rsid w:val="003C0D77"/>
    <w:rsid w:val="003C27EF"/>
    <w:rsid w:val="003C2AAE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4734"/>
    <w:rsid w:val="003D4990"/>
    <w:rsid w:val="003D4DEC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73C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367A"/>
    <w:rsid w:val="00424CB8"/>
    <w:rsid w:val="00426A36"/>
    <w:rsid w:val="00430648"/>
    <w:rsid w:val="0043413E"/>
    <w:rsid w:val="0043567D"/>
    <w:rsid w:val="004405F3"/>
    <w:rsid w:val="00440FF1"/>
    <w:rsid w:val="004417F2"/>
    <w:rsid w:val="00441874"/>
    <w:rsid w:val="00442799"/>
    <w:rsid w:val="004431F2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B48"/>
    <w:rsid w:val="004536A9"/>
    <w:rsid w:val="00456877"/>
    <w:rsid w:val="00457028"/>
    <w:rsid w:val="00457FA3"/>
    <w:rsid w:val="00462172"/>
    <w:rsid w:val="004624A3"/>
    <w:rsid w:val="004631FE"/>
    <w:rsid w:val="00466555"/>
    <w:rsid w:val="0047178B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F7D"/>
    <w:rsid w:val="00487A79"/>
    <w:rsid w:val="0049004F"/>
    <w:rsid w:val="0049468A"/>
    <w:rsid w:val="004955FF"/>
    <w:rsid w:val="004A0AF4"/>
    <w:rsid w:val="004A2FC2"/>
    <w:rsid w:val="004A3CDA"/>
    <w:rsid w:val="004A3EA8"/>
    <w:rsid w:val="004A50C2"/>
    <w:rsid w:val="004B0E97"/>
    <w:rsid w:val="004B1C05"/>
    <w:rsid w:val="004B3824"/>
    <w:rsid w:val="004B493F"/>
    <w:rsid w:val="004B50E4"/>
    <w:rsid w:val="004C0F0A"/>
    <w:rsid w:val="004C12FF"/>
    <w:rsid w:val="004C1A49"/>
    <w:rsid w:val="004C2EF2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65B7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379E"/>
    <w:rsid w:val="005243B4"/>
    <w:rsid w:val="00526686"/>
    <w:rsid w:val="00526EC2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2BA3"/>
    <w:rsid w:val="0055459B"/>
    <w:rsid w:val="00554995"/>
    <w:rsid w:val="00554EEF"/>
    <w:rsid w:val="00557272"/>
    <w:rsid w:val="00557508"/>
    <w:rsid w:val="005628FD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2774"/>
    <w:rsid w:val="005E33E2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0EAB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177EB"/>
    <w:rsid w:val="00621286"/>
    <w:rsid w:val="006216A9"/>
    <w:rsid w:val="0062254C"/>
    <w:rsid w:val="0062298E"/>
    <w:rsid w:val="0062350A"/>
    <w:rsid w:val="0062440B"/>
    <w:rsid w:val="006254B0"/>
    <w:rsid w:val="00626C73"/>
    <w:rsid w:val="006276CE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6F0"/>
    <w:rsid w:val="006548B7"/>
    <w:rsid w:val="00654B3B"/>
    <w:rsid w:val="0065586F"/>
    <w:rsid w:val="00656882"/>
    <w:rsid w:val="00656CC3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6E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D4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12F4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34AF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7F4"/>
    <w:rsid w:val="0075603B"/>
    <w:rsid w:val="0075686A"/>
    <w:rsid w:val="007616F8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1ED2"/>
    <w:rsid w:val="0078235E"/>
    <w:rsid w:val="00782F0D"/>
    <w:rsid w:val="00783B46"/>
    <w:rsid w:val="00785200"/>
    <w:rsid w:val="00786551"/>
    <w:rsid w:val="00786A15"/>
    <w:rsid w:val="007912D7"/>
    <w:rsid w:val="007914E4"/>
    <w:rsid w:val="007914F3"/>
    <w:rsid w:val="00791D82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09E8"/>
    <w:rsid w:val="007B2616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D70A9"/>
    <w:rsid w:val="007E0717"/>
    <w:rsid w:val="007E0AC3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2ECD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F84"/>
    <w:rsid w:val="00850566"/>
    <w:rsid w:val="00852B3C"/>
    <w:rsid w:val="008532E6"/>
    <w:rsid w:val="00856D6F"/>
    <w:rsid w:val="0085795D"/>
    <w:rsid w:val="00865DAE"/>
    <w:rsid w:val="0086745D"/>
    <w:rsid w:val="008706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3C27"/>
    <w:rsid w:val="00894A3B"/>
    <w:rsid w:val="0089692A"/>
    <w:rsid w:val="00897183"/>
    <w:rsid w:val="008A1988"/>
    <w:rsid w:val="008A5629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901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4CE9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47D2F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377F"/>
    <w:rsid w:val="00974697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96D6D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122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13E3"/>
    <w:rsid w:val="00A429DD"/>
    <w:rsid w:val="00A42C28"/>
    <w:rsid w:val="00A43B6B"/>
    <w:rsid w:val="00A44A11"/>
    <w:rsid w:val="00A458E0"/>
    <w:rsid w:val="00A45C7E"/>
    <w:rsid w:val="00A467AC"/>
    <w:rsid w:val="00A46949"/>
    <w:rsid w:val="00A46DAC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2F70"/>
    <w:rsid w:val="00A74A68"/>
    <w:rsid w:val="00A77C8F"/>
    <w:rsid w:val="00A80E2F"/>
    <w:rsid w:val="00A81DAA"/>
    <w:rsid w:val="00A84351"/>
    <w:rsid w:val="00A844CE"/>
    <w:rsid w:val="00A8597B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B70"/>
    <w:rsid w:val="00AC0D9B"/>
    <w:rsid w:val="00AC2EDB"/>
    <w:rsid w:val="00AC76C6"/>
    <w:rsid w:val="00AD268D"/>
    <w:rsid w:val="00AD3749"/>
    <w:rsid w:val="00AD54D9"/>
    <w:rsid w:val="00AD6723"/>
    <w:rsid w:val="00AD6AE6"/>
    <w:rsid w:val="00AD75A1"/>
    <w:rsid w:val="00AD7CDA"/>
    <w:rsid w:val="00AD7DFB"/>
    <w:rsid w:val="00AD7E54"/>
    <w:rsid w:val="00AE2F7D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2477"/>
    <w:rsid w:val="00B14841"/>
    <w:rsid w:val="00B16515"/>
    <w:rsid w:val="00B170D8"/>
    <w:rsid w:val="00B171BF"/>
    <w:rsid w:val="00B214A3"/>
    <w:rsid w:val="00B2361F"/>
    <w:rsid w:val="00B24DF5"/>
    <w:rsid w:val="00B26484"/>
    <w:rsid w:val="00B26972"/>
    <w:rsid w:val="00B26E7E"/>
    <w:rsid w:val="00B271AB"/>
    <w:rsid w:val="00B304FC"/>
    <w:rsid w:val="00B349D7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5B97"/>
    <w:rsid w:val="00B46A00"/>
    <w:rsid w:val="00B507FE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5CA6"/>
    <w:rsid w:val="00B56B13"/>
    <w:rsid w:val="00B57C80"/>
    <w:rsid w:val="00B60DD2"/>
    <w:rsid w:val="00B60FDA"/>
    <w:rsid w:val="00B6166F"/>
    <w:rsid w:val="00B63C86"/>
    <w:rsid w:val="00B63F1C"/>
    <w:rsid w:val="00B643AC"/>
    <w:rsid w:val="00B64E85"/>
    <w:rsid w:val="00B67ACE"/>
    <w:rsid w:val="00B7006B"/>
    <w:rsid w:val="00B70770"/>
    <w:rsid w:val="00B722B7"/>
    <w:rsid w:val="00B73C63"/>
    <w:rsid w:val="00B7412B"/>
    <w:rsid w:val="00B74E3D"/>
    <w:rsid w:val="00B753D1"/>
    <w:rsid w:val="00B7785B"/>
    <w:rsid w:val="00B77BB8"/>
    <w:rsid w:val="00B8001F"/>
    <w:rsid w:val="00B80530"/>
    <w:rsid w:val="00B81460"/>
    <w:rsid w:val="00B814CF"/>
    <w:rsid w:val="00B81618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192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5F56"/>
    <w:rsid w:val="00BD6042"/>
    <w:rsid w:val="00BD73E6"/>
    <w:rsid w:val="00BE011E"/>
    <w:rsid w:val="00BE0818"/>
    <w:rsid w:val="00BE09CD"/>
    <w:rsid w:val="00BE163E"/>
    <w:rsid w:val="00BE25DF"/>
    <w:rsid w:val="00BE591A"/>
    <w:rsid w:val="00BE733D"/>
    <w:rsid w:val="00BE73AF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66A"/>
    <w:rsid w:val="00C279D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23BC"/>
    <w:rsid w:val="00C725B1"/>
    <w:rsid w:val="00C80D03"/>
    <w:rsid w:val="00C80D1C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1CD"/>
    <w:rsid w:val="00CA19DD"/>
    <w:rsid w:val="00CA2591"/>
    <w:rsid w:val="00CA54D7"/>
    <w:rsid w:val="00CA5FB3"/>
    <w:rsid w:val="00CB285C"/>
    <w:rsid w:val="00CB32AD"/>
    <w:rsid w:val="00CB44D6"/>
    <w:rsid w:val="00CB7550"/>
    <w:rsid w:val="00CB7A46"/>
    <w:rsid w:val="00CB7E7E"/>
    <w:rsid w:val="00CC2CD1"/>
    <w:rsid w:val="00CC35B4"/>
    <w:rsid w:val="00CC3806"/>
    <w:rsid w:val="00CC76CE"/>
    <w:rsid w:val="00CD0810"/>
    <w:rsid w:val="00CD0965"/>
    <w:rsid w:val="00CD0ABD"/>
    <w:rsid w:val="00CD259C"/>
    <w:rsid w:val="00CD2A6A"/>
    <w:rsid w:val="00CD2C9B"/>
    <w:rsid w:val="00CD332C"/>
    <w:rsid w:val="00CD4319"/>
    <w:rsid w:val="00CD593A"/>
    <w:rsid w:val="00CD5DDB"/>
    <w:rsid w:val="00CD6072"/>
    <w:rsid w:val="00CE102F"/>
    <w:rsid w:val="00CE16B6"/>
    <w:rsid w:val="00CE28AE"/>
    <w:rsid w:val="00CE2C6B"/>
    <w:rsid w:val="00CE3DDC"/>
    <w:rsid w:val="00CE63D2"/>
    <w:rsid w:val="00CE63EE"/>
    <w:rsid w:val="00CF0C85"/>
    <w:rsid w:val="00CF16FB"/>
    <w:rsid w:val="00CF2295"/>
    <w:rsid w:val="00CF2984"/>
    <w:rsid w:val="00CF3BDE"/>
    <w:rsid w:val="00D03068"/>
    <w:rsid w:val="00D051A6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307A6"/>
    <w:rsid w:val="00D31674"/>
    <w:rsid w:val="00D32586"/>
    <w:rsid w:val="00D3379D"/>
    <w:rsid w:val="00D3399A"/>
    <w:rsid w:val="00D36571"/>
    <w:rsid w:val="00D36C35"/>
    <w:rsid w:val="00D409E9"/>
    <w:rsid w:val="00D4169D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32C"/>
    <w:rsid w:val="00D5636C"/>
    <w:rsid w:val="00D574CA"/>
    <w:rsid w:val="00D57819"/>
    <w:rsid w:val="00D602E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4C82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6C9"/>
    <w:rsid w:val="00DC176F"/>
    <w:rsid w:val="00DC26D4"/>
    <w:rsid w:val="00DC2B1D"/>
    <w:rsid w:val="00DC2E54"/>
    <w:rsid w:val="00DC77AA"/>
    <w:rsid w:val="00DC7C51"/>
    <w:rsid w:val="00DD333E"/>
    <w:rsid w:val="00DD3BD5"/>
    <w:rsid w:val="00DD5783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055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2732"/>
    <w:rsid w:val="00E252EC"/>
    <w:rsid w:val="00E30F6A"/>
    <w:rsid w:val="00E31677"/>
    <w:rsid w:val="00E31786"/>
    <w:rsid w:val="00E317CA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243A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B2E"/>
    <w:rsid w:val="00E85E24"/>
    <w:rsid w:val="00E86231"/>
    <w:rsid w:val="00E8700F"/>
    <w:rsid w:val="00E873C2"/>
    <w:rsid w:val="00E90A54"/>
    <w:rsid w:val="00E921D6"/>
    <w:rsid w:val="00E92FAC"/>
    <w:rsid w:val="00E94B2B"/>
    <w:rsid w:val="00E9535F"/>
    <w:rsid w:val="00EA018D"/>
    <w:rsid w:val="00EA2CE4"/>
    <w:rsid w:val="00EA44AC"/>
    <w:rsid w:val="00EA48D0"/>
    <w:rsid w:val="00EA58B8"/>
    <w:rsid w:val="00EA6DCB"/>
    <w:rsid w:val="00EA7036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1DF8"/>
    <w:rsid w:val="00EC2DC9"/>
    <w:rsid w:val="00EC41AF"/>
    <w:rsid w:val="00EC4322"/>
    <w:rsid w:val="00EC64E4"/>
    <w:rsid w:val="00EC6521"/>
    <w:rsid w:val="00EC662D"/>
    <w:rsid w:val="00EC700C"/>
    <w:rsid w:val="00EC7528"/>
    <w:rsid w:val="00ED1BAF"/>
    <w:rsid w:val="00ED3892"/>
    <w:rsid w:val="00ED6FC5"/>
    <w:rsid w:val="00EE0505"/>
    <w:rsid w:val="00EE12A9"/>
    <w:rsid w:val="00EE1625"/>
    <w:rsid w:val="00EE2AF3"/>
    <w:rsid w:val="00EE55B2"/>
    <w:rsid w:val="00EE7898"/>
    <w:rsid w:val="00EE7DA9"/>
    <w:rsid w:val="00EF1283"/>
    <w:rsid w:val="00EF34D3"/>
    <w:rsid w:val="00EF3E19"/>
    <w:rsid w:val="00EF4936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1C62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6985"/>
    <w:rsid w:val="00F36A23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02B2"/>
    <w:rsid w:val="00F524CB"/>
    <w:rsid w:val="00F533DB"/>
    <w:rsid w:val="00F53D60"/>
    <w:rsid w:val="00F5458D"/>
    <w:rsid w:val="00F54F3A"/>
    <w:rsid w:val="00F6012E"/>
    <w:rsid w:val="00F60FA0"/>
    <w:rsid w:val="00F6137E"/>
    <w:rsid w:val="00F61833"/>
    <w:rsid w:val="00F6567A"/>
    <w:rsid w:val="00F659E1"/>
    <w:rsid w:val="00F6611A"/>
    <w:rsid w:val="00F663C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48CE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D6DD2"/>
    <w:rsid w:val="00FE0320"/>
    <w:rsid w:val="00FE0B0C"/>
    <w:rsid w:val="00FE110A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1FC6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35AB-A30A-4282-AA78-2058CCF2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6</Pages>
  <Words>1966</Words>
  <Characters>10628</Characters>
  <Application>Microsoft Office Word</Application>
  <DocSecurity>0</DocSecurity>
  <Lines>490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12529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74</cp:revision>
  <cp:lastPrinted>2010-05-04T03:47:00Z</cp:lastPrinted>
  <dcterms:created xsi:type="dcterms:W3CDTF">2019-09-17T20:44:00Z</dcterms:created>
  <dcterms:modified xsi:type="dcterms:W3CDTF">2019-11-12T19:35:00Z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e7d8595b-744e-4367-ac8f-16adbc5892a9</vt:lpwstr>
  </property>
  <property fmtid="{D5CDD505-2E9C-101B-9397-08002B2CF9AE}" pid="4" name="CTP_BU">
    <vt:lpwstr/>
  </property>
  <property fmtid="{D5CDD505-2E9C-101B-9397-08002B2CF9AE}" pid="5" name="CTP_TimeStamp">
    <vt:lpwstr>2019-11-12 19:35:10Z</vt:lpwstr>
  </property>
  <property fmtid="{D5CDD505-2E9C-101B-9397-08002B2CF9AE}" pid="6" name="CTPClassification">
    <vt:lpwstr>CTP_IC</vt:lpwstr>
  </property>
</Properties>
</file>