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30"/>
        <w:gridCol w:w="2160"/>
        <w:gridCol w:w="1710"/>
        <w:gridCol w:w="262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54397E7" w:rsidR="00C723BC" w:rsidRPr="00A30502" w:rsidRDefault="005A695A" w:rsidP="009E0735">
            <w:pPr>
              <w:pStyle w:val="T2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11ax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>Comment Resolution</w:t>
            </w:r>
            <w:r w:rsidR="00C563D1">
              <w:rPr>
                <w:lang w:eastAsia="ko-KR"/>
              </w:rPr>
              <w:t xml:space="preserve"> Misc.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80EDFF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43762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43762">
              <w:rPr>
                <w:b w:val="0"/>
                <w:sz w:val="20"/>
                <w:lang w:eastAsia="ko-KR"/>
              </w:rPr>
              <w:t>09-1</w:t>
            </w:r>
            <w:r w:rsidR="00A833FA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A30502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A30502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24EB7A4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530" w:type="dxa"/>
            <w:vAlign w:val="center"/>
          </w:tcPr>
          <w:p w14:paraId="5CFDDB6C" w14:textId="01E68E89" w:rsidR="00224957" w:rsidRPr="00A30502" w:rsidRDefault="00350A5B" w:rsidP="00224957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60" w:type="dxa"/>
            <w:vAlign w:val="center"/>
          </w:tcPr>
          <w:p w14:paraId="11D7B05A" w14:textId="6A7B0050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1A9538AD" w14:textId="355FAF2A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(+1) 408 543 3450</w:t>
            </w:r>
          </w:p>
        </w:tc>
        <w:tc>
          <w:tcPr>
            <w:tcW w:w="2628" w:type="dxa"/>
            <w:vAlign w:val="center"/>
          </w:tcPr>
          <w:p w14:paraId="69ABFF5D" w14:textId="629DB005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350A5B" w:rsidRPr="00183F4C" w14:paraId="1AEEB39A" w14:textId="77777777" w:rsidTr="00A30502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BC7F4E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530" w:type="dxa"/>
            <w:vAlign w:val="center"/>
          </w:tcPr>
          <w:p w14:paraId="06F86049" w14:textId="15F2100E" w:rsidR="00350A5B" w:rsidRPr="00A30502" w:rsidRDefault="00350A5B" w:rsidP="001A14ED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60" w:type="dxa"/>
            <w:vAlign w:val="center"/>
          </w:tcPr>
          <w:p w14:paraId="01928426" w14:textId="2C7F2C89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6CE45F0C" w14:textId="77D5633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101F46E0" w14:textId="00279E3C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Chunyu.hu@broadcom.com</w:t>
            </w:r>
          </w:p>
        </w:tc>
      </w:tr>
      <w:tr w:rsidR="00350A5B" w:rsidRPr="00183F4C" w14:paraId="30852115" w14:textId="77777777" w:rsidTr="00A30502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AEE0F55" w:rsidR="00350A5B" w:rsidRDefault="00350A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530" w:type="dxa"/>
            <w:vAlign w:val="center"/>
          </w:tcPr>
          <w:p w14:paraId="36B00EF2" w14:textId="154718D9" w:rsidR="00350A5B" w:rsidRPr="00A30502" w:rsidRDefault="00350A5B" w:rsidP="00CD607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60" w:type="dxa"/>
            <w:vAlign w:val="center"/>
          </w:tcPr>
          <w:p w14:paraId="1B3A2BE3" w14:textId="327C5974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21B2725E" w14:textId="77777777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55DA3DE3" w14:textId="49C284CE" w:rsidR="00350A5B" w:rsidRDefault="00350A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matthew.fischer@broadcom.com</w:t>
            </w: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C3AC1" w:rsidRDefault="001C3AC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76F6CDD7" w:rsidR="001C3AC1" w:rsidRDefault="001C3AC1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 xml:space="preserve">D4.3 with the following </w:t>
                            </w:r>
                            <w:r w:rsidR="00C563D1">
                              <w:rPr>
                                <w:rFonts w:eastAsia="SimSun" w:hint="eastAsia"/>
                                <w:lang w:eastAsia="zh-CN"/>
                              </w:rPr>
                              <w:t>CID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>20187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>20236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>21598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>21611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C563D1">
                              <w:rPr>
                                <w:rFonts w:ascii="Arial" w:hAnsi="Arial" w:cs="Arial"/>
                                <w:sz w:val="20"/>
                              </w:rPr>
                              <w:t>21616</w:t>
                            </w:r>
                          </w:p>
                          <w:p w14:paraId="49BEED2D" w14:textId="77777777" w:rsidR="001C3AC1" w:rsidRDefault="001C3AC1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C3AC1" w:rsidRDefault="001C3AC1" w:rsidP="006A40FB">
                            <w:pPr>
                              <w:jc w:val="both"/>
                            </w:pPr>
                          </w:p>
                          <w:p w14:paraId="08F6AC5D" w14:textId="77777777" w:rsidR="001C3AC1" w:rsidRDefault="001C3AC1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1C3AC1" w:rsidRDefault="001C3AC1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1C3AC1" w:rsidRDefault="001C3AC1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1C3AC1" w:rsidRDefault="001C3AC1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C3AC1" w:rsidRDefault="001C3AC1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1C3AC1" w:rsidRDefault="001C3AC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76F6CDD7" w:rsidR="001C3AC1" w:rsidRDefault="001C3AC1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 xml:space="preserve">D4.3 with the following </w:t>
                      </w:r>
                      <w:r w:rsidR="00C563D1">
                        <w:rPr>
                          <w:rFonts w:eastAsia="SimSun" w:hint="eastAsia"/>
                          <w:lang w:eastAsia="zh-CN"/>
                        </w:rPr>
                        <w:t>CID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>20187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>20236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>21598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>21611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="00C563D1">
                        <w:rPr>
                          <w:rFonts w:ascii="Arial" w:hAnsi="Arial" w:cs="Arial"/>
                          <w:sz w:val="20"/>
                        </w:rPr>
                        <w:t>21616</w:t>
                      </w:r>
                    </w:p>
                    <w:p w14:paraId="49BEED2D" w14:textId="77777777" w:rsidR="001C3AC1" w:rsidRDefault="001C3AC1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C3AC1" w:rsidRDefault="001C3AC1" w:rsidP="006A40FB">
                      <w:pPr>
                        <w:jc w:val="both"/>
                      </w:pPr>
                    </w:p>
                    <w:p w14:paraId="08F6AC5D" w14:textId="77777777" w:rsidR="001C3AC1" w:rsidRDefault="001C3AC1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1C3AC1" w:rsidRDefault="001C3AC1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1C3AC1" w:rsidRDefault="001C3AC1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1C3AC1" w:rsidRDefault="001C3AC1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C3AC1" w:rsidRDefault="001C3AC1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  <w:bookmarkStart w:id="0" w:name="_GoBack"/>
      <w:bookmarkEnd w:id="0"/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B13A84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87C71">
        <w:rPr>
          <w:lang w:eastAsia="ko-KR"/>
        </w:rPr>
        <w:t>3.2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77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924"/>
        <w:gridCol w:w="1170"/>
        <w:gridCol w:w="900"/>
        <w:gridCol w:w="2700"/>
        <w:gridCol w:w="1530"/>
        <w:gridCol w:w="2554"/>
      </w:tblGrid>
      <w:tr w:rsidR="00B149BD" w:rsidRPr="0043413E" w14:paraId="5DA65416" w14:textId="77777777" w:rsidTr="00B149BD">
        <w:trPr>
          <w:trHeight w:val="373"/>
        </w:trPr>
        <w:tc>
          <w:tcPr>
            <w:tcW w:w="924" w:type="dxa"/>
          </w:tcPr>
          <w:p w14:paraId="4CF35CFC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70" w:type="dxa"/>
          </w:tcPr>
          <w:p w14:paraId="38B7F90E" w14:textId="1AEB3328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14:paraId="45CCAF11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14:paraId="58650A19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54" w:type="dxa"/>
          </w:tcPr>
          <w:p w14:paraId="374142A4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149BD" w:rsidRPr="00DF4A52" w14:paraId="5E209500" w14:textId="77777777" w:rsidTr="00B149BD">
        <w:trPr>
          <w:trHeight w:val="1002"/>
        </w:trPr>
        <w:tc>
          <w:tcPr>
            <w:tcW w:w="924" w:type="dxa"/>
          </w:tcPr>
          <w:p w14:paraId="19F35FD0" w14:textId="6CC4C6E0" w:rsidR="00B149BD" w:rsidRPr="00A30502" w:rsidRDefault="00B149BD" w:rsidP="004638D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20187</w:t>
            </w:r>
          </w:p>
        </w:tc>
        <w:tc>
          <w:tcPr>
            <w:tcW w:w="1170" w:type="dxa"/>
          </w:tcPr>
          <w:p w14:paraId="6C032349" w14:textId="540E72EA" w:rsidR="00B149BD" w:rsidRPr="00553144" w:rsidRDefault="00B149BD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337.24</w:t>
            </w:r>
          </w:p>
        </w:tc>
        <w:tc>
          <w:tcPr>
            <w:tcW w:w="900" w:type="dxa"/>
          </w:tcPr>
          <w:p w14:paraId="4F6D8DF2" w14:textId="495B5871" w:rsidR="00B149BD" w:rsidRPr="00553144" w:rsidRDefault="00B149BD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26.5.3.4</w:t>
            </w:r>
          </w:p>
        </w:tc>
        <w:tc>
          <w:tcPr>
            <w:tcW w:w="2700" w:type="dxa"/>
          </w:tcPr>
          <w:p w14:paraId="38EB6271" w14:textId="505CD44C" w:rsidR="00B149BD" w:rsidRPr="00553144" w:rsidRDefault="00B149BD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scenario described in "If the associated non-AP STA has no frames pending or is unable to include pending frames in response to a</w:t>
            </w:r>
            <w:r>
              <w:rPr>
                <w:rFonts w:ascii="Arial" w:hAnsi="Arial" w:cs="Arial"/>
                <w:sz w:val="20"/>
              </w:rPr>
              <w:br/>
              <w:t>Basic Trigger frame because the allocated resource is insufficient, then the associated non-AP STA shall</w:t>
            </w:r>
            <w:r>
              <w:rPr>
                <w:rFonts w:ascii="Arial" w:hAnsi="Arial" w:cs="Arial"/>
                <w:sz w:val="20"/>
              </w:rPr>
              <w:br/>
              <w:t xml:space="preserve">include in the A-MPDU at least one </w:t>
            </w:r>
            <w:proofErr w:type="spellStart"/>
            <w:r>
              <w:rPr>
                <w:rFonts w:ascii="Arial" w:hAnsi="Arial" w:cs="Arial"/>
                <w:sz w:val="20"/>
              </w:rPr>
              <w:t>QoS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Null frame.", AP is lack of information to figure out minimum resource. AP can guess or allocate maximum resource but it </w:t>
            </w:r>
            <w:proofErr w:type="spellStart"/>
            <w:r>
              <w:rPr>
                <w:rFonts w:ascii="Arial" w:hAnsi="Arial" w:cs="Arial"/>
                <w:sz w:val="20"/>
              </w:rPr>
              <w:t>incurrs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overhead/delay to do it heuristically.</w:t>
            </w:r>
          </w:p>
        </w:tc>
        <w:tc>
          <w:tcPr>
            <w:tcW w:w="1530" w:type="dxa"/>
          </w:tcPr>
          <w:p w14:paraId="392C679C" w14:textId="14493B02" w:rsidR="00B149BD" w:rsidRPr="00EF3960" w:rsidRDefault="00B149BD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Introduce an explicit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mechanism to tell AP minimum resource, e.g. add an A-control field to specify current minimum buffer size. The non-AP STA can respond with this info in the </w:t>
            </w:r>
            <w:proofErr w:type="spellStart"/>
            <w:r>
              <w:rPr>
                <w:rFonts w:ascii="Arial" w:hAnsi="Arial" w:cs="Arial"/>
                <w:sz w:val="20"/>
              </w:rPr>
              <w:t>QoS</w:t>
            </w:r>
            <w:proofErr w:type="spellEnd"/>
            <w:r>
              <w:rPr>
                <w:rFonts w:ascii="Arial" w:hAnsi="Arial" w:cs="Arial"/>
                <w:sz w:val="20"/>
              </w:rPr>
              <w:t>-null frame. AP would adjust resource allocation in next trigger frame immediately.</w:t>
            </w:r>
          </w:p>
        </w:tc>
        <w:tc>
          <w:tcPr>
            <w:tcW w:w="2554" w:type="dxa"/>
          </w:tcPr>
          <w:p w14:paraId="2D7EE744" w14:textId="77777777" w:rsidR="00B149BD" w:rsidRDefault="001C3AC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-Rejected</w:t>
            </w:r>
          </w:p>
          <w:p w14:paraId="20BD4093" w14:textId="77777777" w:rsidR="001C3AC1" w:rsidRDefault="001C3AC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78FAE59" w14:textId="255DFCEE" w:rsidR="001C3AC1" w:rsidRPr="00EF3960" w:rsidRDefault="00A943F5" w:rsidP="00A943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sufficient details are provided. </w:t>
            </w:r>
          </w:p>
        </w:tc>
      </w:tr>
      <w:tr w:rsidR="00DF7590" w:rsidRPr="00DF4A52" w14:paraId="56E13013" w14:textId="77777777" w:rsidTr="00B149BD">
        <w:trPr>
          <w:trHeight w:val="1002"/>
        </w:trPr>
        <w:tc>
          <w:tcPr>
            <w:tcW w:w="924" w:type="dxa"/>
          </w:tcPr>
          <w:p w14:paraId="14ED7424" w14:textId="787AF95C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20236</w:t>
            </w:r>
          </w:p>
        </w:tc>
        <w:tc>
          <w:tcPr>
            <w:tcW w:w="1170" w:type="dxa"/>
          </w:tcPr>
          <w:p w14:paraId="748D4997" w14:textId="62F785D8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386.39</w:t>
            </w:r>
          </w:p>
        </w:tc>
        <w:tc>
          <w:tcPr>
            <w:tcW w:w="900" w:type="dxa"/>
          </w:tcPr>
          <w:p w14:paraId="6B4D0EC1" w14:textId="4CD6A5DB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26.8.7.2</w:t>
            </w:r>
          </w:p>
        </w:tc>
        <w:tc>
          <w:tcPr>
            <w:tcW w:w="2700" w:type="dxa"/>
          </w:tcPr>
          <w:p w14:paraId="063BE758" w14:textId="61A59C19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SST STAs To Receive Beacons &amp; Broadcast/</w:t>
            </w:r>
            <w:proofErr w:type="spellStart"/>
            <w:r>
              <w:rPr>
                <w:rFonts w:ascii="Arial" w:hAnsi="Arial" w:cs="Arial"/>
                <w:sz w:val="20"/>
              </w:rPr>
              <w:t>mcast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frames while stay in the secondary channel</w:t>
            </w:r>
          </w:p>
        </w:tc>
        <w:tc>
          <w:tcPr>
            <w:tcW w:w="1530" w:type="dxa"/>
          </w:tcPr>
          <w:p w14:paraId="4326DDBB" w14:textId="2962473F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optional rules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1. AP sends beacons and broadcast/</w:t>
            </w:r>
            <w:proofErr w:type="spellStart"/>
            <w:r>
              <w:rPr>
                <w:rFonts w:ascii="Arial" w:hAnsi="Arial" w:cs="Arial"/>
                <w:sz w:val="20"/>
              </w:rPr>
              <w:t>mcast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frames using non-HT-dup PPDU with non-HT-dup BW covers the secondary channels where SST STAs are scheduled.</w:t>
            </w:r>
          </w:p>
        </w:tc>
        <w:tc>
          <w:tcPr>
            <w:tcW w:w="2554" w:type="dxa"/>
          </w:tcPr>
          <w:p w14:paraId="241E36BD" w14:textId="77777777" w:rsidR="00DF7590" w:rsidRDefault="00B0594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-Rejected</w:t>
            </w:r>
          </w:p>
          <w:p w14:paraId="1F12F8EA" w14:textId="77777777" w:rsidR="009E5AEE" w:rsidRDefault="009E5AEE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60306E7" w14:textId="726891B3" w:rsidR="00B0594A" w:rsidRDefault="00F44D4E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sufficient details are provided. </w:t>
            </w:r>
          </w:p>
          <w:p w14:paraId="451522B4" w14:textId="548AC828" w:rsidR="00B0594A" w:rsidRPr="00EF3960" w:rsidRDefault="00B0594A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DF7590" w:rsidRPr="00DF4A52" w14:paraId="734F78D9" w14:textId="77777777" w:rsidTr="00B149BD">
        <w:trPr>
          <w:trHeight w:val="1002"/>
        </w:trPr>
        <w:tc>
          <w:tcPr>
            <w:tcW w:w="924" w:type="dxa"/>
          </w:tcPr>
          <w:p w14:paraId="5ADA4A38" w14:textId="3626B538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21598</w:t>
            </w:r>
          </w:p>
        </w:tc>
        <w:tc>
          <w:tcPr>
            <w:tcW w:w="1170" w:type="dxa"/>
          </w:tcPr>
          <w:p w14:paraId="035E1D6A" w14:textId="5C5FC2D9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337.24</w:t>
            </w:r>
          </w:p>
        </w:tc>
        <w:tc>
          <w:tcPr>
            <w:tcW w:w="900" w:type="dxa"/>
          </w:tcPr>
          <w:p w14:paraId="4C9B2188" w14:textId="60C2D4B3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26.5.3.4</w:t>
            </w:r>
          </w:p>
        </w:tc>
        <w:tc>
          <w:tcPr>
            <w:tcW w:w="2700" w:type="dxa"/>
          </w:tcPr>
          <w:p w14:paraId="766236D2" w14:textId="2D66B703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scenario described in "If the associated non-AP STA has no frames pending or is unable to include pending frames in response to a</w:t>
            </w:r>
            <w:r>
              <w:rPr>
                <w:rFonts w:ascii="Arial" w:hAnsi="Arial" w:cs="Arial"/>
                <w:sz w:val="20"/>
              </w:rPr>
              <w:br/>
              <w:t>Basic Trigger frame because the allocated resource is insufficient, then the associated non-AP STA shall</w:t>
            </w:r>
            <w:r>
              <w:rPr>
                <w:rFonts w:ascii="Arial" w:hAnsi="Arial" w:cs="Arial"/>
                <w:sz w:val="20"/>
              </w:rPr>
              <w:br/>
              <w:t xml:space="preserve">include in the A-MPDU at least one </w:t>
            </w:r>
            <w:proofErr w:type="spellStart"/>
            <w:r>
              <w:rPr>
                <w:rFonts w:ascii="Arial" w:hAnsi="Arial" w:cs="Arial"/>
                <w:sz w:val="20"/>
              </w:rPr>
              <w:t>QoS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Null frame.", AP is lack of information to figure out minimum resource. AP can guess or allocate maximum resource but it </w:t>
            </w:r>
            <w:proofErr w:type="spellStart"/>
            <w:r>
              <w:rPr>
                <w:rFonts w:ascii="Arial" w:hAnsi="Arial" w:cs="Arial"/>
                <w:sz w:val="20"/>
              </w:rPr>
              <w:t>incurrs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overhead/delay to do it heuristically.</w:t>
            </w:r>
          </w:p>
        </w:tc>
        <w:tc>
          <w:tcPr>
            <w:tcW w:w="1530" w:type="dxa"/>
          </w:tcPr>
          <w:p w14:paraId="30DDFD04" w14:textId="5887BBB7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Introduce an explicit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mechanism to tell AP minimum resource, e.g. add an A-control field to specify current minimum buffer size. The non-AP STA can respond with this info in the </w:t>
            </w:r>
            <w:proofErr w:type="spellStart"/>
            <w:r>
              <w:rPr>
                <w:rFonts w:ascii="Arial" w:hAnsi="Arial" w:cs="Arial"/>
                <w:sz w:val="20"/>
              </w:rPr>
              <w:t>QoS</w:t>
            </w:r>
            <w:proofErr w:type="spellEnd"/>
            <w:r>
              <w:rPr>
                <w:rFonts w:ascii="Arial" w:hAnsi="Arial" w:cs="Arial"/>
                <w:sz w:val="20"/>
              </w:rPr>
              <w:t>-null frame. AP would adjust resource allocation in next trigger frame immediately.</w:t>
            </w:r>
          </w:p>
        </w:tc>
        <w:tc>
          <w:tcPr>
            <w:tcW w:w="2554" w:type="dxa"/>
          </w:tcPr>
          <w:p w14:paraId="247B1D79" w14:textId="77777777" w:rsidR="009E5AEE" w:rsidRDefault="009E5AEE" w:rsidP="009E5A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-Rejected</w:t>
            </w:r>
          </w:p>
          <w:p w14:paraId="22265F09" w14:textId="77777777" w:rsidR="009E5AEE" w:rsidRDefault="009E5AEE" w:rsidP="009E5A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F405D7E" w14:textId="1457539A" w:rsidR="00DF7590" w:rsidRPr="00EF3960" w:rsidRDefault="00F44D4E" w:rsidP="009E5A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sufficient details are provided.</w:t>
            </w:r>
          </w:p>
        </w:tc>
      </w:tr>
      <w:tr w:rsidR="00DF7590" w:rsidRPr="00DF4A52" w14:paraId="06EAD1B1" w14:textId="77777777" w:rsidTr="00B149BD">
        <w:trPr>
          <w:trHeight w:val="1002"/>
        </w:trPr>
        <w:tc>
          <w:tcPr>
            <w:tcW w:w="924" w:type="dxa"/>
          </w:tcPr>
          <w:p w14:paraId="40F1641C" w14:textId="002A609F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21611</w:t>
            </w:r>
          </w:p>
        </w:tc>
        <w:tc>
          <w:tcPr>
            <w:tcW w:w="1170" w:type="dxa"/>
          </w:tcPr>
          <w:p w14:paraId="079A5646" w14:textId="6B3D1B58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75.53</w:t>
            </w:r>
          </w:p>
        </w:tc>
        <w:tc>
          <w:tcPr>
            <w:tcW w:w="900" w:type="dxa"/>
          </w:tcPr>
          <w:p w14:paraId="46EC7593" w14:textId="48197557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9.2.4.6a</w:t>
            </w:r>
          </w:p>
        </w:tc>
        <w:tc>
          <w:tcPr>
            <w:tcW w:w="2700" w:type="dxa"/>
          </w:tcPr>
          <w:p w14:paraId="78676071" w14:textId="7D02A1AE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AP transmits basic trigger frame to non-AP STA, if the RU size (considering HE TB PPDU length )is not sufficient for the STA to transmit the head of </w:t>
            </w:r>
            <w:proofErr w:type="spellStart"/>
            <w:r>
              <w:rPr>
                <w:rFonts w:ascii="Arial" w:hAnsi="Arial" w:cs="Arial"/>
                <w:sz w:val="20"/>
              </w:rPr>
              <w:t>fifo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frame, then the frame will be blocked and there is no way for the STA to inform the AP this </w:t>
            </w:r>
            <w:proofErr w:type="spellStart"/>
            <w:r>
              <w:rPr>
                <w:rFonts w:ascii="Arial" w:hAnsi="Arial" w:cs="Arial"/>
                <w:sz w:val="20"/>
              </w:rPr>
              <w:t>siuation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happening. The current BSR only inform the Queue size. </w:t>
            </w:r>
            <w:proofErr w:type="gramStart"/>
            <w:r>
              <w:rPr>
                <w:rFonts w:ascii="Arial" w:hAnsi="Arial" w:cs="Arial"/>
                <w:sz w:val="20"/>
              </w:rPr>
              <w:t>i.e</w:t>
            </w:r>
            <w:proofErr w:type="gramEnd"/>
            <w:r>
              <w:rPr>
                <w:rFonts w:ascii="Arial" w:hAnsi="Arial" w:cs="Arial"/>
                <w:sz w:val="20"/>
              </w:rPr>
              <w:t>. the accumulated frame size. Need a mechanism to address the above mentioned issue.</w:t>
            </w:r>
          </w:p>
        </w:tc>
        <w:tc>
          <w:tcPr>
            <w:tcW w:w="1530" w:type="dxa"/>
          </w:tcPr>
          <w:p w14:paraId="30EBB94D" w14:textId="78FD47A2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stated in the comment.</w:t>
            </w:r>
          </w:p>
        </w:tc>
        <w:tc>
          <w:tcPr>
            <w:tcW w:w="2554" w:type="dxa"/>
          </w:tcPr>
          <w:p w14:paraId="0BB0F428" w14:textId="77777777" w:rsidR="009E5AEE" w:rsidRDefault="009E5AEE" w:rsidP="009E5A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-Rejected</w:t>
            </w:r>
          </w:p>
          <w:p w14:paraId="1E934D65" w14:textId="77777777" w:rsidR="009E5AEE" w:rsidRDefault="009E5AEE" w:rsidP="009E5A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E308853" w14:textId="26D07C23" w:rsidR="00DF7590" w:rsidRPr="00EF3960" w:rsidRDefault="00F44D4E" w:rsidP="009E5A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sufficient details are provided.</w:t>
            </w:r>
          </w:p>
        </w:tc>
      </w:tr>
      <w:tr w:rsidR="00DF7590" w:rsidRPr="00DF4A52" w14:paraId="08EF5DAA" w14:textId="77777777" w:rsidTr="00B149BD">
        <w:trPr>
          <w:trHeight w:val="1002"/>
        </w:trPr>
        <w:tc>
          <w:tcPr>
            <w:tcW w:w="924" w:type="dxa"/>
          </w:tcPr>
          <w:p w14:paraId="32696C22" w14:textId="6055115F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21616</w:t>
            </w:r>
          </w:p>
        </w:tc>
        <w:tc>
          <w:tcPr>
            <w:tcW w:w="1170" w:type="dxa"/>
          </w:tcPr>
          <w:p w14:paraId="11661AA3" w14:textId="3A88520A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525.01</w:t>
            </w:r>
          </w:p>
        </w:tc>
        <w:tc>
          <w:tcPr>
            <w:tcW w:w="900" w:type="dxa"/>
          </w:tcPr>
          <w:p w14:paraId="1518A13B" w14:textId="1AC00C06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27.3.10.7</w:t>
            </w:r>
          </w:p>
        </w:tc>
        <w:tc>
          <w:tcPr>
            <w:tcW w:w="2700" w:type="dxa"/>
          </w:tcPr>
          <w:p w14:paraId="6CEE08E2" w14:textId="5499F31B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Draft 4.0 already supports AP schedule two or more 80MHz STA to receive 160 MHz PPDU during a TWT session. Adding PHY details for SIG A and SIG B design.</w:t>
            </w:r>
          </w:p>
        </w:tc>
        <w:tc>
          <w:tcPr>
            <w:tcW w:w="1530" w:type="dxa"/>
          </w:tcPr>
          <w:p w14:paraId="02D7A5A4" w14:textId="3110441A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stated in the comment.</w:t>
            </w:r>
          </w:p>
        </w:tc>
        <w:tc>
          <w:tcPr>
            <w:tcW w:w="2554" w:type="dxa"/>
          </w:tcPr>
          <w:p w14:paraId="553794E5" w14:textId="77777777" w:rsidR="009E5AEE" w:rsidRDefault="009E5AEE" w:rsidP="009E5A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-Rejected</w:t>
            </w:r>
          </w:p>
          <w:p w14:paraId="693DDFFC" w14:textId="77777777" w:rsidR="00DF7590" w:rsidRDefault="00DF7590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5FA2878" w14:textId="0817FD8E" w:rsidR="00661FCE" w:rsidRPr="00EF3960" w:rsidRDefault="00F44D4E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sufficient details are provided.</w:t>
            </w:r>
          </w:p>
        </w:tc>
      </w:tr>
    </w:tbl>
    <w:p w14:paraId="23DC161F" w14:textId="62996335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680666D2" w14:textId="77777777" w:rsidR="00361027" w:rsidRDefault="00361027" w:rsidP="003E1A2F">
      <w:pPr>
        <w:rPr>
          <w:i/>
          <w:u w:val="single"/>
        </w:rPr>
      </w:pPr>
    </w:p>
    <w:p w14:paraId="4660CB3B" w14:textId="77777777" w:rsidR="00391ED9" w:rsidRDefault="00391ED9" w:rsidP="004D34B0">
      <w:pPr>
        <w:rPr>
          <w:b/>
          <w:bCs/>
          <w:sz w:val="20"/>
        </w:rPr>
      </w:pPr>
    </w:p>
    <w:p w14:paraId="01BE62B6" w14:textId="3CDFAE0B" w:rsidR="00391ED9" w:rsidRPr="00361027" w:rsidRDefault="00391ED9" w:rsidP="00391ED9">
      <w:pPr>
        <w:rPr>
          <w:b/>
          <w:i/>
          <w:sz w:val="24"/>
          <w:lang w:val="en-US"/>
        </w:rPr>
      </w:pPr>
      <w:proofErr w:type="spellStart"/>
      <w:r w:rsidRPr="00361027">
        <w:rPr>
          <w:b/>
          <w:i/>
          <w:sz w:val="24"/>
          <w:highlight w:val="yellow"/>
          <w:lang w:val="en-US"/>
        </w:rPr>
        <w:t>TGax</w:t>
      </w:r>
      <w:proofErr w:type="spellEnd"/>
      <w:r w:rsidRPr="00361027">
        <w:rPr>
          <w:b/>
          <w:i/>
          <w:sz w:val="24"/>
          <w:highlight w:val="yellow"/>
          <w:lang w:val="en-US"/>
        </w:rPr>
        <w:t xml:space="preserve"> editor:</w:t>
      </w:r>
      <w:r w:rsidR="00DF7590">
        <w:rPr>
          <w:b/>
          <w:i/>
          <w:sz w:val="24"/>
          <w:highlight w:val="yellow"/>
          <w:lang w:val="en-US"/>
        </w:rPr>
        <w:t xml:space="preserve"> no changes are required for the spec </w:t>
      </w:r>
      <w:proofErr w:type="gramStart"/>
      <w:r w:rsidR="00DF7590">
        <w:rPr>
          <w:b/>
          <w:i/>
          <w:sz w:val="24"/>
          <w:highlight w:val="yellow"/>
          <w:lang w:val="en-US"/>
        </w:rPr>
        <w:t>text</w:t>
      </w:r>
      <w:r w:rsidRPr="00361027">
        <w:rPr>
          <w:b/>
          <w:i/>
          <w:sz w:val="24"/>
          <w:highlight w:val="yellow"/>
          <w:lang w:val="en-US"/>
        </w:rPr>
        <w:t xml:space="preserve"> .</w:t>
      </w:r>
      <w:proofErr w:type="gramEnd"/>
    </w:p>
    <w:p w14:paraId="5A9E0537" w14:textId="77777777" w:rsidR="00D15126" w:rsidRPr="00391ED9" w:rsidRDefault="00D15126" w:rsidP="004D34B0">
      <w:pPr>
        <w:rPr>
          <w:b/>
          <w:bCs/>
          <w:sz w:val="20"/>
          <w:lang w:val="en-US"/>
        </w:rPr>
      </w:pPr>
    </w:p>
    <w:p w14:paraId="5AFB87D8" w14:textId="77777777" w:rsidR="00A30502" w:rsidRPr="00DF7590" w:rsidRDefault="00A30502" w:rsidP="00A30502">
      <w:pPr>
        <w:rPr>
          <w:rFonts w:eastAsia="SimSun"/>
          <w:sz w:val="20"/>
          <w:lang w:val="en-US" w:eastAsia="zh-CN"/>
        </w:rPr>
      </w:pPr>
    </w:p>
    <w:p w14:paraId="018EB116" w14:textId="77777777" w:rsidR="00361027" w:rsidRPr="00FE501F" w:rsidRDefault="00361027" w:rsidP="00361027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3BD1FAC8" w14:textId="77777777" w:rsidR="00361027" w:rsidRPr="00BB6084" w:rsidRDefault="00361027" w:rsidP="00B86289">
      <w:pPr>
        <w:ind w:left="360"/>
        <w:rPr>
          <w:rFonts w:eastAsia="SimSun"/>
          <w:sz w:val="20"/>
          <w:lang w:eastAsia="zh-CN"/>
        </w:rPr>
      </w:pPr>
    </w:p>
    <w:sectPr w:rsidR="00361027" w:rsidRPr="00BB6084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B16BB3" w15:done="0"/>
  <w15:commentEx w15:paraId="1E7E35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B16BB3" w16cid:durableId="1F940D48"/>
  <w16cid:commentId w16cid:paraId="1E7E3578" w16cid:durableId="1F940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4AEF4" w14:textId="77777777" w:rsidR="00A03995" w:rsidRDefault="00A03995">
      <w:r>
        <w:separator/>
      </w:r>
    </w:p>
  </w:endnote>
  <w:endnote w:type="continuationSeparator" w:id="0">
    <w:p w14:paraId="33BF372E" w14:textId="77777777" w:rsidR="00A03995" w:rsidRDefault="00A0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AEC6" w14:textId="07EE3D23" w:rsidR="001C3AC1" w:rsidRDefault="001C3A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44D4E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ko-KR"/>
      </w:rPr>
      <w:t>Zhou Lan etc</w:t>
    </w:r>
    <w:proofErr w:type="gramStart"/>
    <w:r>
      <w:rPr>
        <w:lang w:eastAsia="ko-KR"/>
      </w:rPr>
      <w:t>. ,</w:t>
    </w:r>
    <w:proofErr w:type="gramEnd"/>
    <w:r>
      <w:rPr>
        <w:lang w:eastAsia="ko-KR"/>
      </w:rPr>
      <w:t xml:space="preserve"> Broadcom Inc.</w:t>
    </w:r>
  </w:p>
  <w:p w14:paraId="6528C5E2" w14:textId="77777777" w:rsidR="001C3AC1" w:rsidRDefault="001C3A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6DCB1" w14:textId="77777777" w:rsidR="00A03995" w:rsidRDefault="00A03995">
      <w:r>
        <w:separator/>
      </w:r>
    </w:p>
  </w:footnote>
  <w:footnote w:type="continuationSeparator" w:id="0">
    <w:p w14:paraId="616782EA" w14:textId="77777777" w:rsidR="00A03995" w:rsidRDefault="00A0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6BC7" w14:textId="20301745" w:rsidR="001C3AC1" w:rsidRDefault="0034376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eastAsia="SimSun"/>
        <w:lang w:eastAsia="zh-CN"/>
      </w:rPr>
      <w:t>Sep</w:t>
    </w:r>
    <w:r w:rsidR="001C3AC1">
      <w:rPr>
        <w:rFonts w:eastAsia="SimSun" w:hint="eastAsia"/>
        <w:lang w:eastAsia="zh-CN"/>
      </w:rPr>
      <w:t>.</w:t>
    </w:r>
    <w:r w:rsidR="001C3AC1">
      <w:rPr>
        <w:lang w:eastAsia="ko-KR"/>
      </w:rPr>
      <w:t xml:space="preserve"> </w:t>
    </w:r>
    <w:r w:rsidR="001C3AC1">
      <w:t>201</w:t>
    </w:r>
    <w:r>
      <w:rPr>
        <w:lang w:eastAsia="ko-KR"/>
      </w:rPr>
      <w:t>9</w:t>
    </w:r>
    <w:r w:rsidR="001C3AC1">
      <w:tab/>
    </w:r>
    <w:r w:rsidR="001C3AC1">
      <w:tab/>
    </w:r>
    <w:fldSimple w:instr=" TITLE  \* MERGEFORMAT ">
      <w:r w:rsidR="001C3AC1">
        <w:t>do</w:t>
      </w:r>
      <w:r>
        <w:t>c.: IEEE 802.11-18/1655</w:t>
      </w:r>
      <w:r w:rsidR="001C3AC1">
        <w:t>r</w:t>
      </w:r>
    </w:fldSimple>
    <w:r w:rsidR="00F44D4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5B5"/>
    <w:multiLevelType w:val="hybridMultilevel"/>
    <w:tmpl w:val="3E3CE1B2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1112"/>
    <w:multiLevelType w:val="hybridMultilevel"/>
    <w:tmpl w:val="703E6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6180D"/>
    <w:multiLevelType w:val="hybridMultilevel"/>
    <w:tmpl w:val="A42E239A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D1BA3"/>
    <w:multiLevelType w:val="hybridMultilevel"/>
    <w:tmpl w:val="E90C2E94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3.1.23.4 "/>
        <w:legacy w:legacy="1" w:legacySpace="0" w:legacyIndent="0"/>
        <w:lvlJc w:val="left"/>
        <w:pPr>
          <w:ind w:left="20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7.11.5 "/>
        <w:legacy w:legacy="1" w:legacySpace="0" w:legacyIndent="0"/>
        <w:lvlJc w:val="left"/>
        <w:pPr>
          <w:ind w:left="19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7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2"/>
  </w:num>
  <w:num w:numId="42">
    <w:abstractNumId w:val="7"/>
  </w:num>
  <w:num w:numId="43">
    <w:abstractNumId w:val="6"/>
  </w:num>
  <w:num w:numId="44">
    <w:abstractNumId w:val="4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42B"/>
    <w:rsid w:val="000045FA"/>
    <w:rsid w:val="00004A17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377"/>
    <w:rsid w:val="000359F2"/>
    <w:rsid w:val="000368C8"/>
    <w:rsid w:val="00037D1D"/>
    <w:rsid w:val="000405C4"/>
    <w:rsid w:val="00041260"/>
    <w:rsid w:val="00041F7D"/>
    <w:rsid w:val="000437A5"/>
    <w:rsid w:val="000442DA"/>
    <w:rsid w:val="000458EA"/>
    <w:rsid w:val="00046AD7"/>
    <w:rsid w:val="0004715B"/>
    <w:rsid w:val="00047A89"/>
    <w:rsid w:val="000510CE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014A"/>
    <w:rsid w:val="000A2B07"/>
    <w:rsid w:val="000A2C67"/>
    <w:rsid w:val="000A73C5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31D"/>
    <w:rsid w:val="000E0494"/>
    <w:rsid w:val="000E1C37"/>
    <w:rsid w:val="000E1D7B"/>
    <w:rsid w:val="000E4B15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0376"/>
    <w:rsid w:val="001508E2"/>
    <w:rsid w:val="00151BBE"/>
    <w:rsid w:val="00154B26"/>
    <w:rsid w:val="001559BB"/>
    <w:rsid w:val="00160CFE"/>
    <w:rsid w:val="0016120D"/>
    <w:rsid w:val="00164D46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3AC1"/>
    <w:rsid w:val="001C7CCE"/>
    <w:rsid w:val="001D15ED"/>
    <w:rsid w:val="001D328B"/>
    <w:rsid w:val="001D4A22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0F6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6365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16A"/>
    <w:rsid w:val="002617A4"/>
    <w:rsid w:val="00261940"/>
    <w:rsid w:val="00262549"/>
    <w:rsid w:val="0026293A"/>
    <w:rsid w:val="00262DFD"/>
    <w:rsid w:val="00263092"/>
    <w:rsid w:val="002662A5"/>
    <w:rsid w:val="00267B57"/>
    <w:rsid w:val="0027263C"/>
    <w:rsid w:val="00273257"/>
    <w:rsid w:val="002733C3"/>
    <w:rsid w:val="00273C16"/>
    <w:rsid w:val="00274BC1"/>
    <w:rsid w:val="002771CF"/>
    <w:rsid w:val="00277F6F"/>
    <w:rsid w:val="0028160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399D"/>
    <w:rsid w:val="00294B37"/>
    <w:rsid w:val="00296543"/>
    <w:rsid w:val="0029784E"/>
    <w:rsid w:val="002A195C"/>
    <w:rsid w:val="002A40FE"/>
    <w:rsid w:val="002A4A61"/>
    <w:rsid w:val="002A66F4"/>
    <w:rsid w:val="002B144B"/>
    <w:rsid w:val="002B3C00"/>
    <w:rsid w:val="002B4CFD"/>
    <w:rsid w:val="002B5C8F"/>
    <w:rsid w:val="002B75C7"/>
    <w:rsid w:val="002C0375"/>
    <w:rsid w:val="002C3CD7"/>
    <w:rsid w:val="002C3FFD"/>
    <w:rsid w:val="002C527F"/>
    <w:rsid w:val="002C61FC"/>
    <w:rsid w:val="002C64B6"/>
    <w:rsid w:val="002C66AA"/>
    <w:rsid w:val="002C6B4F"/>
    <w:rsid w:val="002C6DC6"/>
    <w:rsid w:val="002C72E1"/>
    <w:rsid w:val="002D1D40"/>
    <w:rsid w:val="002D36DC"/>
    <w:rsid w:val="002D4629"/>
    <w:rsid w:val="002D518F"/>
    <w:rsid w:val="002D62B2"/>
    <w:rsid w:val="002D7ED5"/>
    <w:rsid w:val="002E1B18"/>
    <w:rsid w:val="002E39A2"/>
    <w:rsid w:val="002E46D8"/>
    <w:rsid w:val="002E6043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1B5D"/>
    <w:rsid w:val="00332B0D"/>
    <w:rsid w:val="00333442"/>
    <w:rsid w:val="00334365"/>
    <w:rsid w:val="00334577"/>
    <w:rsid w:val="00336337"/>
    <w:rsid w:val="0034133D"/>
    <w:rsid w:val="00342736"/>
    <w:rsid w:val="00343762"/>
    <w:rsid w:val="003449F9"/>
    <w:rsid w:val="00346804"/>
    <w:rsid w:val="003479E4"/>
    <w:rsid w:val="00347C43"/>
    <w:rsid w:val="00350A5B"/>
    <w:rsid w:val="003546AD"/>
    <w:rsid w:val="00354A2D"/>
    <w:rsid w:val="00355D12"/>
    <w:rsid w:val="00356128"/>
    <w:rsid w:val="00360C87"/>
    <w:rsid w:val="00361027"/>
    <w:rsid w:val="0036285A"/>
    <w:rsid w:val="00362D38"/>
    <w:rsid w:val="003659ED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1ED9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3F78B1"/>
    <w:rsid w:val="004014AE"/>
    <w:rsid w:val="00403645"/>
    <w:rsid w:val="00404851"/>
    <w:rsid w:val="004051EE"/>
    <w:rsid w:val="00406BF5"/>
    <w:rsid w:val="00407339"/>
    <w:rsid w:val="0040735F"/>
    <w:rsid w:val="00407C5B"/>
    <w:rsid w:val="00421159"/>
    <w:rsid w:val="00421779"/>
    <w:rsid w:val="00424C67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21DD"/>
    <w:rsid w:val="004536A9"/>
    <w:rsid w:val="00456877"/>
    <w:rsid w:val="00457028"/>
    <w:rsid w:val="00457FA3"/>
    <w:rsid w:val="00462172"/>
    <w:rsid w:val="004624A3"/>
    <w:rsid w:val="0046311B"/>
    <w:rsid w:val="004638D6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4FF0"/>
    <w:rsid w:val="004B50E4"/>
    <w:rsid w:val="004C00FE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3CC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3FAD"/>
    <w:rsid w:val="00515091"/>
    <w:rsid w:val="00517ED6"/>
    <w:rsid w:val="00520957"/>
    <w:rsid w:val="00520B8C"/>
    <w:rsid w:val="00520DA4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1E5F"/>
    <w:rsid w:val="00553144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23B6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A69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16B9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9A"/>
    <w:rsid w:val="006548B7"/>
    <w:rsid w:val="00654B3B"/>
    <w:rsid w:val="0065586F"/>
    <w:rsid w:val="00656882"/>
    <w:rsid w:val="00657DBD"/>
    <w:rsid w:val="0066149B"/>
    <w:rsid w:val="00661FCE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385"/>
    <w:rsid w:val="006B6558"/>
    <w:rsid w:val="006C0178"/>
    <w:rsid w:val="006C05D0"/>
    <w:rsid w:val="006C063A"/>
    <w:rsid w:val="006C068E"/>
    <w:rsid w:val="006C08C2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63A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4CBC"/>
    <w:rsid w:val="006F6897"/>
    <w:rsid w:val="0070058B"/>
    <w:rsid w:val="00702926"/>
    <w:rsid w:val="007043EB"/>
    <w:rsid w:val="00704B80"/>
    <w:rsid w:val="0070635E"/>
    <w:rsid w:val="00707A74"/>
    <w:rsid w:val="00710C4A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3933"/>
    <w:rsid w:val="0075603B"/>
    <w:rsid w:val="00756A8A"/>
    <w:rsid w:val="0076196C"/>
    <w:rsid w:val="00763249"/>
    <w:rsid w:val="00763833"/>
    <w:rsid w:val="007652BB"/>
    <w:rsid w:val="00766B1A"/>
    <w:rsid w:val="00766DFE"/>
    <w:rsid w:val="0077098A"/>
    <w:rsid w:val="00773360"/>
    <w:rsid w:val="00773924"/>
    <w:rsid w:val="0078235E"/>
    <w:rsid w:val="0078395F"/>
    <w:rsid w:val="00783B46"/>
    <w:rsid w:val="00785200"/>
    <w:rsid w:val="00786A15"/>
    <w:rsid w:val="00786AE3"/>
    <w:rsid w:val="00787F17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612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31"/>
    <w:rsid w:val="007D0B59"/>
    <w:rsid w:val="007D3C15"/>
    <w:rsid w:val="007D4405"/>
    <w:rsid w:val="007D4D44"/>
    <w:rsid w:val="007D50FF"/>
    <w:rsid w:val="007D6B5D"/>
    <w:rsid w:val="007E0717"/>
    <w:rsid w:val="007E0AC3"/>
    <w:rsid w:val="007E121E"/>
    <w:rsid w:val="007E21DF"/>
    <w:rsid w:val="007E4347"/>
    <w:rsid w:val="007E43A0"/>
    <w:rsid w:val="007E5479"/>
    <w:rsid w:val="007E58AD"/>
    <w:rsid w:val="007F0D29"/>
    <w:rsid w:val="007F215F"/>
    <w:rsid w:val="007F2243"/>
    <w:rsid w:val="007F2366"/>
    <w:rsid w:val="007F29F1"/>
    <w:rsid w:val="007F6EC7"/>
    <w:rsid w:val="007F73C5"/>
    <w:rsid w:val="007F75A8"/>
    <w:rsid w:val="00802FC5"/>
    <w:rsid w:val="008042F9"/>
    <w:rsid w:val="00806722"/>
    <w:rsid w:val="008067A2"/>
    <w:rsid w:val="00806EFB"/>
    <w:rsid w:val="0080751D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6F71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423"/>
    <w:rsid w:val="00850566"/>
    <w:rsid w:val="00851D92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0EB8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29D1"/>
    <w:rsid w:val="008B3241"/>
    <w:rsid w:val="008B33AC"/>
    <w:rsid w:val="008B44B8"/>
    <w:rsid w:val="008B47B4"/>
    <w:rsid w:val="008B5396"/>
    <w:rsid w:val="008C357A"/>
    <w:rsid w:val="008C3BCE"/>
    <w:rsid w:val="008C4913"/>
    <w:rsid w:val="008C5478"/>
    <w:rsid w:val="008C57E5"/>
    <w:rsid w:val="008C5AD6"/>
    <w:rsid w:val="008C5CFD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42F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432C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3BC8"/>
    <w:rsid w:val="009660F8"/>
    <w:rsid w:val="00966202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87E5E"/>
    <w:rsid w:val="00991637"/>
    <w:rsid w:val="00991A7C"/>
    <w:rsid w:val="00991A93"/>
    <w:rsid w:val="009964D4"/>
    <w:rsid w:val="009A0E5E"/>
    <w:rsid w:val="009A1C52"/>
    <w:rsid w:val="009A2E6A"/>
    <w:rsid w:val="009A33D0"/>
    <w:rsid w:val="009A517C"/>
    <w:rsid w:val="009A6FBB"/>
    <w:rsid w:val="009B09CD"/>
    <w:rsid w:val="009B1006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7EF"/>
    <w:rsid w:val="009C59A6"/>
    <w:rsid w:val="009C6A52"/>
    <w:rsid w:val="009C7313"/>
    <w:rsid w:val="009D0AB2"/>
    <w:rsid w:val="009D3043"/>
    <w:rsid w:val="009D3276"/>
    <w:rsid w:val="009D444C"/>
    <w:rsid w:val="009D4525"/>
    <w:rsid w:val="009D6A1F"/>
    <w:rsid w:val="009D6E6E"/>
    <w:rsid w:val="009D7998"/>
    <w:rsid w:val="009E0735"/>
    <w:rsid w:val="009E1533"/>
    <w:rsid w:val="009E2496"/>
    <w:rsid w:val="009E2785"/>
    <w:rsid w:val="009E5AEE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3995"/>
    <w:rsid w:val="00A04397"/>
    <w:rsid w:val="00A049E2"/>
    <w:rsid w:val="00A04DC3"/>
    <w:rsid w:val="00A07A6E"/>
    <w:rsid w:val="00A1014B"/>
    <w:rsid w:val="00A11029"/>
    <w:rsid w:val="00A1344B"/>
    <w:rsid w:val="00A15E41"/>
    <w:rsid w:val="00A20B11"/>
    <w:rsid w:val="00A219E7"/>
    <w:rsid w:val="00A2417A"/>
    <w:rsid w:val="00A26CD5"/>
    <w:rsid w:val="00A26D8D"/>
    <w:rsid w:val="00A26F47"/>
    <w:rsid w:val="00A30502"/>
    <w:rsid w:val="00A323CF"/>
    <w:rsid w:val="00A33AE4"/>
    <w:rsid w:val="00A34F31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0FF"/>
    <w:rsid w:val="00A52E0E"/>
    <w:rsid w:val="00A5337D"/>
    <w:rsid w:val="00A5374C"/>
    <w:rsid w:val="00A5703D"/>
    <w:rsid w:val="00A57CE8"/>
    <w:rsid w:val="00A61754"/>
    <w:rsid w:val="00A62A25"/>
    <w:rsid w:val="00A634F4"/>
    <w:rsid w:val="00A639BF"/>
    <w:rsid w:val="00A66CBC"/>
    <w:rsid w:val="00A70990"/>
    <w:rsid w:val="00A70A6B"/>
    <w:rsid w:val="00A717AE"/>
    <w:rsid w:val="00A77C8F"/>
    <w:rsid w:val="00A80E2F"/>
    <w:rsid w:val="00A81C73"/>
    <w:rsid w:val="00A833FA"/>
    <w:rsid w:val="00A844CE"/>
    <w:rsid w:val="00A8749A"/>
    <w:rsid w:val="00A90385"/>
    <w:rsid w:val="00A91EAA"/>
    <w:rsid w:val="00A9264B"/>
    <w:rsid w:val="00A943F5"/>
    <w:rsid w:val="00A96B1F"/>
    <w:rsid w:val="00A96DCC"/>
    <w:rsid w:val="00AA188F"/>
    <w:rsid w:val="00AA3C3D"/>
    <w:rsid w:val="00AA4892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0C6"/>
    <w:rsid w:val="00AD7CDA"/>
    <w:rsid w:val="00AD7E54"/>
    <w:rsid w:val="00AE5002"/>
    <w:rsid w:val="00AE5BE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94A"/>
    <w:rsid w:val="00B05E53"/>
    <w:rsid w:val="00B07C45"/>
    <w:rsid w:val="00B07E22"/>
    <w:rsid w:val="00B11981"/>
    <w:rsid w:val="00B12037"/>
    <w:rsid w:val="00B14841"/>
    <w:rsid w:val="00B149BD"/>
    <w:rsid w:val="00B16515"/>
    <w:rsid w:val="00B170D8"/>
    <w:rsid w:val="00B214A3"/>
    <w:rsid w:val="00B2361F"/>
    <w:rsid w:val="00B26484"/>
    <w:rsid w:val="00B271AB"/>
    <w:rsid w:val="00B34D6D"/>
    <w:rsid w:val="00B35D2D"/>
    <w:rsid w:val="00B3753B"/>
    <w:rsid w:val="00B37AE7"/>
    <w:rsid w:val="00B40D7F"/>
    <w:rsid w:val="00B413C0"/>
    <w:rsid w:val="00B42256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1B74"/>
    <w:rsid w:val="00B722B7"/>
    <w:rsid w:val="00B72D3F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86289"/>
    <w:rsid w:val="00B9032F"/>
    <w:rsid w:val="00B91103"/>
    <w:rsid w:val="00B9272C"/>
    <w:rsid w:val="00B93B68"/>
    <w:rsid w:val="00B94B98"/>
    <w:rsid w:val="00B94CAC"/>
    <w:rsid w:val="00B94CCA"/>
    <w:rsid w:val="00B965A0"/>
    <w:rsid w:val="00BA06B3"/>
    <w:rsid w:val="00BA3938"/>
    <w:rsid w:val="00BA7375"/>
    <w:rsid w:val="00BA787B"/>
    <w:rsid w:val="00BB0AA5"/>
    <w:rsid w:val="00BB20F2"/>
    <w:rsid w:val="00BB608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18AC"/>
    <w:rsid w:val="00BF321B"/>
    <w:rsid w:val="00BF3773"/>
    <w:rsid w:val="00BF3E14"/>
    <w:rsid w:val="00BF4644"/>
    <w:rsid w:val="00BF4972"/>
    <w:rsid w:val="00BF540F"/>
    <w:rsid w:val="00BF610B"/>
    <w:rsid w:val="00BF75F3"/>
    <w:rsid w:val="00C00D18"/>
    <w:rsid w:val="00C03941"/>
    <w:rsid w:val="00C03A58"/>
    <w:rsid w:val="00C03B8D"/>
    <w:rsid w:val="00C04532"/>
    <w:rsid w:val="00C05588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1DA"/>
    <w:rsid w:val="00C31672"/>
    <w:rsid w:val="00C317AA"/>
    <w:rsid w:val="00C3239E"/>
    <w:rsid w:val="00C325C5"/>
    <w:rsid w:val="00C33648"/>
    <w:rsid w:val="00C34572"/>
    <w:rsid w:val="00C34B1A"/>
    <w:rsid w:val="00C34EEE"/>
    <w:rsid w:val="00C35709"/>
    <w:rsid w:val="00C36247"/>
    <w:rsid w:val="00C375F0"/>
    <w:rsid w:val="00C4177E"/>
    <w:rsid w:val="00C421C4"/>
    <w:rsid w:val="00C45A69"/>
    <w:rsid w:val="00C46AA2"/>
    <w:rsid w:val="00C47480"/>
    <w:rsid w:val="00C52C84"/>
    <w:rsid w:val="00C53B64"/>
    <w:rsid w:val="00C542F0"/>
    <w:rsid w:val="00C54900"/>
    <w:rsid w:val="00C54B61"/>
    <w:rsid w:val="00C54BAB"/>
    <w:rsid w:val="00C55F0E"/>
    <w:rsid w:val="00C563D1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7453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87B28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1E2F"/>
    <w:rsid w:val="00CB285C"/>
    <w:rsid w:val="00CB44D6"/>
    <w:rsid w:val="00CB46A2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7899"/>
    <w:rsid w:val="00CE102F"/>
    <w:rsid w:val="00CE16B6"/>
    <w:rsid w:val="00CE28AE"/>
    <w:rsid w:val="00CE2C6B"/>
    <w:rsid w:val="00CE365D"/>
    <w:rsid w:val="00CE3DDC"/>
    <w:rsid w:val="00CE63EE"/>
    <w:rsid w:val="00CF0C85"/>
    <w:rsid w:val="00CF16FB"/>
    <w:rsid w:val="00CF2295"/>
    <w:rsid w:val="00CF2896"/>
    <w:rsid w:val="00CF3BDE"/>
    <w:rsid w:val="00D03068"/>
    <w:rsid w:val="00D05533"/>
    <w:rsid w:val="00D06106"/>
    <w:rsid w:val="00D07ABE"/>
    <w:rsid w:val="00D112B5"/>
    <w:rsid w:val="00D122CF"/>
    <w:rsid w:val="00D14538"/>
    <w:rsid w:val="00D15126"/>
    <w:rsid w:val="00D16C90"/>
    <w:rsid w:val="00D177B0"/>
    <w:rsid w:val="00D22431"/>
    <w:rsid w:val="00D22E7D"/>
    <w:rsid w:val="00D24B64"/>
    <w:rsid w:val="00D307A6"/>
    <w:rsid w:val="00D328BC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65093"/>
    <w:rsid w:val="00D659E9"/>
    <w:rsid w:val="00D7125F"/>
    <w:rsid w:val="00D72906"/>
    <w:rsid w:val="00D72BC8"/>
    <w:rsid w:val="00D73E07"/>
    <w:rsid w:val="00D80B8A"/>
    <w:rsid w:val="00D826B4"/>
    <w:rsid w:val="00D84566"/>
    <w:rsid w:val="00D846A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94A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DF7590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379F5"/>
    <w:rsid w:val="00E42D34"/>
    <w:rsid w:val="00E42DC7"/>
    <w:rsid w:val="00E4679F"/>
    <w:rsid w:val="00E47A97"/>
    <w:rsid w:val="00E50E5C"/>
    <w:rsid w:val="00E51072"/>
    <w:rsid w:val="00E5361C"/>
    <w:rsid w:val="00E539B7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5E0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4E64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5D3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D1F"/>
    <w:rsid w:val="00EF34D3"/>
    <w:rsid w:val="00EF3960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23A3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3997"/>
    <w:rsid w:val="00F44755"/>
    <w:rsid w:val="00F44D4E"/>
    <w:rsid w:val="00F455E0"/>
    <w:rsid w:val="00F45E7C"/>
    <w:rsid w:val="00F47E6A"/>
    <w:rsid w:val="00F524CB"/>
    <w:rsid w:val="00F52892"/>
    <w:rsid w:val="00F533DB"/>
    <w:rsid w:val="00F53D60"/>
    <w:rsid w:val="00F5458D"/>
    <w:rsid w:val="00F54F3A"/>
    <w:rsid w:val="00F6137E"/>
    <w:rsid w:val="00F613AE"/>
    <w:rsid w:val="00F61833"/>
    <w:rsid w:val="00F64FDA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2E0A"/>
    <w:rsid w:val="00F832E1"/>
    <w:rsid w:val="00F85369"/>
    <w:rsid w:val="00F867AC"/>
    <w:rsid w:val="00F87C71"/>
    <w:rsid w:val="00F93DC9"/>
    <w:rsid w:val="00F94872"/>
    <w:rsid w:val="00F9546B"/>
    <w:rsid w:val="00F967E0"/>
    <w:rsid w:val="00F96A6A"/>
    <w:rsid w:val="00FA17BA"/>
    <w:rsid w:val="00FA1AAD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E7947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gd">
    <w:name w:val="gd"/>
    <w:basedOn w:val="DefaultParagraphFont"/>
    <w:rsid w:val="0084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gd">
    <w:name w:val="gd"/>
    <w:basedOn w:val="DefaultParagraphFont"/>
    <w:rsid w:val="0084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2D05-6B7C-4C90-9C4E-C250B25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3940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Zhou Lan</cp:lastModifiedBy>
  <cp:revision>2</cp:revision>
  <cp:lastPrinted>2010-05-04T03:47:00Z</cp:lastPrinted>
  <dcterms:created xsi:type="dcterms:W3CDTF">2019-09-19T07:50:00Z</dcterms:created>
  <dcterms:modified xsi:type="dcterms:W3CDTF">2019-09-19T07:50:00Z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2018-08-13 19:12:45Z</vt:lpwstr>
  </property>
  <property fmtid="{D5CDD505-2E9C-101B-9397-08002B2CF9AE}" pid="6" name="CTPClassification">
    <vt:lpwstr>CTP_IC</vt:lpwstr>
  </property>
</Properties>
</file>