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D293" w14:textId="77777777" w:rsidR="00CA09B2" w:rsidRPr="00AA7BE4" w:rsidRDefault="00CA09B2">
      <w:pPr>
        <w:pStyle w:val="T1"/>
        <w:pBdr>
          <w:bottom w:val="single" w:sz="6" w:space="0" w:color="auto"/>
        </w:pBdr>
        <w:spacing w:after="240"/>
      </w:pPr>
      <w:r w:rsidRPr="00AA7BE4">
        <w:t>IEEE P802.11</w:t>
      </w:r>
      <w:r w:rsidRPr="00AA7BE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205"/>
        <w:gridCol w:w="1017"/>
        <w:gridCol w:w="850"/>
        <w:gridCol w:w="4383"/>
      </w:tblGrid>
      <w:tr w:rsidR="00CA09B2" w:rsidRPr="00AA7BE4" w14:paraId="2CB9A232" w14:textId="77777777" w:rsidTr="00DF1F9B">
        <w:trPr>
          <w:trHeight w:val="485"/>
          <w:jc w:val="center"/>
        </w:trPr>
        <w:tc>
          <w:tcPr>
            <w:tcW w:w="9355" w:type="dxa"/>
            <w:gridSpan w:val="5"/>
            <w:vAlign w:val="center"/>
          </w:tcPr>
          <w:p w14:paraId="090C021C" w14:textId="713A738E" w:rsidR="00CA09B2" w:rsidRPr="00AA7BE4" w:rsidRDefault="002335AC">
            <w:pPr>
              <w:pStyle w:val="T2"/>
            </w:pPr>
            <w:r>
              <w:t xml:space="preserve">Link Measurement </w:t>
            </w:r>
            <w:r w:rsidR="006967FD">
              <w:t xml:space="preserve">Request and Report </w:t>
            </w:r>
            <w:r>
              <w:t>frames in DMG</w:t>
            </w:r>
          </w:p>
        </w:tc>
      </w:tr>
      <w:tr w:rsidR="00CA09B2" w:rsidRPr="00AA7BE4" w14:paraId="7EA4847D" w14:textId="77777777" w:rsidTr="00DF1F9B">
        <w:trPr>
          <w:trHeight w:val="359"/>
          <w:jc w:val="center"/>
        </w:trPr>
        <w:tc>
          <w:tcPr>
            <w:tcW w:w="9355" w:type="dxa"/>
            <w:gridSpan w:val="5"/>
            <w:vAlign w:val="center"/>
          </w:tcPr>
          <w:p w14:paraId="68903094" w14:textId="212CF9B4" w:rsidR="00CA09B2" w:rsidRPr="00AA7BE4" w:rsidRDefault="00CA09B2" w:rsidP="003E6A86">
            <w:pPr>
              <w:pStyle w:val="T2"/>
              <w:ind w:left="0"/>
              <w:rPr>
                <w:sz w:val="20"/>
              </w:rPr>
            </w:pPr>
            <w:r w:rsidRPr="00AA7BE4">
              <w:rPr>
                <w:sz w:val="20"/>
              </w:rPr>
              <w:t xml:space="preserve">Date:  </w:t>
            </w:r>
            <w:r w:rsidR="00FC3741">
              <w:rPr>
                <w:sz w:val="20"/>
              </w:rPr>
              <w:t>2019-0</w:t>
            </w:r>
            <w:r w:rsidR="008B5F2B">
              <w:rPr>
                <w:sz w:val="20"/>
              </w:rPr>
              <w:t>9-1</w:t>
            </w:r>
            <w:r w:rsidR="008E1F3B">
              <w:rPr>
                <w:sz w:val="20"/>
              </w:rPr>
              <w:t>7</w:t>
            </w:r>
          </w:p>
        </w:tc>
      </w:tr>
      <w:tr w:rsidR="00CA09B2" w:rsidRPr="00AA7BE4" w14:paraId="0C3809EC" w14:textId="77777777" w:rsidTr="00DF1F9B">
        <w:trPr>
          <w:cantSplit/>
          <w:jc w:val="center"/>
        </w:trPr>
        <w:tc>
          <w:tcPr>
            <w:tcW w:w="9355" w:type="dxa"/>
            <w:gridSpan w:val="5"/>
            <w:vAlign w:val="center"/>
          </w:tcPr>
          <w:p w14:paraId="087BB0BD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Author(s):</w:t>
            </w:r>
          </w:p>
        </w:tc>
      </w:tr>
      <w:tr w:rsidR="00CA09B2" w:rsidRPr="00AA7BE4" w14:paraId="06DBAA72" w14:textId="77777777" w:rsidTr="00DF1F9B">
        <w:trPr>
          <w:jc w:val="center"/>
        </w:trPr>
        <w:tc>
          <w:tcPr>
            <w:tcW w:w="1900" w:type="dxa"/>
            <w:vAlign w:val="center"/>
          </w:tcPr>
          <w:p w14:paraId="5CE14C3E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Name</w:t>
            </w:r>
          </w:p>
        </w:tc>
        <w:tc>
          <w:tcPr>
            <w:tcW w:w="1205" w:type="dxa"/>
            <w:vAlign w:val="center"/>
          </w:tcPr>
          <w:p w14:paraId="4A36D87D" w14:textId="77777777" w:rsidR="00CA09B2" w:rsidRPr="00AA7BE4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Affiliation</w:t>
            </w:r>
          </w:p>
        </w:tc>
        <w:tc>
          <w:tcPr>
            <w:tcW w:w="1017" w:type="dxa"/>
            <w:vAlign w:val="center"/>
          </w:tcPr>
          <w:p w14:paraId="351C17D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1CA6FB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Phone</w:t>
            </w:r>
          </w:p>
        </w:tc>
        <w:tc>
          <w:tcPr>
            <w:tcW w:w="4383" w:type="dxa"/>
            <w:vAlign w:val="center"/>
          </w:tcPr>
          <w:p w14:paraId="1E2B86B6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email</w:t>
            </w:r>
          </w:p>
        </w:tc>
      </w:tr>
      <w:tr w:rsidR="00CA09B2" w:rsidRPr="00CC518C" w14:paraId="467E6BF5" w14:textId="77777777" w:rsidTr="00DF1F9B">
        <w:trPr>
          <w:jc w:val="center"/>
        </w:trPr>
        <w:tc>
          <w:tcPr>
            <w:tcW w:w="1900" w:type="dxa"/>
            <w:vAlign w:val="center"/>
          </w:tcPr>
          <w:p w14:paraId="34267EFA" w14:textId="6452448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Payam Torab</w:t>
            </w:r>
          </w:p>
        </w:tc>
        <w:tc>
          <w:tcPr>
            <w:tcW w:w="1205" w:type="dxa"/>
            <w:vAlign w:val="center"/>
          </w:tcPr>
          <w:p w14:paraId="43E21310" w14:textId="5E15621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Facebook</w:t>
            </w:r>
          </w:p>
        </w:tc>
        <w:tc>
          <w:tcPr>
            <w:tcW w:w="1017" w:type="dxa"/>
            <w:vAlign w:val="center"/>
          </w:tcPr>
          <w:p w14:paraId="53022946" w14:textId="75622217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F641D1" w14:textId="450FC516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4647AB2B" w14:textId="50B1DECE" w:rsidR="00CA09B2" w:rsidRPr="00CC518C" w:rsidRDefault="00661F5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torab@ieee.org</w:t>
            </w:r>
          </w:p>
        </w:tc>
      </w:tr>
      <w:tr w:rsidR="00CA09B2" w:rsidRPr="004917E0" w14:paraId="3CE4B810" w14:textId="77777777" w:rsidTr="00DF1F9B">
        <w:trPr>
          <w:jc w:val="center"/>
        </w:trPr>
        <w:tc>
          <w:tcPr>
            <w:tcW w:w="1900" w:type="dxa"/>
            <w:vAlign w:val="center"/>
          </w:tcPr>
          <w:p w14:paraId="7B007FF3" w14:textId="3EDED651" w:rsidR="00CA09B2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4917E0">
              <w:rPr>
                <w:b w:val="0"/>
                <w:bCs/>
                <w:sz w:val="20"/>
              </w:rPr>
              <w:t>Solomon</w:t>
            </w:r>
            <w:r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4917E0">
              <w:rPr>
                <w:b w:val="0"/>
                <w:bCs/>
                <w:sz w:val="20"/>
              </w:rPr>
              <w:t>Trainin</w:t>
            </w:r>
            <w:proofErr w:type="spellEnd"/>
          </w:p>
        </w:tc>
        <w:tc>
          <w:tcPr>
            <w:tcW w:w="1205" w:type="dxa"/>
            <w:vAlign w:val="center"/>
          </w:tcPr>
          <w:p w14:paraId="5D398756" w14:textId="08C56860" w:rsidR="00CA09B2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017" w:type="dxa"/>
            <w:vAlign w:val="center"/>
          </w:tcPr>
          <w:p w14:paraId="0309C40A" w14:textId="2FA43250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8B26649" w14:textId="77777777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5F0AD044" w14:textId="7EDA4FB7" w:rsidR="00CA09B2" w:rsidRPr="004917E0" w:rsidRDefault="00B005DA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005DA">
              <w:rPr>
                <w:b w:val="0"/>
                <w:bCs/>
                <w:sz w:val="20"/>
              </w:rPr>
              <w:t>strainin@qti.qualcomm.com</w:t>
            </w:r>
          </w:p>
        </w:tc>
      </w:tr>
      <w:tr w:rsidR="004917E0" w:rsidRPr="004917E0" w14:paraId="10ABEE27" w14:textId="77777777" w:rsidTr="00DF1F9B">
        <w:trPr>
          <w:jc w:val="center"/>
        </w:trPr>
        <w:tc>
          <w:tcPr>
            <w:tcW w:w="1900" w:type="dxa"/>
            <w:vAlign w:val="center"/>
          </w:tcPr>
          <w:p w14:paraId="33A8085D" w14:textId="7F8419EF" w:rsidR="004917E0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Carlos </w:t>
            </w:r>
            <w:proofErr w:type="spellStart"/>
            <w:r>
              <w:rPr>
                <w:b w:val="0"/>
                <w:bCs/>
                <w:sz w:val="20"/>
              </w:rPr>
              <w:t>Coreiro</w:t>
            </w:r>
            <w:proofErr w:type="spellEnd"/>
          </w:p>
        </w:tc>
        <w:tc>
          <w:tcPr>
            <w:tcW w:w="1205" w:type="dxa"/>
            <w:vAlign w:val="center"/>
          </w:tcPr>
          <w:p w14:paraId="5055A9FB" w14:textId="0F16384E" w:rsidR="004917E0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017" w:type="dxa"/>
            <w:vAlign w:val="center"/>
          </w:tcPr>
          <w:p w14:paraId="0166E5FE" w14:textId="77777777" w:rsidR="004917E0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391F2A6" w14:textId="77777777" w:rsidR="004917E0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7116BF0B" w14:textId="11F63F05" w:rsidR="004917E0" w:rsidRPr="004917E0" w:rsidRDefault="00B005DA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B005DA">
              <w:rPr>
                <w:b w:val="0"/>
                <w:bCs/>
                <w:sz w:val="20"/>
              </w:rPr>
              <w:t>carlos.cordeiro@intel.com</w:t>
            </w:r>
          </w:p>
        </w:tc>
      </w:tr>
      <w:tr w:rsidR="006967FD" w:rsidRPr="004917E0" w14:paraId="35F0C866" w14:textId="77777777" w:rsidTr="00DF1F9B">
        <w:trPr>
          <w:jc w:val="center"/>
        </w:trPr>
        <w:tc>
          <w:tcPr>
            <w:tcW w:w="1900" w:type="dxa"/>
            <w:vAlign w:val="center"/>
          </w:tcPr>
          <w:p w14:paraId="66417824" w14:textId="4240E683" w:rsidR="006967FD" w:rsidRDefault="00F601AA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Hiroyuki </w:t>
            </w:r>
            <w:proofErr w:type="spellStart"/>
            <w:r>
              <w:rPr>
                <w:b w:val="0"/>
                <w:bCs/>
                <w:sz w:val="20"/>
              </w:rPr>
              <w:t>Motozuka</w:t>
            </w:r>
            <w:proofErr w:type="spellEnd"/>
          </w:p>
        </w:tc>
        <w:tc>
          <w:tcPr>
            <w:tcW w:w="1205" w:type="dxa"/>
            <w:vAlign w:val="center"/>
          </w:tcPr>
          <w:p w14:paraId="78AAE586" w14:textId="7E9BDB23" w:rsidR="006967FD" w:rsidRDefault="00F601AA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Panasonic</w:t>
            </w:r>
          </w:p>
        </w:tc>
        <w:tc>
          <w:tcPr>
            <w:tcW w:w="1017" w:type="dxa"/>
            <w:vAlign w:val="center"/>
          </w:tcPr>
          <w:p w14:paraId="4F344DD3" w14:textId="77777777" w:rsidR="006967FD" w:rsidRPr="004917E0" w:rsidRDefault="006967FD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49A7324" w14:textId="77777777" w:rsidR="006967FD" w:rsidRPr="004917E0" w:rsidRDefault="006967FD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543FFD99" w14:textId="51A34894" w:rsidR="006967FD" w:rsidRPr="00B005DA" w:rsidRDefault="00F601AA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601AA">
              <w:rPr>
                <w:b w:val="0"/>
                <w:bCs/>
                <w:sz w:val="20"/>
              </w:rPr>
              <w:t xml:space="preserve">motozuka.hiroyuki@jp.panasonic.com </w:t>
            </w:r>
          </w:p>
        </w:tc>
      </w:tr>
    </w:tbl>
    <w:p w14:paraId="05C124FD" w14:textId="77777777" w:rsidR="00FD5740" w:rsidRDefault="00FD5740">
      <w:pPr>
        <w:pStyle w:val="T1"/>
        <w:spacing w:after="120"/>
        <w:rPr>
          <w:sz w:val="22"/>
        </w:rPr>
      </w:pPr>
      <w:bookmarkStart w:id="0" w:name="_GoBack"/>
      <w:bookmarkEnd w:id="0"/>
    </w:p>
    <w:p w14:paraId="79A9A1C0" w14:textId="77777777" w:rsidR="00FD5740" w:rsidRDefault="00FD5740">
      <w:pPr>
        <w:pStyle w:val="T1"/>
        <w:spacing w:after="120"/>
        <w:rPr>
          <w:sz w:val="22"/>
        </w:rPr>
      </w:pPr>
    </w:p>
    <w:p w14:paraId="2D762537" w14:textId="5DB4BC53" w:rsidR="00CA09B2" w:rsidRPr="00AA7BE4" w:rsidRDefault="003D3304">
      <w:pPr>
        <w:pStyle w:val="T1"/>
        <w:spacing w:after="120"/>
        <w:rPr>
          <w:sz w:val="22"/>
        </w:rPr>
      </w:pPr>
      <w:r w:rsidRPr="00AA7BE4">
        <w:rPr>
          <w:noProof/>
          <w:lang w:eastAsia="en-GB"/>
        </w:rPr>
        <mc:AlternateContent>
          <mc:Choice Requires="wps">
            <w:drawing>
              <wp:inline distT="0" distB="0" distL="0" distR="0" wp14:anchorId="4E1AB394" wp14:editId="26F30941">
                <wp:extent cx="5943600" cy="2844800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87F80" w14:textId="2BE1F0A5" w:rsidR="0029020B" w:rsidRPr="002468A8" w:rsidRDefault="006D784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Make Link Measurement Request and Report frames Robust </w:t>
                            </w:r>
                            <w:r w:rsidR="00486D35">
                              <w:rPr>
                                <w:lang w:val="en-US"/>
                              </w:rPr>
                              <w:t xml:space="preserve">and Class 3 </w:t>
                            </w:r>
                            <w:r>
                              <w:rPr>
                                <w:lang w:val="en-US"/>
                              </w:rPr>
                              <w:t>in DM</w:t>
                            </w:r>
                            <w:r w:rsidR="007C641F">
                              <w:rPr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865E18">
                              <w:rPr>
                                <w:lang w:val="en-US"/>
                              </w:rPr>
                              <w:t>similar to</w:t>
                            </w:r>
                            <w:r>
                              <w:rPr>
                                <w:lang w:val="en-US"/>
                              </w:rPr>
                              <w:t xml:space="preserve"> other bands.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1AB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" stroked="f">
                <v:textbox>
                  <w:txbxContent>
                    <w:p w14:paraId="60E87F80" w14:textId="2BE1F0A5" w:rsidR="0029020B" w:rsidRPr="002468A8" w:rsidRDefault="006D784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Make Link Measurement Request and Report frames Robust </w:t>
                      </w:r>
                      <w:r w:rsidR="00486D35">
                        <w:rPr>
                          <w:lang w:val="en-US"/>
                        </w:rPr>
                        <w:t xml:space="preserve">and Class 3 </w:t>
                      </w:r>
                      <w:r>
                        <w:rPr>
                          <w:lang w:val="en-US"/>
                        </w:rPr>
                        <w:t>in DM</w:t>
                      </w:r>
                      <w:r w:rsidR="007C641F">
                        <w:rPr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865E18">
                        <w:rPr>
                          <w:lang w:val="en-US"/>
                        </w:rPr>
                        <w:t>similar to</w:t>
                      </w:r>
                      <w:r>
                        <w:rPr>
                          <w:lang w:val="en-US"/>
                        </w:rPr>
                        <w:t xml:space="preserve"> other bands.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654835" w14:textId="44A5261A" w:rsidR="00CA09B2" w:rsidRPr="006967FD" w:rsidRDefault="00CA09B2">
      <w:pPr>
        <w:rPr>
          <w:b/>
        </w:rPr>
      </w:pPr>
      <w:r w:rsidRPr="00AA7BE4">
        <w:rPr>
          <w:b/>
        </w:rPr>
        <w:br w:type="page"/>
      </w:r>
    </w:p>
    <w:p w14:paraId="238FDE91" w14:textId="77777777" w:rsidR="00AA7BE4" w:rsidRPr="00AA7BE4" w:rsidRDefault="00AA7BE4">
      <w:pPr>
        <w:rPr>
          <w:b/>
        </w:rPr>
      </w:pPr>
    </w:p>
    <w:p w14:paraId="45264480" w14:textId="77777777" w:rsidR="00AA7BE4" w:rsidRPr="00AA7BE4" w:rsidRDefault="00AA7BE4">
      <w:pPr>
        <w:rPr>
          <w:b/>
        </w:rPr>
      </w:pPr>
    </w:p>
    <w:p w14:paraId="2AD12920" w14:textId="77777777" w:rsidR="00F82826" w:rsidRPr="009848FD" w:rsidRDefault="00AA7BE4" w:rsidP="00562E46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/>
          <w:sz w:val="20"/>
        </w:rPr>
        <w:t>Discussion:</w:t>
      </w:r>
    </w:p>
    <w:p w14:paraId="2B1CFB9A" w14:textId="77777777" w:rsidR="00F82826" w:rsidRPr="009848FD" w:rsidRDefault="00F82826" w:rsidP="00562E46">
      <w:pPr>
        <w:rPr>
          <w:rFonts w:ascii="Arial" w:hAnsi="Arial" w:cs="Arial"/>
          <w:bCs/>
          <w:sz w:val="20"/>
        </w:rPr>
      </w:pPr>
    </w:p>
    <w:p w14:paraId="6DD5EFE1" w14:textId="35236D18" w:rsidR="00F82826" w:rsidRPr="009848FD" w:rsidRDefault="00F12EA9" w:rsidP="00562E46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Cs/>
          <w:sz w:val="20"/>
        </w:rPr>
        <w:t xml:space="preserve">Link </w:t>
      </w:r>
      <w:proofErr w:type="spellStart"/>
      <w:r w:rsidRPr="009848FD">
        <w:rPr>
          <w:rFonts w:ascii="Arial" w:hAnsi="Arial" w:cs="Arial"/>
          <w:bCs/>
          <w:sz w:val="20"/>
        </w:rPr>
        <w:t>Measrement</w:t>
      </w:r>
      <w:proofErr w:type="spellEnd"/>
      <w:r w:rsidRPr="009848FD">
        <w:rPr>
          <w:rFonts w:ascii="Arial" w:hAnsi="Arial" w:cs="Arial"/>
          <w:bCs/>
          <w:sz w:val="20"/>
        </w:rPr>
        <w:t xml:space="preserve"> Request and Link Measurement Report frame</w:t>
      </w:r>
      <w:r w:rsidR="002C30BE" w:rsidRPr="009848FD">
        <w:rPr>
          <w:rFonts w:ascii="Arial" w:hAnsi="Arial" w:cs="Arial"/>
          <w:bCs/>
          <w:sz w:val="20"/>
        </w:rPr>
        <w:t xml:space="preserve">s </w:t>
      </w:r>
      <w:r w:rsidR="00046B6C" w:rsidRPr="009848FD">
        <w:rPr>
          <w:rFonts w:ascii="Arial" w:hAnsi="Arial" w:cs="Arial"/>
          <w:bCs/>
          <w:sz w:val="20"/>
        </w:rPr>
        <w:t>are</w:t>
      </w:r>
      <w:r w:rsidR="00203DD2" w:rsidRPr="009848FD">
        <w:rPr>
          <w:rFonts w:ascii="Arial" w:hAnsi="Arial" w:cs="Arial"/>
          <w:bCs/>
          <w:sz w:val="20"/>
        </w:rPr>
        <w:t xml:space="preserve"> not defined as Robust in DMG</w:t>
      </w:r>
      <w:r w:rsidR="002C30BE" w:rsidRPr="009848FD">
        <w:rPr>
          <w:rFonts w:ascii="Arial" w:hAnsi="Arial" w:cs="Arial"/>
          <w:bCs/>
          <w:sz w:val="20"/>
        </w:rPr>
        <w:t>, unlike</w:t>
      </w:r>
      <w:r w:rsidR="00265E60" w:rsidRPr="009848FD">
        <w:rPr>
          <w:rFonts w:ascii="Arial" w:hAnsi="Arial" w:cs="Arial"/>
          <w:bCs/>
          <w:sz w:val="20"/>
        </w:rPr>
        <w:t xml:space="preserve"> other bands.</w:t>
      </w:r>
      <w:r w:rsidR="00203DD2" w:rsidRPr="009848FD">
        <w:rPr>
          <w:rFonts w:ascii="Arial" w:hAnsi="Arial" w:cs="Arial"/>
          <w:bCs/>
          <w:sz w:val="20"/>
        </w:rPr>
        <w:t xml:space="preserve"> </w:t>
      </w:r>
      <w:r w:rsidR="00FD15B5" w:rsidRPr="009848FD">
        <w:rPr>
          <w:rFonts w:ascii="Arial" w:hAnsi="Arial" w:cs="Arial"/>
          <w:bCs/>
          <w:sz w:val="20"/>
        </w:rPr>
        <w:t xml:space="preserve">As a result, these frames </w:t>
      </w:r>
      <w:proofErr w:type="spellStart"/>
      <w:r w:rsidR="00FD15B5" w:rsidRPr="009848FD">
        <w:rPr>
          <w:rFonts w:ascii="Arial" w:hAnsi="Arial" w:cs="Arial"/>
          <w:bCs/>
          <w:sz w:val="20"/>
        </w:rPr>
        <w:t>wil</w:t>
      </w:r>
      <w:proofErr w:type="spellEnd"/>
      <w:r w:rsidR="00FD15B5" w:rsidRPr="009848FD">
        <w:rPr>
          <w:rFonts w:ascii="Arial" w:hAnsi="Arial" w:cs="Arial"/>
          <w:bCs/>
          <w:sz w:val="20"/>
        </w:rPr>
        <w:t xml:space="preserve"> not be </w:t>
      </w:r>
      <w:proofErr w:type="spellStart"/>
      <w:r w:rsidR="00FD15B5" w:rsidRPr="009848FD">
        <w:rPr>
          <w:rFonts w:ascii="Arial" w:hAnsi="Arial" w:cs="Arial"/>
          <w:bCs/>
          <w:sz w:val="20"/>
        </w:rPr>
        <w:t>encypted</w:t>
      </w:r>
      <w:proofErr w:type="spellEnd"/>
      <w:r w:rsidR="00FD15B5" w:rsidRPr="009848FD">
        <w:rPr>
          <w:rFonts w:ascii="Arial" w:hAnsi="Arial" w:cs="Arial"/>
          <w:bCs/>
          <w:sz w:val="20"/>
        </w:rPr>
        <w:t xml:space="preserve"> when management frame protection service is enabled</w:t>
      </w:r>
      <w:r w:rsidR="008644EB" w:rsidRPr="009848FD">
        <w:rPr>
          <w:rFonts w:ascii="Arial" w:hAnsi="Arial" w:cs="Arial"/>
          <w:bCs/>
          <w:sz w:val="20"/>
        </w:rPr>
        <w:t xml:space="preserve"> in DMG.</w:t>
      </w:r>
    </w:p>
    <w:p w14:paraId="666397E4" w14:textId="77777777" w:rsidR="00F82826" w:rsidRPr="009848FD" w:rsidRDefault="00F82826" w:rsidP="00562E46">
      <w:pPr>
        <w:rPr>
          <w:rFonts w:ascii="Arial" w:hAnsi="Arial" w:cs="Arial"/>
          <w:bCs/>
          <w:sz w:val="20"/>
        </w:rPr>
      </w:pPr>
    </w:p>
    <w:p w14:paraId="5A19F1DF" w14:textId="4E739B96" w:rsidR="002E712D" w:rsidRPr="009848FD" w:rsidRDefault="007C641F" w:rsidP="00562E46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Cs/>
          <w:sz w:val="20"/>
        </w:rPr>
        <w:t>Also</w:t>
      </w:r>
      <w:r w:rsidR="00203DD2" w:rsidRPr="009848FD">
        <w:rPr>
          <w:rFonts w:ascii="Arial" w:hAnsi="Arial" w:cs="Arial"/>
          <w:bCs/>
          <w:sz w:val="20"/>
        </w:rPr>
        <w:t xml:space="preserve">, they are defined as Class 1 frames in DMG, </w:t>
      </w:r>
      <w:r w:rsidR="002E712D" w:rsidRPr="009848FD">
        <w:rPr>
          <w:rFonts w:ascii="Arial" w:hAnsi="Arial" w:cs="Arial"/>
          <w:bCs/>
          <w:sz w:val="20"/>
        </w:rPr>
        <w:t>again unlike other bands</w:t>
      </w:r>
      <w:r w:rsidR="00970B54" w:rsidRPr="009848FD">
        <w:rPr>
          <w:rFonts w:ascii="Arial" w:hAnsi="Arial" w:cs="Arial"/>
          <w:bCs/>
          <w:sz w:val="20"/>
        </w:rPr>
        <w:t>.</w:t>
      </w:r>
      <w:r w:rsidR="00DD1A79" w:rsidRPr="009848FD">
        <w:rPr>
          <w:rFonts w:ascii="Arial" w:hAnsi="Arial" w:cs="Arial"/>
          <w:bCs/>
          <w:sz w:val="20"/>
        </w:rPr>
        <w:t xml:space="preserve"> After </w:t>
      </w:r>
      <w:proofErr w:type="spellStart"/>
      <w:r w:rsidR="007F3E52" w:rsidRPr="009848FD">
        <w:rPr>
          <w:rFonts w:ascii="Arial" w:hAnsi="Arial" w:cs="Arial"/>
          <w:bCs/>
          <w:sz w:val="20"/>
        </w:rPr>
        <w:t>reviewig</w:t>
      </w:r>
      <w:proofErr w:type="spellEnd"/>
      <w:r w:rsidR="00DD1A79" w:rsidRPr="009848FD">
        <w:rPr>
          <w:rFonts w:ascii="Arial" w:hAnsi="Arial" w:cs="Arial"/>
          <w:bCs/>
          <w:sz w:val="20"/>
        </w:rPr>
        <w:t xml:space="preserve"> existing implementations and certification programs,</w:t>
      </w:r>
    </w:p>
    <w:p w14:paraId="0D2DC41D" w14:textId="4019A99D" w:rsidR="00D02F92" w:rsidRPr="009848FD" w:rsidRDefault="00D02F92" w:rsidP="00D02F92">
      <w:pPr>
        <w:rPr>
          <w:rFonts w:ascii="Arial" w:hAnsi="Arial" w:cs="Arial"/>
          <w:bCs/>
          <w:sz w:val="20"/>
        </w:rPr>
      </w:pPr>
    </w:p>
    <w:p w14:paraId="1C2C7B0F" w14:textId="6AFEC7ED" w:rsidR="00D02F92" w:rsidRPr="009848FD" w:rsidRDefault="00EC21FD" w:rsidP="00EC21FD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Cs/>
          <w:sz w:val="20"/>
        </w:rPr>
        <w:t>W</w:t>
      </w:r>
      <w:r w:rsidR="00D02F92" w:rsidRPr="009848FD">
        <w:rPr>
          <w:rFonts w:ascii="Arial" w:hAnsi="Arial" w:cs="Arial"/>
          <w:bCs/>
          <w:sz w:val="20"/>
        </w:rPr>
        <w:t xml:space="preserve">e </w:t>
      </w:r>
      <w:r w:rsidR="002B5851" w:rsidRPr="009848FD">
        <w:rPr>
          <w:rFonts w:ascii="Arial" w:hAnsi="Arial" w:cs="Arial"/>
          <w:bCs/>
          <w:sz w:val="20"/>
        </w:rPr>
        <w:t>are not aware of</w:t>
      </w:r>
      <w:r w:rsidRPr="009848FD">
        <w:rPr>
          <w:rFonts w:ascii="Arial" w:hAnsi="Arial" w:cs="Arial"/>
          <w:bCs/>
          <w:sz w:val="20"/>
        </w:rPr>
        <w:t xml:space="preserve"> </w:t>
      </w:r>
      <w:r w:rsidR="00D02F92" w:rsidRPr="009848FD">
        <w:rPr>
          <w:rFonts w:ascii="Arial" w:hAnsi="Arial" w:cs="Arial"/>
          <w:bCs/>
          <w:sz w:val="20"/>
        </w:rPr>
        <w:t>60 GHz products that (1) use these two frames (pre- or post-association),</w:t>
      </w:r>
      <w:r w:rsidRPr="009848FD">
        <w:rPr>
          <w:rFonts w:ascii="Arial" w:hAnsi="Arial" w:cs="Arial"/>
          <w:bCs/>
          <w:sz w:val="20"/>
        </w:rPr>
        <w:t xml:space="preserve"> </w:t>
      </w:r>
      <w:r w:rsidR="00D02F92" w:rsidRPr="009848FD">
        <w:rPr>
          <w:rFonts w:ascii="Arial" w:hAnsi="Arial" w:cs="Arial"/>
          <w:bCs/>
          <w:sz w:val="20"/>
        </w:rPr>
        <w:t>and (2) have implemented the 802.11 management frame protection, e.g., products that are WFA PMF certified.</w:t>
      </w:r>
    </w:p>
    <w:p w14:paraId="1EA2366E" w14:textId="77777777" w:rsidR="00646BB5" w:rsidRPr="009848FD" w:rsidRDefault="00646BB5" w:rsidP="00646BB5">
      <w:pPr>
        <w:rPr>
          <w:rFonts w:ascii="Arial" w:hAnsi="Arial" w:cs="Arial"/>
          <w:bCs/>
          <w:sz w:val="20"/>
        </w:rPr>
      </w:pPr>
    </w:p>
    <w:p w14:paraId="3BB0E868" w14:textId="447444E2" w:rsidR="00646BB5" w:rsidRPr="009848FD" w:rsidRDefault="00646BB5" w:rsidP="00F70BE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Cs/>
          <w:sz w:val="20"/>
        </w:rPr>
        <w:t xml:space="preserve">We </w:t>
      </w:r>
      <w:r w:rsidR="00943AFD" w:rsidRPr="009848FD">
        <w:rPr>
          <w:rFonts w:ascii="Arial" w:hAnsi="Arial" w:cs="Arial"/>
          <w:bCs/>
          <w:sz w:val="20"/>
        </w:rPr>
        <w:t>are not aware of</w:t>
      </w:r>
      <w:r w:rsidRPr="009848FD">
        <w:rPr>
          <w:rFonts w:ascii="Arial" w:hAnsi="Arial" w:cs="Arial"/>
          <w:bCs/>
          <w:sz w:val="20"/>
        </w:rPr>
        <w:t xml:space="preserve"> implementations that use these two frames as Class 1.</w:t>
      </w:r>
    </w:p>
    <w:p w14:paraId="63B5C237" w14:textId="77777777" w:rsidR="00D02F92" w:rsidRPr="009848FD" w:rsidRDefault="00D02F92" w:rsidP="00562E46">
      <w:pPr>
        <w:rPr>
          <w:rFonts w:ascii="Arial" w:hAnsi="Arial" w:cs="Arial"/>
          <w:bCs/>
          <w:sz w:val="20"/>
        </w:rPr>
      </w:pPr>
    </w:p>
    <w:p w14:paraId="35E9325E" w14:textId="4209DBE1" w:rsidR="00B005DA" w:rsidRPr="009848FD" w:rsidRDefault="002E712D" w:rsidP="00562E46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Cs/>
          <w:sz w:val="20"/>
        </w:rPr>
        <w:t xml:space="preserve">We </w:t>
      </w:r>
      <w:r w:rsidR="008B045E" w:rsidRPr="009848FD">
        <w:rPr>
          <w:rFonts w:ascii="Arial" w:hAnsi="Arial" w:cs="Arial"/>
          <w:bCs/>
          <w:sz w:val="20"/>
        </w:rPr>
        <w:t>propose to remove the DMG exceptions</w:t>
      </w:r>
      <w:r w:rsidR="00554F14" w:rsidRPr="009848FD">
        <w:rPr>
          <w:rFonts w:ascii="Arial" w:hAnsi="Arial" w:cs="Arial"/>
          <w:bCs/>
          <w:sz w:val="20"/>
        </w:rPr>
        <w:t xml:space="preserve"> </w:t>
      </w:r>
      <w:r w:rsidR="00F00AAD" w:rsidRPr="009848FD">
        <w:rPr>
          <w:rFonts w:ascii="Arial" w:hAnsi="Arial" w:cs="Arial"/>
          <w:bCs/>
          <w:sz w:val="20"/>
        </w:rPr>
        <w:t xml:space="preserve">for these two frames </w:t>
      </w:r>
      <w:r w:rsidR="00554F14" w:rsidRPr="009848FD">
        <w:rPr>
          <w:rFonts w:ascii="Arial" w:hAnsi="Arial" w:cs="Arial"/>
          <w:bCs/>
          <w:sz w:val="20"/>
        </w:rPr>
        <w:t xml:space="preserve">by (1) </w:t>
      </w:r>
      <w:r w:rsidR="00F00AAD" w:rsidRPr="009848FD">
        <w:rPr>
          <w:rFonts w:ascii="Arial" w:hAnsi="Arial" w:cs="Arial"/>
          <w:bCs/>
          <w:sz w:val="20"/>
        </w:rPr>
        <w:t>defining them as</w:t>
      </w:r>
      <w:r w:rsidR="00554F14" w:rsidRPr="009848FD">
        <w:rPr>
          <w:rFonts w:ascii="Arial" w:hAnsi="Arial" w:cs="Arial"/>
          <w:bCs/>
          <w:sz w:val="20"/>
        </w:rPr>
        <w:t xml:space="preserve"> </w:t>
      </w:r>
      <w:r w:rsidR="00F00AAD" w:rsidRPr="009848FD">
        <w:rPr>
          <w:rFonts w:ascii="Arial" w:hAnsi="Arial" w:cs="Arial"/>
          <w:bCs/>
          <w:sz w:val="20"/>
        </w:rPr>
        <w:t xml:space="preserve">Robust, and (2) </w:t>
      </w:r>
      <w:r w:rsidR="00970B54" w:rsidRPr="009848FD">
        <w:rPr>
          <w:rFonts w:ascii="Arial" w:hAnsi="Arial" w:cs="Arial"/>
          <w:bCs/>
          <w:sz w:val="20"/>
        </w:rPr>
        <w:t>making them Class 3</w:t>
      </w:r>
      <w:r w:rsidR="00C301E0" w:rsidRPr="009848FD">
        <w:rPr>
          <w:rFonts w:ascii="Arial" w:hAnsi="Arial" w:cs="Arial"/>
          <w:bCs/>
          <w:sz w:val="20"/>
        </w:rPr>
        <w:t>, i.e., the same definition for these two frames in all bands.</w:t>
      </w:r>
    </w:p>
    <w:p w14:paraId="69FB91CB" w14:textId="65D672B0" w:rsidR="00D51566" w:rsidRDefault="00D51566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790517E3" w14:textId="77777777" w:rsidR="009848FD" w:rsidRDefault="009848FD">
      <w:pPr>
        <w:rPr>
          <w:rFonts w:ascii="Arial" w:hAnsi="Arial" w:cs="Arial"/>
          <w:b/>
          <w:sz w:val="28"/>
          <w:szCs w:val="28"/>
        </w:rPr>
      </w:pPr>
    </w:p>
    <w:p w14:paraId="6E1F8837" w14:textId="77777777" w:rsidR="009848FD" w:rsidRDefault="009848FD">
      <w:pPr>
        <w:rPr>
          <w:rFonts w:ascii="Arial" w:hAnsi="Arial" w:cs="Arial"/>
          <w:b/>
          <w:sz w:val="28"/>
          <w:szCs w:val="28"/>
        </w:rPr>
      </w:pPr>
    </w:p>
    <w:p w14:paraId="58847068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Arial" w:hAnsi="Arial" w:cs="Arial"/>
          <w:b/>
          <w:bCs/>
          <w:color w:val="000000"/>
          <w:sz w:val="20"/>
          <w:lang w:val="en-US"/>
        </w:rPr>
        <w:t>9.4.1.11 Action field</w:t>
      </w:r>
    </w:p>
    <w:p w14:paraId="6BD9351F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Arial" w:hAnsi="Arial" w:cs="Arial"/>
          <w:color w:val="000000"/>
          <w:szCs w:val="22"/>
          <w:lang w:val="en-US"/>
        </w:rPr>
        <w:t> </w:t>
      </w:r>
    </w:p>
    <w:p w14:paraId="06D7E352" w14:textId="77777777" w:rsidR="006D4CB5" w:rsidRPr="006D4CB5" w:rsidRDefault="006D4CB5" w:rsidP="00566727">
      <w:pPr>
        <w:jc w:val="center"/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Arial" w:hAnsi="Arial" w:cs="Arial"/>
          <w:b/>
          <w:bCs/>
          <w:color w:val="000000"/>
          <w:sz w:val="20"/>
          <w:lang w:val="en-US"/>
        </w:rPr>
        <w:t>Table 9-53—Category values</w:t>
      </w:r>
    </w:p>
    <w:p w14:paraId="23387A69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Arial" w:hAnsi="Arial" w:cs="Arial"/>
          <w:b/>
          <w:bCs/>
          <w:color w:val="000000"/>
          <w:sz w:val="20"/>
          <w:lang w:val="en-US"/>
        </w:rPr>
        <w:t> </w:t>
      </w:r>
    </w:p>
    <w:tbl>
      <w:tblPr>
        <w:tblW w:w="6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212"/>
        <w:gridCol w:w="1529"/>
        <w:gridCol w:w="1507"/>
        <w:gridCol w:w="914"/>
      </w:tblGrid>
      <w:tr w:rsidR="006D4CB5" w:rsidRPr="006D4CB5" w14:paraId="2C0ADEC3" w14:textId="77777777" w:rsidTr="00566727">
        <w:trPr>
          <w:trHeight w:val="20"/>
          <w:jc w:val="center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BCDBC5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Code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047F54D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Meaning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9A518E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See subclause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2379279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Robust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8FAF649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Group</w:t>
            </w:r>
          </w:p>
          <w:p w14:paraId="7EC72F8C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addressed</w:t>
            </w:r>
          </w:p>
          <w:p w14:paraId="3A7816AE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b/>
                <w:bCs/>
                <w:sz w:val="20"/>
                <w:lang w:val="en-US"/>
              </w:rPr>
              <w:t>privacy</w:t>
            </w:r>
          </w:p>
        </w:tc>
      </w:tr>
      <w:tr w:rsidR="006D4CB5" w:rsidRPr="006D4CB5" w14:paraId="0989A90A" w14:textId="77777777" w:rsidTr="00566727">
        <w:trPr>
          <w:trHeight w:val="20"/>
          <w:jc w:val="center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10B89B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86DD02" w14:textId="77777777" w:rsidR="006D4CB5" w:rsidRPr="006D4CB5" w:rsidRDefault="006D4CB5" w:rsidP="00566727">
            <w:pPr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Radio Measurement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D99999" w14:textId="77777777" w:rsidR="006D4CB5" w:rsidRPr="006D4CB5" w:rsidRDefault="006D4CB5" w:rsidP="00566727">
            <w:pPr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9.6.6 (Radio</w:t>
            </w:r>
          </w:p>
          <w:p w14:paraId="5AE676CB" w14:textId="77777777" w:rsidR="006D4CB5" w:rsidRPr="006D4CB5" w:rsidRDefault="006D4CB5" w:rsidP="00566727">
            <w:pPr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Measurement</w:t>
            </w:r>
          </w:p>
          <w:p w14:paraId="56683F75" w14:textId="77777777" w:rsidR="006D4CB5" w:rsidRPr="006D4CB5" w:rsidRDefault="006D4CB5" w:rsidP="00566727">
            <w:pPr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action details)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857530D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trike/>
                <w:color w:val="C00000"/>
                <w:sz w:val="20"/>
                <w:lang w:val="en-US"/>
              </w:rPr>
              <w:t>See NOTE 1</w:t>
            </w:r>
            <w:r w:rsidRPr="006D4CB5">
              <w:rPr>
                <w:color w:val="C00000"/>
                <w:sz w:val="20"/>
                <w:lang w:val="en-US"/>
              </w:rPr>
              <w:t>Yes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1A1AF9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No</w:t>
            </w:r>
          </w:p>
        </w:tc>
      </w:tr>
      <w:tr w:rsidR="006D4CB5" w:rsidRPr="006D4CB5" w14:paraId="5099EF45" w14:textId="77777777" w:rsidTr="00566727">
        <w:trPr>
          <w:trHeight w:val="20"/>
          <w:jc w:val="center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268B4D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EBAB1F5" w14:textId="77777777" w:rsidR="006D4CB5" w:rsidRPr="006D4CB5" w:rsidRDefault="006D4CB5" w:rsidP="00566727">
            <w:pPr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B49EB8F" w14:textId="77777777" w:rsidR="006D4CB5" w:rsidRPr="006D4CB5" w:rsidRDefault="006D4CB5" w:rsidP="00566727">
            <w:pPr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DDE8CEF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DD1B1AC" w14:textId="77777777" w:rsidR="006D4CB5" w:rsidRPr="006D4CB5" w:rsidRDefault="006D4CB5" w:rsidP="00566727">
            <w:pPr>
              <w:jc w:val="center"/>
              <w:rPr>
                <w:rFonts w:ascii="Calibri" w:hAnsi="Calibri" w:cs="Calibri"/>
                <w:szCs w:val="22"/>
                <w:lang w:val="en-US"/>
              </w:rPr>
            </w:pPr>
            <w:r w:rsidRPr="006D4CB5">
              <w:rPr>
                <w:sz w:val="20"/>
                <w:lang w:val="en-US"/>
              </w:rPr>
              <w:t> </w:t>
            </w:r>
          </w:p>
        </w:tc>
      </w:tr>
    </w:tbl>
    <w:p w14:paraId="3C7D1776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Arial" w:hAnsi="Arial" w:cs="Arial"/>
          <w:color w:val="FFFFFF"/>
          <w:sz w:val="20"/>
          <w:lang w:val="en-US"/>
        </w:rPr>
        <w:t> </w:t>
      </w:r>
    </w:p>
    <w:p w14:paraId="25F9EB33" w14:textId="77777777" w:rsidR="006D4CB5" w:rsidRPr="006D4CB5" w:rsidRDefault="006D4CB5" w:rsidP="00566727">
      <w:pPr>
        <w:jc w:val="both"/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strike/>
          <w:color w:val="C00000"/>
          <w:sz w:val="18"/>
          <w:szCs w:val="18"/>
          <w:lang w:val="en-US"/>
        </w:rPr>
        <w:t>NOTE 1—Radio Measurement frames are robust, except for Link Measurement Request and Link Measurement Report frames in a DMG BSS.</w:t>
      </w:r>
    </w:p>
    <w:p w14:paraId="7FC0DB7D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Calibri" w:hAnsi="Calibri" w:cs="Calibri"/>
          <w:color w:val="000000"/>
          <w:szCs w:val="22"/>
          <w:lang w:val="en-US"/>
        </w:rPr>
        <w:t> </w:t>
      </w:r>
    </w:p>
    <w:p w14:paraId="24B1540E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rFonts w:ascii="Arial" w:hAnsi="Arial" w:cs="Arial"/>
          <w:b/>
          <w:bCs/>
          <w:color w:val="000000"/>
          <w:sz w:val="20"/>
          <w:lang w:val="en-US"/>
        </w:rPr>
        <w:t>11.3.3 Frame filtering based on STA state</w:t>
      </w:r>
    </w:p>
    <w:p w14:paraId="41F26A7D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…</w:t>
      </w:r>
    </w:p>
    <w:p w14:paraId="0BEC093E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The frame classes are defined as follows:</w:t>
      </w:r>
    </w:p>
    <w:p w14:paraId="792B3C1A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 </w:t>
      </w:r>
    </w:p>
    <w:p w14:paraId="0AADB493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                a) Class 1 frames</w:t>
      </w:r>
    </w:p>
    <w:p w14:paraId="44F51A15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                                …</w:t>
      </w:r>
    </w:p>
    <w:p w14:paraId="09F677B1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                                2) Management frames</w:t>
      </w:r>
    </w:p>
    <w:p w14:paraId="4F5A6F88" w14:textId="77777777" w:rsidR="006D4CB5" w:rsidRPr="006D4CB5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                                                …</w:t>
      </w:r>
    </w:p>
    <w:p w14:paraId="790F4C04" w14:textId="3F38B68B" w:rsidR="006D4CB5" w:rsidRPr="002847F3" w:rsidRDefault="006D4CB5" w:rsidP="00566727">
      <w:pPr>
        <w:rPr>
          <w:rFonts w:ascii="Calibri" w:hAnsi="Calibri" w:cs="Calibri"/>
          <w:color w:val="000000"/>
          <w:szCs w:val="22"/>
          <w:lang w:val="en-US"/>
        </w:rPr>
      </w:pPr>
      <w:r w:rsidRPr="006D4CB5">
        <w:rPr>
          <w:color w:val="000000"/>
          <w:sz w:val="20"/>
          <w:lang w:val="en-US"/>
        </w:rPr>
        <w:t>                                               </w:t>
      </w:r>
      <w:r w:rsidRPr="006D4CB5">
        <w:rPr>
          <w:strike/>
          <w:color w:val="C00000"/>
          <w:sz w:val="20"/>
          <w:lang w:val="en-US"/>
        </w:rPr>
        <w:t>vii) In a DMG BSS, Link Measurement Request and Link Measurement Report frames</w:t>
      </w:r>
    </w:p>
    <w:sectPr w:rsidR="006D4CB5" w:rsidRPr="002847F3" w:rsidSect="009F39B8">
      <w:headerReference w:type="default" r:id="rId10"/>
      <w:footerReference w:type="default" r:id="rId11"/>
      <w:pgSz w:w="12240" w:h="15840" w:code="1"/>
      <w:pgMar w:top="1080" w:right="720" w:bottom="108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56C1" w14:textId="77777777" w:rsidR="00B67D17" w:rsidRDefault="00B67D17">
      <w:r>
        <w:separator/>
      </w:r>
    </w:p>
  </w:endnote>
  <w:endnote w:type="continuationSeparator" w:id="0">
    <w:p w14:paraId="09CE2155" w14:textId="77777777" w:rsidR="00B67D17" w:rsidRDefault="00B6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F6CB" w14:textId="55237974" w:rsidR="0029020B" w:rsidRDefault="008430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D330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A0477">
      <w:rPr>
        <w:noProof/>
      </w:rPr>
      <w:t>4</w:t>
    </w:r>
    <w:r w:rsidR="0029020B">
      <w:fldChar w:fldCharType="end"/>
    </w:r>
    <w:r w:rsidR="0029020B">
      <w:tab/>
    </w:r>
    <w:r w:rsidR="008E1F3B">
      <w:t>Payam Torab, Facebook</w:t>
    </w:r>
  </w:p>
  <w:p w14:paraId="6564929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9608" w14:textId="77777777" w:rsidR="00B67D17" w:rsidRDefault="00B67D17">
      <w:r>
        <w:separator/>
      </w:r>
    </w:p>
  </w:footnote>
  <w:footnote w:type="continuationSeparator" w:id="0">
    <w:p w14:paraId="75741EF4" w14:textId="77777777" w:rsidR="00B67D17" w:rsidRDefault="00B6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EAD2" w14:textId="596F2A8F" w:rsidR="0029020B" w:rsidRDefault="0084301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1F3B">
        <w:t>September</w:t>
      </w:r>
      <w:r w:rsidR="00AA7BE4">
        <w:t xml:space="preserve"> 2019</w:t>
      </w:r>
    </w:fldSimple>
    <w:r w:rsidR="0029020B">
      <w:tab/>
    </w:r>
    <w:r w:rsidR="0029020B">
      <w:tab/>
    </w:r>
    <w:fldSimple w:instr=" TITLE  \* MERGEFORMAT ">
      <w:r w:rsidR="00AA7BE4">
        <w:t>doc.: IEEE 802.11-19</w:t>
      </w:r>
      <w:r w:rsidR="003E6A86">
        <w:t>/</w:t>
      </w:r>
      <w:r w:rsidR="008E1F3B">
        <w:t>15</w:t>
      </w:r>
      <w:r w:rsidR="00CC7FD1">
        <w:t>98</w:t>
      </w:r>
      <w:r w:rsidR="003D330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480"/>
    <w:multiLevelType w:val="hybridMultilevel"/>
    <w:tmpl w:val="7A186852"/>
    <w:lvl w:ilvl="0" w:tplc="9DAEBA54">
      <w:start w:val="98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6146"/>
    <w:multiLevelType w:val="hybridMultilevel"/>
    <w:tmpl w:val="ED16FAEC"/>
    <w:lvl w:ilvl="0" w:tplc="CBA05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228"/>
    <w:multiLevelType w:val="hybridMultilevel"/>
    <w:tmpl w:val="B46C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EE9"/>
    <w:multiLevelType w:val="hybridMultilevel"/>
    <w:tmpl w:val="B3C293CE"/>
    <w:lvl w:ilvl="0" w:tplc="52B2FDD6">
      <w:start w:val="98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377B"/>
    <w:multiLevelType w:val="hybridMultilevel"/>
    <w:tmpl w:val="28F6B37C"/>
    <w:lvl w:ilvl="0" w:tplc="2B0CF172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6577"/>
    <w:multiLevelType w:val="hybridMultilevel"/>
    <w:tmpl w:val="E17AAFD4"/>
    <w:lvl w:ilvl="0" w:tplc="9DAEBA54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04"/>
    <w:rsid w:val="00014CFD"/>
    <w:rsid w:val="00046B6C"/>
    <w:rsid w:val="00052A36"/>
    <w:rsid w:val="00081164"/>
    <w:rsid w:val="000953D5"/>
    <w:rsid w:val="000A0477"/>
    <w:rsid w:val="000A5172"/>
    <w:rsid w:val="00100C53"/>
    <w:rsid w:val="001065F8"/>
    <w:rsid w:val="00120524"/>
    <w:rsid w:val="00121FF1"/>
    <w:rsid w:val="00127E6B"/>
    <w:rsid w:val="00137543"/>
    <w:rsid w:val="00153F61"/>
    <w:rsid w:val="00163F61"/>
    <w:rsid w:val="00171438"/>
    <w:rsid w:val="001811CD"/>
    <w:rsid w:val="001B2CDC"/>
    <w:rsid w:val="001B6470"/>
    <w:rsid w:val="001D20EC"/>
    <w:rsid w:val="001D25F2"/>
    <w:rsid w:val="001D723B"/>
    <w:rsid w:val="00203DD2"/>
    <w:rsid w:val="002212C1"/>
    <w:rsid w:val="002335AC"/>
    <w:rsid w:val="002468A8"/>
    <w:rsid w:val="00251BE7"/>
    <w:rsid w:val="0025312A"/>
    <w:rsid w:val="00264B3D"/>
    <w:rsid w:val="00265E60"/>
    <w:rsid w:val="00271DD4"/>
    <w:rsid w:val="002847F3"/>
    <w:rsid w:val="0029020B"/>
    <w:rsid w:val="002A554B"/>
    <w:rsid w:val="002B2864"/>
    <w:rsid w:val="002B5851"/>
    <w:rsid w:val="002C30BE"/>
    <w:rsid w:val="002D44BE"/>
    <w:rsid w:val="002E2574"/>
    <w:rsid w:val="002E712D"/>
    <w:rsid w:val="00322903"/>
    <w:rsid w:val="00326D2D"/>
    <w:rsid w:val="00351B03"/>
    <w:rsid w:val="00354044"/>
    <w:rsid w:val="00360B99"/>
    <w:rsid w:val="00363133"/>
    <w:rsid w:val="003814D3"/>
    <w:rsid w:val="003A2995"/>
    <w:rsid w:val="003D3304"/>
    <w:rsid w:val="003E67B1"/>
    <w:rsid w:val="003E6A86"/>
    <w:rsid w:val="00403917"/>
    <w:rsid w:val="00442037"/>
    <w:rsid w:val="004754D3"/>
    <w:rsid w:val="00477224"/>
    <w:rsid w:val="00486D35"/>
    <w:rsid w:val="004917E0"/>
    <w:rsid w:val="00491D71"/>
    <w:rsid w:val="004A36B5"/>
    <w:rsid w:val="004B064B"/>
    <w:rsid w:val="004B521A"/>
    <w:rsid w:val="004D1B7A"/>
    <w:rsid w:val="004E4BCC"/>
    <w:rsid w:val="00503388"/>
    <w:rsid w:val="00504833"/>
    <w:rsid w:val="00554F14"/>
    <w:rsid w:val="00561E71"/>
    <w:rsid w:val="00562E46"/>
    <w:rsid w:val="00566727"/>
    <w:rsid w:val="0059123D"/>
    <w:rsid w:val="005B498C"/>
    <w:rsid w:val="005B5B86"/>
    <w:rsid w:val="005B6539"/>
    <w:rsid w:val="005C25D4"/>
    <w:rsid w:val="005D7FA9"/>
    <w:rsid w:val="005E4F41"/>
    <w:rsid w:val="005E6075"/>
    <w:rsid w:val="005E7FCC"/>
    <w:rsid w:val="006144B6"/>
    <w:rsid w:val="0062440B"/>
    <w:rsid w:val="006318F2"/>
    <w:rsid w:val="00631926"/>
    <w:rsid w:val="00646BB5"/>
    <w:rsid w:val="00661F50"/>
    <w:rsid w:val="00661FB2"/>
    <w:rsid w:val="00666BDE"/>
    <w:rsid w:val="006836D7"/>
    <w:rsid w:val="006967FD"/>
    <w:rsid w:val="006C0727"/>
    <w:rsid w:val="006D2591"/>
    <w:rsid w:val="006D4CB5"/>
    <w:rsid w:val="006D784C"/>
    <w:rsid w:val="006E145F"/>
    <w:rsid w:val="006E387F"/>
    <w:rsid w:val="006F6843"/>
    <w:rsid w:val="007059B2"/>
    <w:rsid w:val="00735489"/>
    <w:rsid w:val="007427EE"/>
    <w:rsid w:val="00770572"/>
    <w:rsid w:val="007855F2"/>
    <w:rsid w:val="0079048D"/>
    <w:rsid w:val="007A2609"/>
    <w:rsid w:val="007B3B26"/>
    <w:rsid w:val="007C641F"/>
    <w:rsid w:val="007F3E52"/>
    <w:rsid w:val="007F7346"/>
    <w:rsid w:val="00805DFF"/>
    <w:rsid w:val="00811380"/>
    <w:rsid w:val="0084301A"/>
    <w:rsid w:val="008552C9"/>
    <w:rsid w:val="00863014"/>
    <w:rsid w:val="008644EB"/>
    <w:rsid w:val="00865E18"/>
    <w:rsid w:val="008A5937"/>
    <w:rsid w:val="008B045E"/>
    <w:rsid w:val="008B3209"/>
    <w:rsid w:val="008B5F2B"/>
    <w:rsid w:val="008E1F3B"/>
    <w:rsid w:val="008E4AA7"/>
    <w:rsid w:val="008E6485"/>
    <w:rsid w:val="00905C2E"/>
    <w:rsid w:val="00913ACA"/>
    <w:rsid w:val="00923389"/>
    <w:rsid w:val="00934789"/>
    <w:rsid w:val="009412C8"/>
    <w:rsid w:val="00943AFD"/>
    <w:rsid w:val="009475AE"/>
    <w:rsid w:val="009565A8"/>
    <w:rsid w:val="00970B54"/>
    <w:rsid w:val="00980BF2"/>
    <w:rsid w:val="009848FD"/>
    <w:rsid w:val="009904B2"/>
    <w:rsid w:val="0099353E"/>
    <w:rsid w:val="009958F9"/>
    <w:rsid w:val="009B56C9"/>
    <w:rsid w:val="009B66C8"/>
    <w:rsid w:val="009E2601"/>
    <w:rsid w:val="009E5038"/>
    <w:rsid w:val="009F2FBC"/>
    <w:rsid w:val="009F39B8"/>
    <w:rsid w:val="00A25ED4"/>
    <w:rsid w:val="00A278CC"/>
    <w:rsid w:val="00A622ED"/>
    <w:rsid w:val="00A719DF"/>
    <w:rsid w:val="00A874B9"/>
    <w:rsid w:val="00AA427C"/>
    <w:rsid w:val="00AA7BE4"/>
    <w:rsid w:val="00AC12D6"/>
    <w:rsid w:val="00AE2583"/>
    <w:rsid w:val="00B005DA"/>
    <w:rsid w:val="00B23FA1"/>
    <w:rsid w:val="00B40B0D"/>
    <w:rsid w:val="00B4552C"/>
    <w:rsid w:val="00B564DE"/>
    <w:rsid w:val="00B60D93"/>
    <w:rsid w:val="00B63EC4"/>
    <w:rsid w:val="00B67D17"/>
    <w:rsid w:val="00BB3648"/>
    <w:rsid w:val="00BC4475"/>
    <w:rsid w:val="00BC5F30"/>
    <w:rsid w:val="00BE68C2"/>
    <w:rsid w:val="00BE6E28"/>
    <w:rsid w:val="00C0245A"/>
    <w:rsid w:val="00C301E0"/>
    <w:rsid w:val="00C3047B"/>
    <w:rsid w:val="00C321A3"/>
    <w:rsid w:val="00C4457D"/>
    <w:rsid w:val="00C4484B"/>
    <w:rsid w:val="00C47D09"/>
    <w:rsid w:val="00C54247"/>
    <w:rsid w:val="00C657A8"/>
    <w:rsid w:val="00CA09B2"/>
    <w:rsid w:val="00CC518C"/>
    <w:rsid w:val="00CC7DC0"/>
    <w:rsid w:val="00CC7FD1"/>
    <w:rsid w:val="00CD3BB7"/>
    <w:rsid w:val="00CE4C24"/>
    <w:rsid w:val="00D02F92"/>
    <w:rsid w:val="00D13993"/>
    <w:rsid w:val="00D22537"/>
    <w:rsid w:val="00D438FA"/>
    <w:rsid w:val="00D51566"/>
    <w:rsid w:val="00D62476"/>
    <w:rsid w:val="00DC5611"/>
    <w:rsid w:val="00DC5A7B"/>
    <w:rsid w:val="00DD1A79"/>
    <w:rsid w:val="00DF1F9B"/>
    <w:rsid w:val="00DF275B"/>
    <w:rsid w:val="00E23BDA"/>
    <w:rsid w:val="00E24F69"/>
    <w:rsid w:val="00E35B34"/>
    <w:rsid w:val="00E37E2C"/>
    <w:rsid w:val="00E5169B"/>
    <w:rsid w:val="00E8705F"/>
    <w:rsid w:val="00EC21FD"/>
    <w:rsid w:val="00ED0C66"/>
    <w:rsid w:val="00ED7F12"/>
    <w:rsid w:val="00F00AAD"/>
    <w:rsid w:val="00F12EA9"/>
    <w:rsid w:val="00F510E5"/>
    <w:rsid w:val="00F601AA"/>
    <w:rsid w:val="00F62CEC"/>
    <w:rsid w:val="00F640D9"/>
    <w:rsid w:val="00F7349E"/>
    <w:rsid w:val="00F76997"/>
    <w:rsid w:val="00F82826"/>
    <w:rsid w:val="00F93CB4"/>
    <w:rsid w:val="00FC290C"/>
    <w:rsid w:val="00FC3741"/>
    <w:rsid w:val="00FD15B5"/>
    <w:rsid w:val="00FD5740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3F96B"/>
  <w15:chartTrackingRefBased/>
  <w15:docId w15:val="{C03940D9-896A-4BDC-A752-5ABFEEE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1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1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9904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4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0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0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04B2"/>
    <w:rPr>
      <w:b/>
      <w:bCs/>
      <w:lang w:eastAsia="en-US"/>
    </w:rPr>
  </w:style>
  <w:style w:type="table" w:styleId="TableGrid">
    <w:name w:val="Table Grid"/>
    <w:basedOn w:val="TableNormal"/>
    <w:rsid w:val="00B4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89"/>
    <w:pPr>
      <w:ind w:left="720"/>
      <w:contextualSpacing/>
    </w:pPr>
  </w:style>
  <w:style w:type="paragraph" w:styleId="Revision">
    <w:name w:val="Revision"/>
    <w:hidden/>
    <w:uiPriority w:val="99"/>
    <w:semiHidden/>
    <w:rsid w:val="00C47D09"/>
    <w:rPr>
      <w:sz w:val="22"/>
      <w:lang w:eastAsia="en-US"/>
    </w:rPr>
  </w:style>
  <w:style w:type="paragraph" w:customStyle="1" w:styleId="m4400431176362933726m-2999405281815069600p1">
    <w:name w:val="m4400431176362933726m-2999405281815069600p1"/>
    <w:basedOn w:val="Normal"/>
    <w:rsid w:val="006D4CB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nledo\Documents\IEEE_802_11_May_2019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7CDBF-3F58-4243-BDFD-379C56523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527D65-9A14-4FEB-8CD8-87941BA3D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E5404-E2CA-44CB-B768-B2EFE4A5B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C:\Users\stanledo\Documents\IEEE_802_11_May_2019\802-11-Submission-Portrait.dot</Template>
  <TotalTime>154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802.11-19/0839r0</vt:lpstr>
    </vt:vector>
  </TitlesOfParts>
  <Company>Some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802.11-19/0839r0</dc:title>
  <dc:subject>Submission</dc:subject>
  <dc:creator>Dorothy Stanley</dc:creator>
  <cp:keywords>May 2019</cp:keywords>
  <dc:description>D. Stanley, HP Enterprise</dc:description>
  <cp:lastModifiedBy>Payam Torab</cp:lastModifiedBy>
  <cp:revision>58</cp:revision>
  <cp:lastPrinted>2019-05-11T21:12:00Z</cp:lastPrinted>
  <dcterms:created xsi:type="dcterms:W3CDTF">2019-09-09T15:29:00Z</dcterms:created>
  <dcterms:modified xsi:type="dcterms:W3CDTF">2019-09-16T05:48:00Z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