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B97AB0">
            <w:pPr>
              <w:pStyle w:val="T2"/>
              <w:spacing w:after="120"/>
            </w:pPr>
            <w:r>
              <w:t>Resolution for CID 2067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D61DB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</w:t>
            </w:r>
            <w:r w:rsidR="00FD61DB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E04A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FD61DB">
        <w:rPr>
          <w:rFonts w:ascii="Times New Roman" w:hAnsi="Times New Roman"/>
          <w:b w:val="0"/>
          <w:i w:val="0"/>
          <w:sz w:val="24"/>
          <w:szCs w:val="24"/>
        </w:rPr>
        <w:t xml:space="preserve"> 2067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C5EDD">
              <w:rPr>
                <w:sz w:val="24"/>
                <w:szCs w:val="24"/>
                <w:lang w:val="en-US"/>
              </w:rPr>
              <w:t>067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6C5EDD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24.9.2.2.2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3444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6C5EDD" w:rsidP="003D0E11">
            <w:pPr>
              <w:rPr>
                <w:sz w:val="24"/>
                <w:szCs w:val="24"/>
                <w:lang w:val="en-US"/>
              </w:rPr>
            </w:pPr>
            <w:r w:rsidRPr="006C5EDD">
              <w:rPr>
                <w:sz w:val="24"/>
                <w:szCs w:val="24"/>
                <w:lang w:val="en-US"/>
              </w:rPr>
              <w:t xml:space="preserve">"The STF and the CE field at the end of BRP PPDU" - what structure does these fields have?  I can guess they have the same structure as the STF and CE at the beginning of the PPDU, but </w:t>
            </w:r>
            <w:proofErr w:type="spellStart"/>
            <w:r w:rsidRPr="006C5EDD">
              <w:rPr>
                <w:sz w:val="24"/>
                <w:szCs w:val="24"/>
                <w:lang w:val="en-US"/>
              </w:rPr>
              <w:t>its</w:t>
            </w:r>
            <w:proofErr w:type="spellEnd"/>
            <w:r w:rsidRPr="006C5EDD">
              <w:rPr>
                <w:sz w:val="24"/>
                <w:szCs w:val="24"/>
                <w:lang w:val="en-US"/>
              </w:rPr>
              <w:t xml:space="preserve"> only a guess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6C5EDD" w:rsidP="00F74E55">
            <w:pPr>
              <w:rPr>
                <w:sz w:val="24"/>
                <w:szCs w:val="24"/>
                <w:lang w:val="en-US"/>
              </w:rPr>
            </w:pPr>
            <w:r w:rsidRPr="006C5EDD">
              <w:rPr>
                <w:sz w:val="24"/>
                <w:szCs w:val="24"/>
                <w:lang w:val="en-US"/>
              </w:rPr>
              <w:t>Specify that these fields have the same structure as the STF and CE at the beginning of the PPDU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Default="006C5ED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figure of interest as pointed out by the commenter: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56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corresponding description:</w:t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3509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9491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2C" w:rsidRDefault="005B7D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5EDD" w:rsidRPr="00EA543F" w:rsidRDefault="006C5EDD" w:rsidP="006C5EDD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6C5EDD" w:rsidRDefault="006C5ED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5B7D2C" w:rsidRDefault="005B7D2C" w:rsidP="005B7D2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3468.64, </w:t>
      </w:r>
      <w:bookmarkStart w:id="0" w:name="_GoBack"/>
      <w:bookmarkEnd w:id="0"/>
      <w:r w:rsidRPr="00C369BC">
        <w:rPr>
          <w:sz w:val="24"/>
          <w:szCs w:val="24"/>
          <w:highlight w:val="yellow"/>
        </w:rPr>
        <w:t xml:space="preserve">add “The STF and CE fields at the </w:t>
      </w:r>
      <w:r w:rsidR="00313CC6" w:rsidRPr="00C369BC">
        <w:rPr>
          <w:sz w:val="24"/>
          <w:szCs w:val="24"/>
          <w:highlight w:val="yellow"/>
        </w:rPr>
        <w:t>end</w:t>
      </w:r>
      <w:r w:rsidR="00C369BC" w:rsidRPr="00C369BC">
        <w:rPr>
          <w:sz w:val="24"/>
          <w:szCs w:val="24"/>
          <w:highlight w:val="yellow"/>
        </w:rPr>
        <w:t xml:space="preserve"> </w:t>
      </w:r>
      <w:r w:rsidRPr="00C369BC">
        <w:rPr>
          <w:sz w:val="24"/>
          <w:szCs w:val="24"/>
          <w:highlight w:val="yellow"/>
        </w:rPr>
        <w:t xml:space="preserve">of the BRP PPDU have the same structure as those at the </w:t>
      </w:r>
      <w:r w:rsidR="00313CC6" w:rsidRPr="00C369BC">
        <w:rPr>
          <w:sz w:val="24"/>
          <w:szCs w:val="24"/>
          <w:highlight w:val="yellow"/>
        </w:rPr>
        <w:t>beginning</w:t>
      </w:r>
      <w:r w:rsidRPr="00C369BC">
        <w:rPr>
          <w:sz w:val="24"/>
          <w:szCs w:val="24"/>
          <w:highlight w:val="yellow"/>
        </w:rPr>
        <w:t xml:space="preserve"> of the PPDU</w:t>
      </w:r>
      <w:r w:rsidR="00C369BC" w:rsidRPr="00C369BC">
        <w:rPr>
          <w:sz w:val="24"/>
          <w:szCs w:val="24"/>
          <w:highlight w:val="yellow"/>
        </w:rPr>
        <w:t xml:space="preserve"> as defined in 24.3.6 (Common preamble)</w:t>
      </w:r>
      <w:r w:rsidRPr="00C369BC">
        <w:rPr>
          <w:sz w:val="24"/>
          <w:szCs w:val="24"/>
          <w:highlight w:val="yellow"/>
        </w:rPr>
        <w:t>.”</w:t>
      </w:r>
      <w:r>
        <w:rPr>
          <w:sz w:val="24"/>
          <w:szCs w:val="24"/>
        </w:rPr>
        <w:t xml:space="preserve"> after the following sentences “</w:t>
      </w:r>
      <w:r w:rsidRPr="005B7D2C">
        <w:rPr>
          <w:sz w:val="24"/>
          <w:szCs w:val="24"/>
        </w:rPr>
        <w:t>If the Enhanced Beam Tracking Request field in the PHY header is equal to 1, each BRP PPDU(#1379) is</w:t>
      </w:r>
      <w:r>
        <w:rPr>
          <w:sz w:val="24"/>
          <w:szCs w:val="24"/>
        </w:rPr>
        <w:t xml:space="preserve"> </w:t>
      </w:r>
      <w:r w:rsidRPr="005B7D2C">
        <w:rPr>
          <w:sz w:val="24"/>
          <w:szCs w:val="24"/>
        </w:rPr>
        <w:t>composed of an STF, a CE field, and a data field followed by a training field containing an AGC training</w:t>
      </w:r>
      <w:r>
        <w:rPr>
          <w:sz w:val="24"/>
          <w:szCs w:val="24"/>
        </w:rPr>
        <w:t xml:space="preserve"> </w:t>
      </w:r>
      <w:r w:rsidRPr="005B7D2C">
        <w:rPr>
          <w:sz w:val="24"/>
          <w:szCs w:val="24"/>
        </w:rPr>
        <w:t>field, a receiver training field (TRN-R/T), an STF, and a CE field.</w:t>
      </w:r>
      <w:r>
        <w:rPr>
          <w:sz w:val="24"/>
          <w:szCs w:val="24"/>
        </w:rPr>
        <w:t>”</w:t>
      </w:r>
    </w:p>
    <w:sectPr w:rsidR="005B7D2C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A9" w:rsidRDefault="003E04A9">
      <w:r>
        <w:separator/>
      </w:r>
    </w:p>
  </w:endnote>
  <w:endnote w:type="continuationSeparator" w:id="0">
    <w:p w:rsidR="003E04A9" w:rsidRDefault="003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E04A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C369BC">
      <w:rPr>
        <w:noProof/>
      </w:rPr>
      <w:t>3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A9" w:rsidRDefault="003E04A9">
      <w:r>
        <w:separator/>
      </w:r>
    </w:p>
  </w:footnote>
  <w:footnote w:type="continuationSeparator" w:id="0">
    <w:p w:rsidR="003E04A9" w:rsidRDefault="003E0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3E04A9">
      <w:fldChar w:fldCharType="begin"/>
    </w:r>
    <w:r w:rsidR="003E04A9">
      <w:instrText xml:space="preserve"> TITLE  \* MERGEFORMAT </w:instrText>
    </w:r>
    <w:r w:rsidR="003E04A9">
      <w:fldChar w:fldCharType="separate"/>
    </w:r>
    <w:r w:rsidR="00406423">
      <w:t>doc.: IEEE 802.11-19/14</w:t>
    </w:r>
    <w:r w:rsidR="001206E1">
      <w:t>5</w:t>
    </w:r>
    <w:r w:rsidR="00FD61DB">
      <w:t>3</w:t>
    </w:r>
    <w:r w:rsidR="00B45D6F">
      <w:t>r</w:t>
    </w:r>
    <w:r w:rsidR="00FD61DB">
      <w:t>0</w:t>
    </w:r>
    <w:r w:rsidR="003E04A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D0EE-DE0F-4ED2-8658-25AB14A9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19/1452r1</vt:lpstr>
    </vt:vector>
  </TitlesOfParts>
  <Company>Huawei Technologies</Company>
  <LinksUpToDate>false</LinksUpToDate>
  <CharactersWithSpaces>1441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19/1453r0</dc:title>
  <dc:subject>Comment Resolution for CID1014</dc:subject>
  <dc:creator>Edward Au</dc:creator>
  <cp:keywords>Submission</cp:keywords>
  <dc:description>Resolution for CID 2067</dc:description>
  <cp:lastModifiedBy>Edward Au</cp:lastModifiedBy>
  <cp:revision>338</cp:revision>
  <cp:lastPrinted>2011-03-31T18:31:00Z</cp:lastPrinted>
  <dcterms:created xsi:type="dcterms:W3CDTF">2017-12-15T16:00:00Z</dcterms:created>
  <dcterms:modified xsi:type="dcterms:W3CDTF">2019-08-22T15:10:00Z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