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2353FC" w:rsidP="00B97AB0">
            <w:pPr>
              <w:pStyle w:val="T2"/>
              <w:spacing w:after="120"/>
            </w:pPr>
            <w:r>
              <w:t>Resolution for CID 2222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D3625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2353FC">
        <w:rPr>
          <w:rFonts w:ascii="Times New Roman" w:hAnsi="Times New Roman"/>
          <w:b w:val="0"/>
          <w:i w:val="0"/>
          <w:sz w:val="24"/>
          <w:szCs w:val="24"/>
        </w:rPr>
        <w:t xml:space="preserve"> 2222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A1FB5">
              <w:rPr>
                <w:sz w:val="24"/>
                <w:szCs w:val="24"/>
                <w:lang w:val="en-US"/>
              </w:rPr>
              <w:t>2</w:t>
            </w:r>
            <w:r w:rsidR="00E83AC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F74E55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F74E55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113D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F74E55" w:rsidP="003D0E11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11-20, what does "HC/non-AP STA" mean?  ("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or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>"?  "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 xml:space="preserve">"?  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something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 xml:space="preserve"> else?)  Similarly, globally, for all "HC/non-AP" or "HC/AP"?  "AP/STA"?  "AP/HC"? "STA/Supplicant"  "AP/Authenticator"</w:t>
            </w:r>
          </w:p>
        </w:tc>
        <w:tc>
          <w:tcPr>
            <w:tcW w:w="1745" w:type="pct"/>
            <w:shd w:val="clear" w:color="auto" w:fill="auto"/>
          </w:tcPr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Change the definition of association from "The service used to establish access point/station (AP/STA) mapping ..." to "The service used to establish a mapping between an access point (AP) and a station (STA) ...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".</w:t>
            </w:r>
            <w:proofErr w:type="gramEnd"/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P2150.55, change "AP/HC" to "AP or HC".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12-54, change "AP/Authenticator" to "AP and Authenticator", and "STA/</w:t>
            </w:r>
            <w:proofErr w:type="spellStart"/>
            <w:r w:rsidRPr="00F74E55">
              <w:rPr>
                <w:sz w:val="24"/>
                <w:szCs w:val="24"/>
                <w:lang w:val="en-US"/>
              </w:rPr>
              <w:t>Supllicant</w:t>
            </w:r>
            <w:proofErr w:type="spellEnd"/>
            <w:r w:rsidRPr="00F74E55">
              <w:rPr>
                <w:sz w:val="24"/>
                <w:szCs w:val="24"/>
                <w:lang w:val="en-US"/>
              </w:rPr>
              <w:t>" to "STA and Supplicant"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1126.3, change "HC/AP" to "HC".  In Figures 11-18 and 11-20, and at P2220.12, P2220.17, P2220.21, P2221.21, P2224.22 and P2229.17, change "HC/non-AP" to "HC"</w:t>
            </w:r>
          </w:p>
          <w:p w:rsidR="008E50F4" w:rsidRPr="001E491B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12.7.6.6, second paragraph, change "the STA" to "the Supplicant", and change "AP/STA" to "AP or peer STA".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F673BC" w:rsidRDefault="00F673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The figure of interest is shown below.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 xml:space="preserve"> </w:t>
      </w:r>
      <w:r w:rsidRPr="00796E27">
        <w:rPr>
          <w:noProof/>
          <w:sz w:val="24"/>
          <w:szCs w:val="24"/>
          <w:lang w:val="en-US" w:eastAsia="zh-CN"/>
        </w:rPr>
        <w:drawing>
          <wp:inline distT="0" distB="0" distL="0" distR="0" wp14:anchorId="0EE7C073" wp14:editId="6BCEC56E">
            <wp:extent cx="5612765" cy="526542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92" cy="52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In clause 3.1 (Definition):</w:t>
      </w:r>
    </w:p>
    <w:p w:rsidR="00EA543F" w:rsidRPr="00EA543F" w:rsidRDefault="00482024" w:rsidP="00EA543F">
      <w:pPr>
        <w:spacing w:after="240"/>
        <w:jc w:val="both"/>
        <w:rPr>
          <w:sz w:val="24"/>
          <w:szCs w:val="24"/>
        </w:rPr>
      </w:pPr>
      <w:r w:rsidRPr="00C060A7">
        <w:rPr>
          <w:noProof/>
          <w:sz w:val="24"/>
          <w:szCs w:val="24"/>
          <w:lang w:val="en-US" w:eastAsia="zh-CN"/>
        </w:rPr>
        <w:drawing>
          <wp:inline distT="0" distB="0" distL="0" distR="0" wp14:anchorId="48797969" wp14:editId="77337C85">
            <wp:extent cx="6400800" cy="4159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</w:p>
    <w:p w:rsidR="009F71AF" w:rsidRDefault="009F71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Revised</w:t>
      </w:r>
    </w:p>
    <w:p w:rsidR="00EA543F" w:rsidRPr="00EA543F" w:rsidRDefault="00E0313B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158.5, c</w:t>
      </w:r>
      <w:r w:rsidR="00EA543F" w:rsidRPr="00EA543F">
        <w:rPr>
          <w:sz w:val="24"/>
          <w:szCs w:val="24"/>
        </w:rPr>
        <w:t xml:space="preserve">hange the </w:t>
      </w:r>
      <w:r w:rsidR="009F71AF">
        <w:rPr>
          <w:sz w:val="24"/>
          <w:szCs w:val="24"/>
        </w:rPr>
        <w:t xml:space="preserve">definition of association </w:t>
      </w:r>
      <w:r w:rsidR="0081473B">
        <w:rPr>
          <w:sz w:val="24"/>
          <w:szCs w:val="24"/>
        </w:rPr>
        <w:t xml:space="preserve">in clause 3.1 </w:t>
      </w:r>
      <w:r w:rsidR="009F71AF">
        <w:rPr>
          <w:sz w:val="24"/>
          <w:szCs w:val="24"/>
        </w:rPr>
        <w:t>from “</w:t>
      </w:r>
      <w:r w:rsidR="00EA543F" w:rsidRPr="00EA543F">
        <w:rPr>
          <w:sz w:val="24"/>
          <w:szCs w:val="24"/>
        </w:rPr>
        <w:t>The service used to establish access poi</w:t>
      </w:r>
      <w:r w:rsidR="009F71AF">
        <w:rPr>
          <w:sz w:val="24"/>
          <w:szCs w:val="24"/>
        </w:rPr>
        <w:t>nt/station (AP/STA) mapping ...” to “</w:t>
      </w:r>
      <w:r w:rsidR="00EA543F" w:rsidRPr="00EA543F">
        <w:rPr>
          <w:sz w:val="24"/>
          <w:szCs w:val="24"/>
        </w:rPr>
        <w:t>The service used to establish a mapping between an access poi</w:t>
      </w:r>
      <w:r w:rsidR="009F71AF">
        <w:rPr>
          <w:sz w:val="24"/>
          <w:szCs w:val="24"/>
        </w:rPr>
        <w:t>nt (AP) and a station (STA) ...”</w:t>
      </w:r>
      <w:r w:rsidR="00EA543F" w:rsidRPr="00EA543F">
        <w:rPr>
          <w:sz w:val="24"/>
          <w:szCs w:val="24"/>
        </w:rPr>
        <w:t>.</w:t>
      </w:r>
    </w:p>
    <w:p w:rsidR="00EA543F" w:rsidRPr="00EA543F" w:rsidRDefault="001F2C36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P2172.4</w:t>
      </w:r>
      <w:r w:rsidR="002E5E0E">
        <w:rPr>
          <w:sz w:val="24"/>
          <w:szCs w:val="24"/>
        </w:rPr>
        <w:t>, change “AP/HC” to “AP or HC”</w:t>
      </w:r>
      <w:r w:rsidR="00EA543F" w:rsidRPr="00EA543F">
        <w:rPr>
          <w:sz w:val="24"/>
          <w:szCs w:val="24"/>
        </w:rPr>
        <w:t>.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In Figure 12-5</w:t>
      </w:r>
      <w:r w:rsidR="002E5E0E">
        <w:rPr>
          <w:sz w:val="24"/>
          <w:szCs w:val="24"/>
        </w:rPr>
        <w:t>5</w:t>
      </w:r>
      <w:r w:rsidRPr="00EA543F">
        <w:rPr>
          <w:sz w:val="24"/>
          <w:szCs w:val="24"/>
        </w:rPr>
        <w:t xml:space="preserve">, change </w:t>
      </w:r>
      <w:r w:rsidR="002E5E0E">
        <w:rPr>
          <w:sz w:val="24"/>
          <w:szCs w:val="24"/>
        </w:rPr>
        <w:t>“AP/Authenticator” to “AP and Authenticator”, and “STA/</w:t>
      </w:r>
      <w:proofErr w:type="spellStart"/>
      <w:r w:rsidR="002E5E0E">
        <w:rPr>
          <w:sz w:val="24"/>
          <w:szCs w:val="24"/>
        </w:rPr>
        <w:t>Suplicant</w:t>
      </w:r>
      <w:proofErr w:type="spellEnd"/>
      <w:r w:rsidR="002E5E0E">
        <w:rPr>
          <w:sz w:val="24"/>
          <w:szCs w:val="24"/>
        </w:rPr>
        <w:t>” to “STA and Supplicant”.</w:t>
      </w:r>
    </w:p>
    <w:p w:rsidR="00EA543F" w:rsidRPr="00EA543F" w:rsidRDefault="00E71AA4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1139</w:t>
      </w:r>
      <w:r w:rsidR="00EA543F" w:rsidRPr="00EA543F">
        <w:rPr>
          <w:sz w:val="24"/>
          <w:szCs w:val="24"/>
        </w:rPr>
        <w:t>.</w:t>
      </w:r>
      <w:r>
        <w:rPr>
          <w:sz w:val="24"/>
          <w:szCs w:val="24"/>
        </w:rPr>
        <w:t>21, change “HC/AP” to “HC”</w:t>
      </w:r>
      <w:r w:rsidR="00EA543F" w:rsidRPr="00EA543F">
        <w:rPr>
          <w:sz w:val="24"/>
          <w:szCs w:val="24"/>
        </w:rPr>
        <w:t xml:space="preserve">.  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In Figur</w:t>
      </w:r>
      <w:r w:rsidR="00B27C54">
        <w:rPr>
          <w:sz w:val="24"/>
          <w:szCs w:val="24"/>
        </w:rPr>
        <w:t>es 11-18 and 11-20, and at P2241</w:t>
      </w:r>
      <w:r w:rsidRPr="00EA543F">
        <w:rPr>
          <w:sz w:val="24"/>
          <w:szCs w:val="24"/>
        </w:rPr>
        <w:t>.</w:t>
      </w:r>
      <w:r w:rsidR="00B27C54">
        <w:rPr>
          <w:sz w:val="24"/>
          <w:szCs w:val="24"/>
        </w:rPr>
        <w:t>28, P2241</w:t>
      </w:r>
      <w:r w:rsidRPr="00EA543F">
        <w:rPr>
          <w:sz w:val="24"/>
          <w:szCs w:val="24"/>
        </w:rPr>
        <w:t>.</w:t>
      </w:r>
      <w:r w:rsidR="00B27C54">
        <w:rPr>
          <w:sz w:val="24"/>
          <w:szCs w:val="24"/>
        </w:rPr>
        <w:t>33, P2241</w:t>
      </w:r>
      <w:r w:rsidRPr="00EA543F">
        <w:rPr>
          <w:sz w:val="24"/>
          <w:szCs w:val="24"/>
        </w:rPr>
        <w:t>.</w:t>
      </w:r>
      <w:r w:rsidR="00B27C54">
        <w:rPr>
          <w:sz w:val="24"/>
          <w:szCs w:val="24"/>
        </w:rPr>
        <w:t>36, P2242</w:t>
      </w:r>
      <w:r w:rsidRPr="00EA543F">
        <w:rPr>
          <w:sz w:val="24"/>
          <w:szCs w:val="24"/>
        </w:rPr>
        <w:t>.</w:t>
      </w:r>
      <w:r w:rsidR="00B27C54">
        <w:rPr>
          <w:sz w:val="24"/>
          <w:szCs w:val="24"/>
        </w:rPr>
        <w:t>38</w:t>
      </w:r>
      <w:r w:rsidRPr="00EA543F">
        <w:rPr>
          <w:sz w:val="24"/>
          <w:szCs w:val="24"/>
        </w:rPr>
        <w:t>,</w:t>
      </w:r>
      <w:r w:rsidR="00B27C54">
        <w:rPr>
          <w:sz w:val="24"/>
          <w:szCs w:val="24"/>
        </w:rPr>
        <w:t xml:space="preserve"> P2245</w:t>
      </w:r>
      <w:r w:rsidR="002B4B64">
        <w:rPr>
          <w:sz w:val="24"/>
          <w:szCs w:val="24"/>
        </w:rPr>
        <w:t>.</w:t>
      </w:r>
      <w:r w:rsidR="00B27C54">
        <w:rPr>
          <w:sz w:val="24"/>
          <w:szCs w:val="24"/>
        </w:rPr>
        <w:t>42</w:t>
      </w:r>
      <w:r w:rsidR="009E0796">
        <w:rPr>
          <w:sz w:val="24"/>
          <w:szCs w:val="24"/>
        </w:rPr>
        <w:t xml:space="preserve"> and P2250</w:t>
      </w:r>
      <w:r w:rsidR="002B4B64">
        <w:rPr>
          <w:sz w:val="24"/>
          <w:szCs w:val="24"/>
        </w:rPr>
        <w:t>.</w:t>
      </w:r>
      <w:r w:rsidR="009E0796">
        <w:rPr>
          <w:sz w:val="24"/>
          <w:szCs w:val="24"/>
        </w:rPr>
        <w:t>48</w:t>
      </w:r>
      <w:r w:rsidR="002B4B64">
        <w:rPr>
          <w:sz w:val="24"/>
          <w:szCs w:val="24"/>
        </w:rPr>
        <w:t>, change “</w:t>
      </w:r>
      <w:r w:rsidRPr="00EA543F">
        <w:rPr>
          <w:sz w:val="24"/>
          <w:szCs w:val="24"/>
        </w:rPr>
        <w:t>HC/</w:t>
      </w:r>
      <w:r w:rsidR="002B4B64">
        <w:rPr>
          <w:sz w:val="24"/>
          <w:szCs w:val="24"/>
        </w:rPr>
        <w:t>non-AP” to “HC”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 xml:space="preserve">In </w:t>
      </w:r>
      <w:r w:rsidR="00402CD1">
        <w:rPr>
          <w:sz w:val="24"/>
          <w:szCs w:val="24"/>
        </w:rPr>
        <w:t xml:space="preserve">clause </w:t>
      </w:r>
      <w:r w:rsidRPr="00EA543F">
        <w:rPr>
          <w:sz w:val="24"/>
          <w:szCs w:val="24"/>
        </w:rPr>
        <w:t>12.7.6.6, second paragraph</w:t>
      </w:r>
      <w:r w:rsidR="00C8109A">
        <w:rPr>
          <w:sz w:val="24"/>
          <w:szCs w:val="24"/>
        </w:rPr>
        <w:t xml:space="preserve"> at 2663.19-20</w:t>
      </w:r>
      <w:r w:rsidRPr="00EA543F">
        <w:rPr>
          <w:sz w:val="24"/>
          <w:szCs w:val="24"/>
        </w:rPr>
        <w:t>, change "the STA" to "the Supplicant", and change "AP/STA" to "AP or peer STA".</w:t>
      </w:r>
    </w:p>
    <w:p w:rsidR="00EA543F" w:rsidRPr="00EA543F" w:rsidRDefault="009E399E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1848</w:t>
      </w:r>
      <w:r w:rsidR="00EA543F" w:rsidRPr="00EA543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A543F" w:rsidRPr="00EA543F">
        <w:rPr>
          <w:sz w:val="24"/>
          <w:szCs w:val="24"/>
        </w:rPr>
        <w:t>7, change “STA/AP” with “STA”.</w:t>
      </w:r>
    </w:p>
    <w:p w:rsidR="004C131E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At 22</w:t>
      </w:r>
      <w:r w:rsidR="00B5097D">
        <w:rPr>
          <w:sz w:val="24"/>
          <w:szCs w:val="24"/>
        </w:rPr>
        <w:t>4</w:t>
      </w:r>
      <w:r w:rsidRPr="00EA543F">
        <w:rPr>
          <w:sz w:val="24"/>
          <w:szCs w:val="24"/>
        </w:rPr>
        <w:t>7.</w:t>
      </w:r>
      <w:r w:rsidR="00B5097D">
        <w:rPr>
          <w:sz w:val="24"/>
          <w:szCs w:val="24"/>
        </w:rPr>
        <w:t>40</w:t>
      </w:r>
      <w:r w:rsidRPr="00EA543F">
        <w:rPr>
          <w:sz w:val="24"/>
          <w:szCs w:val="24"/>
        </w:rPr>
        <w:t>, change “non-PCP / non-AP STA” with “non-PCP and non-AP STA”.</w:t>
      </w:r>
    </w:p>
    <w:p w:rsidR="00953535" w:rsidRDefault="00953535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commenter:  The first 6 items are the proposed changes of the commenter, except that the page numbers are updated</w:t>
      </w:r>
      <w:r w:rsidR="00962C13">
        <w:rPr>
          <w:sz w:val="24"/>
          <w:szCs w:val="24"/>
        </w:rPr>
        <w:t xml:space="preserve"> because the proposed resolution is drafted based on D2.3</w:t>
      </w:r>
      <w:r>
        <w:rPr>
          <w:sz w:val="24"/>
          <w:szCs w:val="24"/>
        </w:rPr>
        <w:t xml:space="preserve">. </w:t>
      </w:r>
    </w:p>
    <w:sectPr w:rsidR="00953535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53" w:rsidRDefault="00D36253">
      <w:r>
        <w:separator/>
      </w:r>
    </w:p>
  </w:endnote>
  <w:endnote w:type="continuationSeparator" w:id="0">
    <w:p w:rsidR="00D36253" w:rsidRDefault="00D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D3625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406423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53" w:rsidRDefault="00D36253">
      <w:r>
        <w:separator/>
      </w:r>
    </w:p>
  </w:footnote>
  <w:footnote w:type="continuationSeparator" w:id="0">
    <w:p w:rsidR="00D36253" w:rsidRDefault="00D3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D36253">
      <w:fldChar w:fldCharType="begin"/>
    </w:r>
    <w:r w:rsidR="00D36253">
      <w:instrText xml:space="preserve"> TITLE  \* MERGEFORMAT </w:instrText>
    </w:r>
    <w:r w:rsidR="00D36253">
      <w:fldChar w:fldCharType="separate"/>
    </w:r>
    <w:r w:rsidR="00406423">
      <w:t>doc.: IEEE 802.11-19/1443</w:t>
    </w:r>
    <w:r w:rsidR="00B45D6F">
      <w:t>r</w:t>
    </w:r>
    <w:r w:rsidR="00367172">
      <w:t>0</w:t>
    </w:r>
    <w:r w:rsidR="00D3625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86CE-5A38-48D0-8FE2-1A65D55D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19/1396r0</vt:lpstr>
    </vt:vector>
  </TitlesOfParts>
  <Company>Huawei Technologies</Company>
  <LinksUpToDate>false</LinksUpToDate>
  <CharactersWithSpaces>2433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19/1443r0</dc:title>
  <dc:subject>Comment Resolution for CID1014</dc:subject>
  <dc:creator>Edward Au</dc:creator>
  <cp:keywords>Submission</cp:keywords>
  <dc:description>Resolution for CID 2222</dc:description>
  <cp:lastModifiedBy>Edward Au</cp:lastModifiedBy>
  <cp:revision>276</cp:revision>
  <cp:lastPrinted>2011-03-31T18:31:00Z</cp:lastPrinted>
  <dcterms:created xsi:type="dcterms:W3CDTF">2017-12-15T16:00:00Z</dcterms:created>
  <dcterms:modified xsi:type="dcterms:W3CDTF">2019-08-19T16:23:00Z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