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843902" w:rsidRDefault="00843902">
                            <w:pPr>
                              <w:pStyle w:val="T1"/>
                              <w:spacing w:after="120"/>
                            </w:pPr>
                            <w:r>
                              <w:t>Abstract</w:t>
                            </w:r>
                          </w:p>
                          <w:p w14:paraId="30292F72" w14:textId="480D7F65" w:rsidR="00843902" w:rsidRDefault="00843902">
                            <w:pPr>
                              <w:jc w:val="both"/>
                            </w:pPr>
                            <w:r>
                              <w:t>This document contains the draft agenda for the August and September 2019 TGbe teleconferences.</w:t>
                            </w:r>
                          </w:p>
                          <w:p w14:paraId="370DF1EB" w14:textId="77777777" w:rsidR="00843902" w:rsidRDefault="00843902">
                            <w:pPr>
                              <w:jc w:val="both"/>
                            </w:pPr>
                          </w:p>
                          <w:p w14:paraId="1D099F7C" w14:textId="77777777" w:rsidR="00843902" w:rsidRPr="00353E2D" w:rsidRDefault="00843902" w:rsidP="00353E2D">
                            <w:pPr>
                              <w:jc w:val="both"/>
                            </w:pPr>
                            <w:r w:rsidRPr="00353E2D">
                              <w:t>Revisions:</w:t>
                            </w:r>
                          </w:p>
                          <w:p w14:paraId="15380BFA" w14:textId="71302183" w:rsidR="00843902" w:rsidRDefault="00843902" w:rsidP="00353E2D">
                            <w:pPr>
                              <w:pStyle w:val="ListParagraph"/>
                              <w:numPr>
                                <w:ilvl w:val="0"/>
                                <w:numId w:val="23"/>
                              </w:numPr>
                              <w:jc w:val="both"/>
                              <w:rPr>
                                <w:sz w:val="22"/>
                              </w:rPr>
                            </w:pPr>
                            <w:r w:rsidRPr="00353E2D">
                              <w:rPr>
                                <w:sz w:val="22"/>
                              </w:rPr>
                              <w:t>Rev 0: Initial version of the document</w:t>
                            </w:r>
                            <w:r>
                              <w:rPr>
                                <w:sz w:val="22"/>
                              </w:rPr>
                              <w:t>.</w:t>
                            </w:r>
                          </w:p>
                          <w:p w14:paraId="6CDA0DD8" w14:textId="5C96B0E7" w:rsidR="00843902" w:rsidRPr="00353E2D" w:rsidRDefault="00843902" w:rsidP="00353E2D">
                            <w:pPr>
                              <w:pStyle w:val="ListParagraph"/>
                              <w:numPr>
                                <w:ilvl w:val="0"/>
                                <w:numId w:val="23"/>
                              </w:numPr>
                              <w:jc w:val="both"/>
                              <w:rPr>
                                <w:sz w:val="22"/>
                              </w:rPr>
                            </w:pPr>
                          </w:p>
                          <w:p w14:paraId="730722BE" w14:textId="77777777" w:rsidR="00843902" w:rsidRDefault="00843902">
                            <w:pPr>
                              <w:jc w:val="both"/>
                            </w:pPr>
                          </w:p>
                          <w:p w14:paraId="73CCC2AA" w14:textId="77777777" w:rsidR="00843902" w:rsidRDefault="0084390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843902" w:rsidRDefault="00843902">
                      <w:pPr>
                        <w:pStyle w:val="T1"/>
                        <w:spacing w:after="120"/>
                      </w:pPr>
                      <w:r>
                        <w:t>Abstract</w:t>
                      </w:r>
                    </w:p>
                    <w:p w14:paraId="30292F72" w14:textId="480D7F65" w:rsidR="00843902" w:rsidRDefault="00843902">
                      <w:pPr>
                        <w:jc w:val="both"/>
                      </w:pPr>
                      <w:r>
                        <w:t>This document contains the draft agenda for the August and September 2019 TGbe teleconferences.</w:t>
                      </w:r>
                    </w:p>
                    <w:p w14:paraId="370DF1EB" w14:textId="77777777" w:rsidR="00843902" w:rsidRDefault="00843902">
                      <w:pPr>
                        <w:jc w:val="both"/>
                      </w:pPr>
                    </w:p>
                    <w:p w14:paraId="1D099F7C" w14:textId="77777777" w:rsidR="00843902" w:rsidRPr="00353E2D" w:rsidRDefault="00843902" w:rsidP="00353E2D">
                      <w:pPr>
                        <w:jc w:val="both"/>
                      </w:pPr>
                      <w:r w:rsidRPr="00353E2D">
                        <w:t>Revisions:</w:t>
                      </w:r>
                    </w:p>
                    <w:p w14:paraId="15380BFA" w14:textId="71302183" w:rsidR="00843902" w:rsidRDefault="00843902" w:rsidP="00353E2D">
                      <w:pPr>
                        <w:pStyle w:val="ListParagraph"/>
                        <w:numPr>
                          <w:ilvl w:val="0"/>
                          <w:numId w:val="23"/>
                        </w:numPr>
                        <w:jc w:val="both"/>
                        <w:rPr>
                          <w:sz w:val="22"/>
                        </w:rPr>
                      </w:pPr>
                      <w:r w:rsidRPr="00353E2D">
                        <w:rPr>
                          <w:sz w:val="22"/>
                        </w:rPr>
                        <w:t>Rev 0: Initial version of the document</w:t>
                      </w:r>
                      <w:r>
                        <w:rPr>
                          <w:sz w:val="22"/>
                        </w:rPr>
                        <w:t>.</w:t>
                      </w:r>
                    </w:p>
                    <w:p w14:paraId="6CDA0DD8" w14:textId="5C96B0E7" w:rsidR="00843902" w:rsidRPr="00353E2D" w:rsidRDefault="00843902" w:rsidP="00353E2D">
                      <w:pPr>
                        <w:pStyle w:val="ListParagraph"/>
                        <w:numPr>
                          <w:ilvl w:val="0"/>
                          <w:numId w:val="23"/>
                        </w:numPr>
                        <w:jc w:val="both"/>
                        <w:rPr>
                          <w:sz w:val="22"/>
                        </w:rPr>
                      </w:pPr>
                    </w:p>
                    <w:p w14:paraId="730722BE" w14:textId="77777777" w:rsidR="00843902" w:rsidRDefault="00843902">
                      <w:pPr>
                        <w:jc w:val="both"/>
                      </w:pPr>
                    </w:p>
                    <w:p w14:paraId="73CCC2AA" w14:textId="77777777" w:rsidR="00843902" w:rsidRDefault="00843902">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6179D953" w14:textId="1A932537" w:rsidR="00356D1F" w:rsidRDefault="00356D1F" w:rsidP="00356D1F"/>
    <w:p w14:paraId="00FF5508" w14:textId="7EB6B70B" w:rsidR="002E5445" w:rsidRDefault="002E5445" w:rsidP="002E5445"/>
    <w:tbl>
      <w:tblPr>
        <w:tblW w:w="10160" w:type="dxa"/>
        <w:tblLayout w:type="fixed"/>
        <w:tblCellMar>
          <w:left w:w="0" w:type="dxa"/>
          <w:right w:w="0" w:type="dxa"/>
        </w:tblCellMar>
        <w:tblLook w:val="0420" w:firstRow="1" w:lastRow="0" w:firstColumn="0" w:lastColumn="0" w:noHBand="0" w:noVBand="1"/>
      </w:tblPr>
      <w:tblGrid>
        <w:gridCol w:w="766"/>
        <w:gridCol w:w="4804"/>
        <w:gridCol w:w="1910"/>
        <w:gridCol w:w="1260"/>
        <w:gridCol w:w="1420"/>
      </w:tblGrid>
      <w:tr w:rsidR="00C26114" w:rsidRPr="00BA5D26" w14:paraId="36B3C56A" w14:textId="77777777" w:rsidTr="008076E4">
        <w:trPr>
          <w:trHeight w:val="61"/>
        </w:trPr>
        <w:tc>
          <w:tcPr>
            <w:tcW w:w="766"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804"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4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8076E4">
        <w:trPr>
          <w:trHeight w:val="205"/>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7BCB3EA6" w:rsidR="000B1EDB" w:rsidRPr="008076E4" w:rsidRDefault="000B1EDB" w:rsidP="000B1EDB">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762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8076E4" w:rsidRDefault="000B1EDB" w:rsidP="000B1EDB">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Latency analysis for EHT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8076E4" w:rsidRDefault="000B1EDB" w:rsidP="000B1EDB">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Suhwook</w:t>
            </w:r>
            <w:r w:rsidRPr="008076E4">
              <w:rPr>
                <w:rFonts w:asciiTheme="minorHAnsi" w:eastAsiaTheme="minorEastAsia" w:cstheme="minorBidi"/>
                <w:color w:val="000000" w:themeColor="text1"/>
                <w:kern w:val="24"/>
              </w:rPr>
              <w:t xml:space="preserve"> </w:t>
            </w:r>
            <w:r w:rsidRPr="00BA5D26">
              <w:rPr>
                <w:rFonts w:asciiTheme="minorHAnsi" w:eastAsiaTheme="minorEastAsia" w:cstheme="minorBidi"/>
                <w:color w:val="000000" w:themeColor="text1"/>
                <w:kern w:val="24"/>
              </w:rPr>
              <w:t>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46DE5E36" w:rsidR="000B1EDB" w:rsidRPr="008076E4" w:rsidRDefault="000B1EDB" w:rsidP="000B1EDB">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8076E4" w:rsidRDefault="000B1EDB" w:rsidP="000B1EDB">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Low-Lat</w:t>
            </w:r>
          </w:p>
        </w:tc>
      </w:tr>
      <w:tr w:rsidR="00724252" w:rsidRPr="00BA5D26" w14:paraId="55B8614C" w14:textId="77777777" w:rsidTr="008076E4">
        <w:trPr>
          <w:trHeight w:val="61"/>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79EC228E"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1118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Enhancements for Time-Critical Data </w:t>
            </w:r>
            <w:r w:rsidR="00C30FB3">
              <w:rPr>
                <w:rFonts w:asciiTheme="minorHAnsi" w:eastAsiaTheme="minorEastAsia" w:cstheme="minorBidi"/>
                <w:color w:val="000000" w:themeColor="text1"/>
                <w:kern w:val="24"/>
              </w:rPr>
              <w:t>TX</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6AC464E4"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8076E4" w:rsidRDefault="00C30FB3" w:rsidP="00724252">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Low-Lat</w:t>
            </w:r>
          </w:p>
        </w:tc>
      </w:tr>
      <w:tr w:rsidR="003F6E1F" w:rsidRPr="00BA5D26" w14:paraId="6DE922C3" w14:textId="77777777" w:rsidTr="008076E4">
        <w:trPr>
          <w:trHeight w:val="169"/>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640672B5"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1175</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Cons</w:t>
            </w:r>
            <w:r w:rsidR="008076E4">
              <w:rPr>
                <w:rFonts w:asciiTheme="minorHAnsi" w:eastAsiaTheme="minorEastAsia" w:cstheme="minorBidi"/>
                <w:color w:val="000000" w:themeColor="text1"/>
                <w:kern w:val="24"/>
              </w:rPr>
              <w:t>.</w:t>
            </w:r>
            <w:r>
              <w:rPr>
                <w:rFonts w:asciiTheme="minorHAnsi" w:eastAsiaTheme="minorEastAsia" w:cstheme="minorBidi"/>
                <w:color w:val="000000" w:themeColor="text1"/>
                <w:kern w:val="24"/>
              </w:rPr>
              <w:t xml:space="preserve"> of new queue mechanisms 4 real-time apps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Kate Meng Xing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7005ADD6"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8076E4" w:rsidRDefault="00C30FB3" w:rsidP="003F6E1F">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Low-Lat</w:t>
            </w:r>
          </w:p>
        </w:tc>
      </w:tr>
      <w:tr w:rsidR="003F6E1F" w:rsidRPr="00BA5D26" w14:paraId="6748E926" w14:textId="77777777" w:rsidTr="008076E4">
        <w:trPr>
          <w:trHeight w:val="88"/>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37E9529D"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1207</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Views on Latency and Jitter Features in TGbe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2563441D"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8076E4" w:rsidRDefault="00C30FB3" w:rsidP="003F6E1F">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Low-Lat</w:t>
            </w:r>
          </w:p>
        </w:tc>
      </w:tr>
      <w:tr w:rsidR="009E4EBD" w:rsidRPr="00BA5D26" w14:paraId="63ECD626" w14:textId="77777777" w:rsidTr="00280C5A">
        <w:trPr>
          <w:trHeight w:val="16"/>
        </w:trPr>
        <w:tc>
          <w:tcPr>
            <w:tcW w:w="1016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8076E4" w:rsidRDefault="009E4EBD" w:rsidP="003F6E1F">
            <w:pPr>
              <w:rPr>
                <w:rFonts w:asciiTheme="minorHAnsi" w:eastAsiaTheme="minorEastAsia" w:cstheme="minorBidi"/>
                <w:color w:val="000000" w:themeColor="text1"/>
                <w:kern w:val="24"/>
              </w:rPr>
            </w:pPr>
          </w:p>
        </w:tc>
      </w:tr>
      <w:tr w:rsidR="00C26114" w:rsidRPr="00BA5D26" w14:paraId="67C0C1D1" w14:textId="77777777" w:rsidTr="008076E4">
        <w:trPr>
          <w:trHeight w:val="34"/>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77777777" w:rsidR="00BA5D26" w:rsidRPr="00BA5D26" w:rsidRDefault="00BA5D26" w:rsidP="00BA5D26">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806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BA5D26" w:rsidRDefault="00BA5D26" w:rsidP="00BA5D26">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Enabling persistent allocation for EHT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BA5D26" w:rsidRDefault="00BA5D26" w:rsidP="00BA5D26">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77777777" w:rsidR="00BA5D26" w:rsidRPr="00BA5D26" w:rsidRDefault="00BA5D26" w:rsidP="00BA5D26">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BA5D26" w:rsidRDefault="00C26114" w:rsidP="00BA5D26">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M</w:t>
            </w:r>
            <w:r w:rsidR="00A31046" w:rsidRPr="008076E4">
              <w:rPr>
                <w:rFonts w:asciiTheme="minorHAnsi" w:eastAsiaTheme="minorEastAsia" w:cstheme="minorBidi"/>
                <w:color w:val="000000" w:themeColor="text1"/>
                <w:kern w:val="24"/>
              </w:rPr>
              <w:t>AC</w:t>
            </w:r>
          </w:p>
        </w:tc>
      </w:tr>
      <w:tr w:rsidR="00724252" w:rsidRPr="00BA5D26" w14:paraId="567F2D7B" w14:textId="77777777" w:rsidTr="008076E4">
        <w:trPr>
          <w:trHeight w:val="70"/>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42B67994"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1117</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Direct Link MU transmissions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Stephane Baron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0A7EA57B"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8076E4" w:rsidRDefault="008076E4" w:rsidP="00724252">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MAC</w:t>
            </w:r>
          </w:p>
        </w:tc>
      </w:tr>
      <w:tr w:rsidR="003F6E1F" w:rsidRPr="00BA5D26" w14:paraId="3A55AAFC" w14:textId="77777777" w:rsidTr="008076E4">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5CD2D15D"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1242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Wider Bandwidth Channel Access in EHT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Woojin Ahn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7C586697"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8076E4" w:rsidRDefault="008076E4" w:rsidP="003F6E1F">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MAC</w:t>
            </w:r>
          </w:p>
        </w:tc>
      </w:tr>
      <w:tr w:rsidR="009E4EBD" w:rsidRPr="00BA5D26" w14:paraId="12D8F095" w14:textId="77777777" w:rsidTr="004C7F22">
        <w:trPr>
          <w:trHeight w:val="16"/>
        </w:trPr>
        <w:tc>
          <w:tcPr>
            <w:tcW w:w="1016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BD2375" w:rsidRDefault="009E4EBD" w:rsidP="00356D1F">
            <w:pPr>
              <w:rPr>
                <w:rFonts w:asciiTheme="minorHAnsi" w:eastAsiaTheme="minorEastAsia" w:cstheme="minorBidi"/>
                <w:color w:val="000000" w:themeColor="text1"/>
                <w:kern w:val="24"/>
              </w:rPr>
            </w:pPr>
          </w:p>
        </w:tc>
      </w:tr>
      <w:tr w:rsidR="000B1EDB" w:rsidRPr="00BA5D26" w14:paraId="0A644C18" w14:textId="77777777" w:rsidTr="00843902">
        <w:trPr>
          <w:trHeight w:val="10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6CEB3CFA"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1089</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Joint T</w:t>
            </w:r>
            <w:r w:rsidR="008076E4">
              <w:rPr>
                <w:rFonts w:asciiTheme="minorHAnsi" w:eastAsiaTheme="minorEastAsia" w:cstheme="minorBidi"/>
                <w:color w:val="000000" w:themeColor="text1"/>
                <w:kern w:val="24"/>
              </w:rPr>
              <w:t>Xs</w:t>
            </w:r>
            <w:r>
              <w:rPr>
                <w:rFonts w:asciiTheme="minorHAnsi" w:eastAsiaTheme="minorEastAsia" w:cstheme="minorBidi"/>
                <w:color w:val="000000" w:themeColor="text1"/>
                <w:kern w:val="24"/>
              </w:rPr>
              <w:t>, Backhaul and Gain State Issues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76F4C7C9"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BD2375" w:rsidRDefault="000B1EDB"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0B1EDB" w:rsidRPr="00BA5D26" w14:paraId="262149AB" w14:textId="77777777" w:rsidTr="00843902">
        <w:trPr>
          <w:trHeight w:val="34"/>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66995780"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Evaluation of the Joint Transmission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49270CEE"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BD2375" w:rsidRDefault="00843902"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0B1EDB" w:rsidRPr="00BA5D26" w14:paraId="3EB94AF2"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422E9363"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1094</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Joint BF simulations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31A64DBB"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BD2375" w:rsidRDefault="00843902"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0B1EDB" w:rsidRPr="00BA5D26" w14:paraId="16B26B5E"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20864466"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Multi-AP feature discussion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772CD62D"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BD2375" w:rsidRDefault="00843902"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0B1EDB" w:rsidRPr="00BA5D26" w14:paraId="60F3604B" w14:textId="77777777" w:rsidTr="00843902">
        <w:trPr>
          <w:trHeight w:val="88"/>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4C579FC5" w:rsidR="000B1EDB"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1097</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Sounding procedure in AP collaboration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398AB46D" w:rsidR="000B1EDB"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BD2375" w:rsidRDefault="00843902"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724252" w:rsidRPr="00BA5D26" w14:paraId="4480E24C"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238154E3" w:rsidR="00724252"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1102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 unified TX procedure for multi-AP coordination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Jason Y</w:t>
            </w:r>
            <w:r w:rsidR="00843902">
              <w:rPr>
                <w:rFonts w:asciiTheme="minorHAnsi" w:eastAsiaTheme="minorEastAsia" w:cstheme="minorBidi"/>
                <w:color w:val="000000" w:themeColor="text1"/>
                <w:kern w:val="24"/>
              </w:rPr>
              <w:t>.</w:t>
            </w:r>
            <w:r>
              <w:rPr>
                <w:rFonts w:asciiTheme="minorHAnsi" w:eastAsiaTheme="minorEastAsia" w:cstheme="minorBidi"/>
                <w:color w:val="000000" w:themeColor="text1"/>
                <w:kern w:val="24"/>
              </w:rPr>
              <w:t xml:space="preserve">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5313DDDA" w:rsidR="00724252"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BD2375" w:rsidRDefault="00843902" w:rsidP="00724252">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3F6E1F" w:rsidRPr="00BA5D26" w14:paraId="6FF9E243" w14:textId="77777777" w:rsidTr="00843902">
        <w:trPr>
          <w:trHeight w:val="25"/>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8A96670"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1129</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Consideration on multi-AP coordination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Nan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616C9330"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BD2375" w:rsidRDefault="00843902" w:rsidP="003F6E1F">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3F6E1F" w:rsidRPr="00BA5D26" w14:paraId="5498ADDF" w14:textId="77777777" w:rsidTr="00843902">
        <w:trPr>
          <w:trHeight w:val="133"/>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48C01B7B"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1134</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Consideration of Multi-AP Sounding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1679E651"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BD2375" w:rsidRDefault="00843902" w:rsidP="003F6E1F">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3F6E1F" w:rsidRPr="00BA5D26" w14:paraId="7E6744A7"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6A0FADEA"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1143</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Efficient Operation for Multi-AP Coordination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2A8566BB"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BD2375" w:rsidRDefault="00843902" w:rsidP="003F6E1F">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3F6E1F" w:rsidRPr="00BA5D26" w14:paraId="1B9DD07B"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7A771701"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1212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Performance of Coordinated Null Steering in 11be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David L</w:t>
            </w:r>
            <w:r w:rsidR="00843902">
              <w:rPr>
                <w:rFonts w:asciiTheme="minorHAnsi" w:eastAsiaTheme="minorEastAsia" w:cstheme="minorBidi"/>
                <w:color w:val="000000" w:themeColor="text1"/>
                <w:kern w:val="24"/>
              </w:rPr>
              <w:t xml:space="preserve">. </w:t>
            </w:r>
            <w:r>
              <w:rPr>
                <w:rFonts w:asciiTheme="minorHAnsi" w:eastAsiaTheme="minorEastAsia" w:cstheme="minorBidi"/>
                <w:color w:val="000000" w:themeColor="text1"/>
                <w:kern w:val="24"/>
              </w:rPr>
              <w:t>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19EA59D8"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BD2375" w:rsidRDefault="00843902" w:rsidP="003F6E1F">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9E4EBD" w:rsidRPr="00BA5D26" w14:paraId="3B97FF9E" w14:textId="77777777" w:rsidTr="00DE6831">
        <w:trPr>
          <w:trHeight w:val="16"/>
        </w:trPr>
        <w:tc>
          <w:tcPr>
            <w:tcW w:w="1016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BD2375" w:rsidRDefault="009E4EBD" w:rsidP="000B1EDB">
            <w:pPr>
              <w:rPr>
                <w:rFonts w:asciiTheme="minorHAnsi" w:eastAsiaTheme="minorEastAsia" w:cstheme="minorBidi"/>
                <w:color w:val="000000" w:themeColor="text1"/>
                <w:kern w:val="24"/>
              </w:rPr>
            </w:pPr>
          </w:p>
        </w:tc>
      </w:tr>
      <w:tr w:rsidR="000B1EDB" w:rsidRPr="00BA5D26" w14:paraId="1B5CED23"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4956C03A" w:rsidR="000B1EDB" w:rsidRPr="00BD2375" w:rsidRDefault="000B1EDB"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1085</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BD2375" w:rsidRDefault="000B1EDB"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High Level EHT Preamble Structure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BD2375" w:rsidRDefault="000B1EDB"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40498CF0"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BD2375" w:rsidRDefault="000B1EDB"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PHY</w:t>
            </w:r>
          </w:p>
        </w:tc>
      </w:tr>
      <w:tr w:rsidR="00724252" w:rsidRPr="00BA5D26" w14:paraId="585D5F7E" w14:textId="77777777" w:rsidTr="00843902">
        <w:trPr>
          <w:trHeight w:val="52"/>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66FE8054" w:rsidR="00724252" w:rsidRPr="00BD2375"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1126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BD2375"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Enhanced Resource Unit </w:t>
            </w:r>
            <w:proofErr w:type="spellStart"/>
            <w:r>
              <w:rPr>
                <w:rFonts w:asciiTheme="minorHAnsi" w:eastAsiaTheme="minorEastAsia" w:cstheme="minorBidi"/>
                <w:color w:val="000000" w:themeColor="text1"/>
                <w:kern w:val="24"/>
              </w:rPr>
              <w:t>alloc</w:t>
            </w:r>
            <w:proofErr w:type="spellEnd"/>
            <w:r w:rsidR="00843902">
              <w:rPr>
                <w:rFonts w:asciiTheme="minorHAnsi" w:eastAsiaTheme="minorEastAsia" w:cstheme="minorBidi"/>
                <w:color w:val="000000" w:themeColor="text1"/>
                <w:kern w:val="24"/>
              </w:rPr>
              <w:t>.</w:t>
            </w:r>
            <w:r>
              <w:rPr>
                <w:rFonts w:asciiTheme="minorHAnsi" w:eastAsiaTheme="minorEastAsia" w:cstheme="minorBidi"/>
                <w:color w:val="000000" w:themeColor="text1"/>
                <w:kern w:val="24"/>
              </w:rPr>
              <w:t xml:space="preserve"> schemes for 11be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BD2375"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43EDFBD9" w:rsidR="00724252"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BD2375" w:rsidRDefault="00843902" w:rsidP="00724252">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PHY</w:t>
            </w:r>
          </w:p>
        </w:tc>
      </w:tr>
      <w:tr w:rsidR="003F6E1F" w:rsidRPr="00BA5D26" w14:paraId="5A45D2A4"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39CB5E14"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1214</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Preamble Design Consideration for 802.11be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1BCFD163"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BD2375" w:rsidRDefault="00843902" w:rsidP="003F6E1F">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PHY</w:t>
            </w:r>
          </w:p>
        </w:tc>
      </w:tr>
      <w:tr w:rsidR="009E4EBD" w:rsidRPr="00BA5D26" w14:paraId="6989D019" w14:textId="77777777" w:rsidTr="008B5D06">
        <w:trPr>
          <w:trHeight w:val="16"/>
        </w:trPr>
        <w:tc>
          <w:tcPr>
            <w:tcW w:w="1016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BD2375" w:rsidRDefault="009E4EBD" w:rsidP="00356D1F">
            <w:pPr>
              <w:rPr>
                <w:rFonts w:asciiTheme="minorHAnsi" w:eastAsiaTheme="minorEastAsia" w:cstheme="minorBidi"/>
                <w:color w:val="000000" w:themeColor="text1"/>
                <w:kern w:val="24"/>
              </w:rPr>
            </w:pPr>
          </w:p>
        </w:tc>
      </w:tr>
      <w:tr w:rsidR="00F35BC8" w:rsidRPr="00BA5D26" w14:paraId="6DBBC87E"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4E4AC4EC"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818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Discussion on Multi-band operation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3961B42B"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450404AE"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7449B8D3"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821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Multi-band discussion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6F39E21E"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76448EF0"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1AA49B0D"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823</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Aggregation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5DA9D1F8"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Presented</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2B062E83" w14:textId="77777777" w:rsidTr="0084390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6A30F2B8"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951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Discussion on Multi-band</w:t>
            </w:r>
            <w:r w:rsidR="007320ED">
              <w:rPr>
                <w:rFonts w:asciiTheme="minorHAnsi" w:eastAsiaTheme="minorEastAsia" w:cstheme="minorBidi"/>
                <w:color w:val="000000" w:themeColor="text1"/>
                <w:kern w:val="24"/>
              </w:rPr>
              <w:t>/</w:t>
            </w:r>
            <w:r>
              <w:rPr>
                <w:rFonts w:asciiTheme="minorHAnsi" w:eastAsiaTheme="minorEastAsia" w:cstheme="minorBidi"/>
                <w:color w:val="000000" w:themeColor="text1"/>
                <w:kern w:val="24"/>
              </w:rPr>
              <w:t>channel Access Method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Liuming Lu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265C12B2"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695D70F0"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35460172"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979</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Operation Follow-up</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2CD85D5D"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5ED9D99E" w14:textId="77777777" w:rsidTr="007320ED">
        <w:trPr>
          <w:trHeight w:val="25"/>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6F391971"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1081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Aggregation - Gain Analysis (Latency)</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1EBEBDE3"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734ACE69"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0D971686"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1082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Operation: Dynamic TID Transfer</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Abhishek Patil</w:t>
            </w:r>
            <w:r>
              <w:rPr>
                <w:rFonts w:asciiTheme="minorHAnsi" w:eastAsiaTheme="minorEastAsia" w:cstheme="minorBidi"/>
                <w:color w:val="000000" w:themeColor="text1"/>
                <w:kern w:val="24"/>
              </w:rPr>
              <w:t>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163B3160"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6535EB38"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6E4452E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1095</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requirement discussion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39F5103F"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3BCA658D"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942856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1100</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Per Packet Multiple Link Selection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681750F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7C93508A" w14:textId="77777777" w:rsidTr="007320ED">
        <w:trPr>
          <w:trHeight w:val="97"/>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009F7BBC"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1101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Conditional Packet Dup. in Multiple Link System</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15407E58"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3B9B10B6"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36188CC4"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1116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Channel access in multi-band operation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682FD6D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1328466A"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15D4B66B"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1128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transmission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65EE193F"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27DCCB9F"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35916ADF"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1144</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Channel Access for Multi-link Operation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03246A8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67FFED20"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7D54F58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1159</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operation capability announcement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61235F9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56C01C50"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39B951A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1181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Consideration on Multi-link operation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Yongsu Gwak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19E02C0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5ACE2DBE"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0FEC5124"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1213</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77F1851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Discussion on Multi-link Operations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275BC40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5698A51E"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B5B437A" w:rsidR="007320ED"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1231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Multiband and Multichannel Operation in 11be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Sai Shankar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000930B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D75EDC" w:rsidRPr="00BA5D26" w14:paraId="2B2A44D9" w14:textId="77777777" w:rsidTr="00C52875">
        <w:trPr>
          <w:trHeight w:val="241"/>
        </w:trPr>
        <w:tc>
          <w:tcPr>
            <w:tcW w:w="1016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D75EDC" w:rsidRPr="00BD2375" w:rsidRDefault="00D75EDC" w:rsidP="007320ED">
            <w:pPr>
              <w:rPr>
                <w:rFonts w:asciiTheme="minorHAnsi" w:eastAsiaTheme="minorEastAsia" w:cstheme="minorBidi"/>
                <w:color w:val="000000" w:themeColor="text1"/>
                <w:kern w:val="24"/>
              </w:rPr>
            </w:pPr>
          </w:p>
        </w:tc>
      </w:tr>
      <w:tr w:rsidR="007320ED" w:rsidRPr="00BA5D26" w14:paraId="1100C5B6"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1DF2F844" w:rsidR="007320ED"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1038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7320ED"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 with A-MPDU</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7320ED"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7320ED"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7D481C77"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77220FF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1078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HARQ Simulation Results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1EE67664"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6D65487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1079</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HARQ Gains with Overhead Considered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2A2CCCEA"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0AC104C2"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1080</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HARQ Complexity</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2E96C0E1" w14:textId="77777777" w:rsidTr="007320E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0B30D8C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1093</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HARQ for 802.11be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Imran Latif</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73B7250D"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66DD5BF5" w14:textId="77777777" w:rsidTr="00AC1A7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576A55F0"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Acknowledgement for HARQ transmission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380AA905" w14:textId="77777777" w:rsidTr="00AC1A7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0D4BE15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1131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Consideration on HARQ unit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7320ED" w:rsidRPr="00BD2375" w:rsidRDefault="001637D8"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6044F75B" w14:textId="77777777" w:rsidTr="00AC1A7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76690322"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1132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Channel coding issue in HARQ</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7320ED" w:rsidRPr="00BD2375" w:rsidRDefault="00AC1A72"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3D4CBF94" w14:textId="77777777" w:rsidTr="00AC1A7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098189C2"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1133</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Some results on HARQ perf</w:t>
            </w:r>
            <w:r w:rsidR="00AC1A72">
              <w:rPr>
                <w:rFonts w:asciiTheme="minorHAnsi" w:eastAsiaTheme="minorEastAsia" w:cstheme="minorBidi"/>
                <w:color w:val="000000" w:themeColor="text1"/>
                <w:kern w:val="24"/>
              </w:rPr>
              <w:t>.</w:t>
            </w:r>
            <w:r>
              <w:rPr>
                <w:rFonts w:asciiTheme="minorHAnsi" w:eastAsiaTheme="minorEastAsia" w:cstheme="minorBidi"/>
                <w:color w:val="000000" w:themeColor="text1"/>
                <w:kern w:val="24"/>
              </w:rPr>
              <w:t xml:space="preserve"> in dense deployments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Leif Wilhelmsson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7320ED" w:rsidRPr="00BD2375" w:rsidRDefault="00AC1A72"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678133B8" w14:textId="77777777" w:rsidTr="00AC1A7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418FF43D"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1146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HARQ punctured CC performance evaluation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Yanyi DIN</w:t>
            </w:r>
            <w:r w:rsidR="00187790">
              <w:rPr>
                <w:rFonts w:asciiTheme="minorHAnsi" w:eastAsiaTheme="minorEastAsia" w:cstheme="minorBidi"/>
                <w:color w:val="000000" w:themeColor="text1"/>
                <w:kern w:val="24"/>
              </w:rPr>
              <w:t>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7320ED" w:rsidRPr="00BD2375" w:rsidRDefault="00AC1A72"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00402893" w14:textId="77777777" w:rsidTr="00AC1A7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61CD3A8"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1172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Discussion on HARQ</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7320ED" w:rsidRPr="00BD2375" w:rsidRDefault="00AC1A72"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11AD1E2C" w14:textId="77777777" w:rsidTr="00AC1A72">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067762E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1196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Combined HARQ and Rate Adaptation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4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7320ED" w:rsidRPr="00BD2375" w:rsidRDefault="00AC1A72"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D75EDC" w:rsidRPr="00BA5D26" w14:paraId="34840468" w14:textId="77777777" w:rsidTr="003807CE">
        <w:trPr>
          <w:trHeight w:val="16"/>
        </w:trPr>
        <w:tc>
          <w:tcPr>
            <w:tcW w:w="1016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D75EDC" w:rsidRPr="00BD2375" w:rsidRDefault="00D75EDC" w:rsidP="007320ED">
            <w:pPr>
              <w:rPr>
                <w:rFonts w:asciiTheme="minorHAnsi" w:eastAsiaTheme="minorEastAsia" w:cstheme="minorBidi"/>
                <w:color w:val="000000" w:themeColor="text1"/>
                <w:kern w:val="24"/>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t>1</w:t>
      </w:r>
      <w:r w:rsidRPr="00136FD5">
        <w:rPr>
          <w:vertAlign w:val="superscript"/>
        </w:rPr>
        <w:t>st</w:t>
      </w:r>
      <w:r>
        <w:t xml:space="preserve"> </w:t>
      </w:r>
      <w:r w:rsidRPr="00F000EF">
        <w:t>Conf</w:t>
      </w:r>
      <w:r>
        <w:t>.</w:t>
      </w:r>
      <w:r w:rsidRPr="00F000EF">
        <w:t xml:space="preserve"> Call: </w:t>
      </w:r>
      <w:r w:rsidRPr="00136FD5">
        <w:t>August 1</w:t>
      </w:r>
      <w:r w:rsidRPr="00136FD5">
        <w:rPr>
          <w:vertAlign w:val="superscript"/>
        </w:rPr>
        <w:t>st</w:t>
      </w:r>
      <w:r>
        <w:t xml:space="preserve"> </w:t>
      </w:r>
      <w:r w:rsidRPr="00F000EF">
        <w:t>(1</w:t>
      </w:r>
      <w:r>
        <w:t>9</w:t>
      </w:r>
      <w:r w:rsidRPr="00F000EF">
        <w:t>:</w:t>
      </w:r>
      <w:r>
        <w:t>3</w:t>
      </w:r>
      <w:r w:rsidRPr="00F000EF">
        <w:t xml:space="preserve">0 – </w:t>
      </w:r>
      <w:r>
        <w:t>22</w:t>
      </w:r>
      <w:r w:rsidRPr="00F000EF">
        <w:t>:00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3" w:history="1">
        <w:r w:rsidRPr="002575C2">
          <w:rPr>
            <w:rStyle w:val="Hyperlink"/>
          </w:rPr>
          <w:t>dennis.sundman@ericsson.com</w:t>
        </w:r>
      </w:hyperlink>
      <w:r w:rsidRPr="003046F3">
        <w:t>)</w:t>
      </w:r>
    </w:p>
    <w:p w14:paraId="3F463729" w14:textId="77777777" w:rsidR="00136FD5" w:rsidRPr="003046F3" w:rsidRDefault="00136FD5" w:rsidP="00136FD5">
      <w:pPr>
        <w:pStyle w:val="ListParagraph"/>
        <w:numPr>
          <w:ilvl w:val="0"/>
          <w:numId w:val="25"/>
        </w:numPr>
      </w:pPr>
      <w:r w:rsidRPr="003046F3">
        <w:t>Announcements</w:t>
      </w:r>
      <w:r>
        <w:t>:</w:t>
      </w:r>
    </w:p>
    <w:p w14:paraId="03BEFADD" w14:textId="3CF012E5" w:rsidR="00136FD5" w:rsidRDefault="00136FD5" w:rsidP="00136FD5">
      <w:pPr>
        <w:pStyle w:val="ListParagraph"/>
        <w:numPr>
          <w:ilvl w:val="0"/>
          <w:numId w:val="25"/>
        </w:numPr>
      </w:pPr>
      <w:r>
        <w:t xml:space="preserve">Technical </w:t>
      </w:r>
      <w:r w:rsidRPr="003046F3">
        <w:t>Submissions:</w:t>
      </w:r>
    </w:p>
    <w:p w14:paraId="6111B0C2" w14:textId="77777777" w:rsidR="00976BA4" w:rsidRPr="003046F3" w:rsidRDefault="00976BA4" w:rsidP="00976BA4">
      <w:pPr>
        <w:pStyle w:val="ListParagraph"/>
        <w:numPr>
          <w:ilvl w:val="1"/>
          <w:numId w:val="25"/>
        </w:numPr>
      </w:pPr>
    </w:p>
    <w:p w14:paraId="50AA9107" w14:textId="77777777" w:rsidR="00136FD5" w:rsidRPr="003046F3" w:rsidRDefault="00136FD5" w:rsidP="00136FD5">
      <w:pPr>
        <w:pStyle w:val="ListParagraph"/>
        <w:numPr>
          <w:ilvl w:val="0"/>
          <w:numId w:val="25"/>
        </w:numPr>
      </w:pPr>
      <w:proofErr w:type="spellStart"/>
      <w:r w:rsidRPr="003046F3">
        <w:t>AoB</w:t>
      </w:r>
      <w:proofErr w:type="spellEnd"/>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t>2</w:t>
      </w:r>
      <w:r w:rsidRPr="00136FD5">
        <w:rPr>
          <w:vertAlign w:val="superscript"/>
        </w:rPr>
        <w:t>nd</w:t>
      </w:r>
      <w:r>
        <w:t xml:space="preserve"> </w:t>
      </w:r>
      <w:r w:rsidRPr="00F000EF">
        <w:t>Conf</w:t>
      </w:r>
      <w:r>
        <w:t>.</w:t>
      </w:r>
      <w:r w:rsidRPr="00F000EF">
        <w:t xml:space="preserve"> Call: </w:t>
      </w:r>
      <w:r w:rsidRPr="00136FD5">
        <w:t xml:space="preserve">August </w:t>
      </w:r>
      <w:r w:rsidR="002D3B94">
        <w:t>8</w:t>
      </w:r>
      <w:r w:rsidR="002D3B94" w:rsidRPr="002D3B94">
        <w:rPr>
          <w:vertAlign w:val="superscript"/>
        </w:rPr>
        <w:t>th</w:t>
      </w:r>
      <w:r>
        <w:t xml:space="preserve"> </w:t>
      </w:r>
      <w:r w:rsidRPr="00F000EF">
        <w:t>(1</w:t>
      </w:r>
      <w:r w:rsidR="002D3B94">
        <w:t>0</w:t>
      </w:r>
      <w:r w:rsidRPr="00F000EF">
        <w:t>:</w:t>
      </w:r>
      <w:r w:rsidR="002D3B94">
        <w:t>0</w:t>
      </w:r>
      <w:r w:rsidRPr="00F000EF">
        <w:t xml:space="preserve">0 – </w:t>
      </w:r>
      <w:r w:rsidR="002D3B94">
        <w:t>12</w:t>
      </w:r>
      <w:r w:rsidRPr="00F000EF">
        <w:t>:</w:t>
      </w:r>
      <w:r w:rsidR="002D3B94">
        <w:t>3</w:t>
      </w:r>
      <w:r w:rsidRPr="00F000EF">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14"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6" w:history="1">
        <w:r w:rsidRPr="002575C2">
          <w:rPr>
            <w:rStyle w:val="Hyperlink"/>
          </w:rPr>
          <w:t>dennis.sundman@ericsson.com</w:t>
        </w:r>
      </w:hyperlink>
      <w:r w:rsidRPr="003046F3">
        <w:t>)</w:t>
      </w:r>
    </w:p>
    <w:p w14:paraId="2A5B2A17" w14:textId="77777777" w:rsidR="00136FD5" w:rsidRPr="003046F3" w:rsidRDefault="00136FD5" w:rsidP="00136FD5">
      <w:pPr>
        <w:pStyle w:val="ListParagraph"/>
        <w:numPr>
          <w:ilvl w:val="0"/>
          <w:numId w:val="25"/>
        </w:numPr>
      </w:pPr>
      <w:r w:rsidRPr="003046F3">
        <w:t>Announcements</w:t>
      </w:r>
      <w:r>
        <w:t>:</w:t>
      </w:r>
    </w:p>
    <w:p w14:paraId="066A727A" w14:textId="77777777" w:rsidR="00136FD5" w:rsidRPr="003046F3" w:rsidRDefault="00136FD5" w:rsidP="00136FD5">
      <w:pPr>
        <w:pStyle w:val="ListParagraph"/>
        <w:numPr>
          <w:ilvl w:val="0"/>
          <w:numId w:val="25"/>
        </w:numPr>
      </w:pPr>
      <w:r>
        <w:t xml:space="preserve">Technical </w:t>
      </w:r>
      <w:r w:rsidRPr="003046F3">
        <w:t>Submissions:</w:t>
      </w:r>
    </w:p>
    <w:p w14:paraId="3CB655B0" w14:textId="77777777" w:rsidR="00136FD5" w:rsidRPr="003046F3" w:rsidRDefault="00136FD5" w:rsidP="00136FD5">
      <w:pPr>
        <w:pStyle w:val="ListParagraph"/>
        <w:numPr>
          <w:ilvl w:val="0"/>
          <w:numId w:val="25"/>
        </w:numPr>
      </w:pPr>
      <w:proofErr w:type="spellStart"/>
      <w:r w:rsidRPr="003046F3">
        <w:t>AoB</w:t>
      </w:r>
      <w:proofErr w:type="spellEnd"/>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t>3</w:t>
      </w:r>
      <w:r w:rsidRPr="00136FD5">
        <w:rPr>
          <w:vertAlign w:val="superscript"/>
        </w:rPr>
        <w:t>rd</w:t>
      </w:r>
      <w:r>
        <w:t xml:space="preserve"> </w:t>
      </w:r>
      <w:r w:rsidRPr="00F000EF">
        <w:t>Conf</w:t>
      </w:r>
      <w:r>
        <w:t>.</w:t>
      </w:r>
      <w:r w:rsidRPr="00F000EF">
        <w:t xml:space="preserve"> Call: </w:t>
      </w:r>
      <w:r w:rsidR="002D3B94" w:rsidRPr="002D3B94">
        <w:t>August 15</w:t>
      </w:r>
      <w:r w:rsidR="002D3B94" w:rsidRPr="002D3B94">
        <w:rPr>
          <w:vertAlign w:val="superscript"/>
        </w:rPr>
        <w:t>th</w:t>
      </w:r>
      <w:r w:rsidR="002D3B94" w:rsidRPr="002D3B94">
        <w:t xml:space="preserve"> </w:t>
      </w:r>
      <w:r w:rsidRPr="00F000EF">
        <w:t>(1</w:t>
      </w:r>
      <w:r>
        <w:t>9</w:t>
      </w:r>
      <w:r w:rsidRPr="00F000EF">
        <w:t>:</w:t>
      </w:r>
      <w:r>
        <w:t>3</w:t>
      </w:r>
      <w:r w:rsidRPr="00F000EF">
        <w:t xml:space="preserve">0 – </w:t>
      </w:r>
      <w:r>
        <w:t>22</w:t>
      </w:r>
      <w:r w:rsidRPr="00F000EF">
        <w:t>:00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9" w:history="1">
        <w:r w:rsidRPr="002575C2">
          <w:rPr>
            <w:rStyle w:val="Hyperlink"/>
          </w:rPr>
          <w:t>dennis.sundman@ericsson.com</w:t>
        </w:r>
      </w:hyperlink>
      <w:r w:rsidRPr="003046F3">
        <w:t>)</w:t>
      </w:r>
    </w:p>
    <w:p w14:paraId="0B0FB1A6" w14:textId="77777777" w:rsidR="00136FD5" w:rsidRPr="003046F3" w:rsidRDefault="00136FD5" w:rsidP="00136FD5">
      <w:pPr>
        <w:pStyle w:val="ListParagraph"/>
        <w:numPr>
          <w:ilvl w:val="0"/>
          <w:numId w:val="25"/>
        </w:numPr>
      </w:pPr>
      <w:r w:rsidRPr="003046F3">
        <w:t>Announcements</w:t>
      </w:r>
      <w:r>
        <w:t>:</w:t>
      </w:r>
    </w:p>
    <w:p w14:paraId="741EDFF4" w14:textId="77777777" w:rsidR="00136FD5" w:rsidRPr="003046F3" w:rsidRDefault="00136FD5" w:rsidP="00136FD5">
      <w:pPr>
        <w:pStyle w:val="ListParagraph"/>
        <w:numPr>
          <w:ilvl w:val="0"/>
          <w:numId w:val="25"/>
        </w:numPr>
      </w:pPr>
      <w:r>
        <w:t xml:space="preserve">Technical </w:t>
      </w:r>
      <w:r w:rsidRPr="003046F3">
        <w:t>Submissions:</w:t>
      </w:r>
    </w:p>
    <w:p w14:paraId="5F828BC0" w14:textId="77777777" w:rsidR="00136FD5" w:rsidRPr="003046F3" w:rsidRDefault="00136FD5" w:rsidP="00136FD5">
      <w:pPr>
        <w:pStyle w:val="ListParagraph"/>
        <w:numPr>
          <w:ilvl w:val="0"/>
          <w:numId w:val="25"/>
        </w:numPr>
      </w:pPr>
      <w:proofErr w:type="spellStart"/>
      <w:r w:rsidRPr="003046F3">
        <w:t>AoB</w:t>
      </w:r>
      <w:proofErr w:type="spellEnd"/>
    </w:p>
    <w:p w14:paraId="2E38252F" w14:textId="044D8F54" w:rsidR="00136FD5" w:rsidRDefault="00136FD5" w:rsidP="00136FD5">
      <w:pPr>
        <w:pStyle w:val="ListParagraph"/>
        <w:numPr>
          <w:ilvl w:val="0"/>
          <w:numId w:val="25"/>
        </w:numPr>
      </w:pPr>
      <w:r w:rsidRPr="003046F3">
        <w:t>Adjourn</w:t>
      </w:r>
    </w:p>
    <w:p w14:paraId="2E803E1E" w14:textId="77777777" w:rsidR="002D3B94" w:rsidRDefault="002D3B94" w:rsidP="002D3B94">
      <w:pPr>
        <w:pStyle w:val="ListParagraph"/>
      </w:pPr>
    </w:p>
    <w:p w14:paraId="3AF74D26" w14:textId="7150662E" w:rsidR="00136FD5" w:rsidRPr="00F000EF" w:rsidRDefault="00136FD5" w:rsidP="00136FD5">
      <w:pPr>
        <w:pStyle w:val="Heading3"/>
      </w:pPr>
      <w:r>
        <w:t>4</w:t>
      </w:r>
      <w:r w:rsidRPr="00136FD5">
        <w:rPr>
          <w:vertAlign w:val="superscript"/>
        </w:rPr>
        <w:t>th</w:t>
      </w:r>
      <w:r>
        <w:t xml:space="preserve"> </w:t>
      </w:r>
      <w:r w:rsidRPr="00F000EF">
        <w:t>Conf</w:t>
      </w:r>
      <w:r>
        <w:t>.</w:t>
      </w:r>
      <w:r w:rsidRPr="00F000EF">
        <w:t xml:space="preserve"> Call: </w:t>
      </w:r>
      <w:r w:rsidR="00976BA4" w:rsidRPr="00136FD5">
        <w:t xml:space="preserve">August </w:t>
      </w:r>
      <w:r w:rsidR="00976BA4">
        <w:t>22</w:t>
      </w:r>
      <w:r w:rsidR="00976BA4" w:rsidRPr="00976BA4">
        <w:rPr>
          <w:vertAlign w:val="superscript"/>
        </w:rPr>
        <w:t>nd</w:t>
      </w:r>
      <w:r w:rsidR="00976BA4">
        <w:t xml:space="preserve"> </w:t>
      </w:r>
      <w:r w:rsidR="00976BA4" w:rsidRPr="00F000EF">
        <w:t>(1</w:t>
      </w:r>
      <w:r w:rsidR="00976BA4">
        <w:t>0</w:t>
      </w:r>
      <w:r w:rsidR="00976BA4" w:rsidRPr="00F000EF">
        <w:t>:</w:t>
      </w:r>
      <w:r w:rsidR="00976BA4">
        <w:t>0</w:t>
      </w:r>
      <w:r w:rsidR="00976BA4" w:rsidRPr="00F000EF">
        <w:t xml:space="preserve">0 – </w:t>
      </w:r>
      <w:r w:rsidR="00976BA4">
        <w:t>12</w:t>
      </w:r>
      <w:r w:rsidR="00976BA4" w:rsidRPr="00F000EF">
        <w:t>:</w:t>
      </w:r>
      <w:r w:rsidR="00976BA4">
        <w:t>3</w:t>
      </w:r>
      <w:r w:rsidR="00976BA4" w:rsidRPr="00F000EF">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0"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21"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22" w:history="1">
        <w:r w:rsidRPr="002575C2">
          <w:rPr>
            <w:rStyle w:val="Hyperlink"/>
          </w:rPr>
          <w:t>dennis.sundman@ericsson.com</w:t>
        </w:r>
      </w:hyperlink>
      <w:r w:rsidRPr="003046F3">
        <w:t>)</w:t>
      </w:r>
    </w:p>
    <w:p w14:paraId="07A3C1A1" w14:textId="77777777" w:rsidR="00136FD5" w:rsidRPr="003046F3" w:rsidRDefault="00136FD5" w:rsidP="00136FD5">
      <w:pPr>
        <w:pStyle w:val="ListParagraph"/>
        <w:numPr>
          <w:ilvl w:val="0"/>
          <w:numId w:val="25"/>
        </w:numPr>
      </w:pPr>
      <w:r w:rsidRPr="003046F3">
        <w:t>Announcements</w:t>
      </w:r>
      <w:r>
        <w:t>:</w:t>
      </w:r>
    </w:p>
    <w:p w14:paraId="3047E101" w14:textId="77777777" w:rsidR="00136FD5" w:rsidRPr="003046F3" w:rsidRDefault="00136FD5" w:rsidP="00136FD5">
      <w:pPr>
        <w:pStyle w:val="ListParagraph"/>
        <w:numPr>
          <w:ilvl w:val="0"/>
          <w:numId w:val="25"/>
        </w:numPr>
      </w:pPr>
      <w:r>
        <w:t xml:space="preserve">Technical </w:t>
      </w:r>
      <w:r w:rsidRPr="003046F3">
        <w:t>Submissions:</w:t>
      </w:r>
    </w:p>
    <w:p w14:paraId="508FC0F3" w14:textId="77777777" w:rsidR="00136FD5" w:rsidRPr="003046F3" w:rsidRDefault="00136FD5" w:rsidP="00136FD5">
      <w:pPr>
        <w:pStyle w:val="ListParagraph"/>
        <w:numPr>
          <w:ilvl w:val="0"/>
          <w:numId w:val="25"/>
        </w:numPr>
      </w:pPr>
      <w:proofErr w:type="spellStart"/>
      <w:r w:rsidRPr="003046F3">
        <w:t>AoB</w:t>
      </w:r>
      <w:proofErr w:type="spellEnd"/>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t>5</w:t>
      </w:r>
      <w:r w:rsidRPr="00136FD5">
        <w:rPr>
          <w:vertAlign w:val="superscript"/>
        </w:rPr>
        <w:t>th</w:t>
      </w:r>
      <w:r>
        <w:t xml:space="preserve"> </w:t>
      </w:r>
      <w:r w:rsidRPr="00F000EF">
        <w:t>Conf</w:t>
      </w:r>
      <w:r>
        <w:t>.</w:t>
      </w:r>
      <w:r w:rsidRPr="00F000EF">
        <w:t xml:space="preserve"> Call: </w:t>
      </w:r>
      <w:r w:rsidRPr="00136FD5">
        <w:t xml:space="preserve">August </w:t>
      </w:r>
      <w:r w:rsidR="00976BA4">
        <w:t>29</w:t>
      </w:r>
      <w:r w:rsidR="00976BA4" w:rsidRPr="00976BA4">
        <w:rPr>
          <w:vertAlign w:val="superscript"/>
        </w:rPr>
        <w:t>th</w:t>
      </w:r>
      <w:r w:rsidR="00976BA4">
        <w:t xml:space="preserve"> </w:t>
      </w:r>
      <w:r w:rsidRPr="00F000EF">
        <w:t>(1</w:t>
      </w:r>
      <w:r>
        <w:t>9</w:t>
      </w:r>
      <w:r w:rsidRPr="00F000EF">
        <w:t>:</w:t>
      </w:r>
      <w:r>
        <w:t>3</w:t>
      </w:r>
      <w:r w:rsidRPr="00F000EF">
        <w:t xml:space="preserve">0 – </w:t>
      </w:r>
      <w:r>
        <w:t>22</w:t>
      </w:r>
      <w:r w:rsidRPr="00F000EF">
        <w:t>:00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25" w:history="1">
        <w:r w:rsidRPr="002575C2">
          <w:rPr>
            <w:rStyle w:val="Hyperlink"/>
          </w:rPr>
          <w:t>dennis.sundman@ericsson.com</w:t>
        </w:r>
      </w:hyperlink>
      <w:r w:rsidRPr="003046F3">
        <w:t>)</w:t>
      </w:r>
    </w:p>
    <w:p w14:paraId="2C9E5187" w14:textId="77777777" w:rsidR="00136FD5" w:rsidRPr="003046F3" w:rsidRDefault="00136FD5" w:rsidP="00136FD5">
      <w:pPr>
        <w:pStyle w:val="ListParagraph"/>
        <w:numPr>
          <w:ilvl w:val="0"/>
          <w:numId w:val="25"/>
        </w:numPr>
      </w:pPr>
      <w:r w:rsidRPr="003046F3">
        <w:t>Announcements</w:t>
      </w:r>
      <w:r>
        <w:t>:</w:t>
      </w:r>
    </w:p>
    <w:p w14:paraId="50AA7CF0" w14:textId="77777777" w:rsidR="00136FD5" w:rsidRPr="003046F3" w:rsidRDefault="00136FD5" w:rsidP="00136FD5">
      <w:pPr>
        <w:pStyle w:val="ListParagraph"/>
        <w:numPr>
          <w:ilvl w:val="0"/>
          <w:numId w:val="25"/>
        </w:numPr>
      </w:pPr>
      <w:r>
        <w:t xml:space="preserve">Technical </w:t>
      </w:r>
      <w:r w:rsidRPr="003046F3">
        <w:t>Submissions:</w:t>
      </w:r>
    </w:p>
    <w:p w14:paraId="3787D54F" w14:textId="77777777" w:rsidR="00136FD5" w:rsidRPr="003046F3" w:rsidRDefault="00136FD5" w:rsidP="00136FD5">
      <w:pPr>
        <w:pStyle w:val="ListParagraph"/>
        <w:numPr>
          <w:ilvl w:val="0"/>
          <w:numId w:val="25"/>
        </w:numPr>
      </w:pPr>
      <w:proofErr w:type="spellStart"/>
      <w:r w:rsidRPr="003046F3">
        <w:t>AoB</w:t>
      </w:r>
      <w:proofErr w:type="spellEnd"/>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t>6</w:t>
      </w:r>
      <w:r w:rsidRPr="00136FD5">
        <w:rPr>
          <w:vertAlign w:val="superscript"/>
        </w:rPr>
        <w:t>th</w:t>
      </w:r>
      <w:r>
        <w:t xml:space="preserve"> </w:t>
      </w:r>
      <w:r w:rsidRPr="00F000EF">
        <w:t>Conf</w:t>
      </w:r>
      <w:r>
        <w:t>.</w:t>
      </w:r>
      <w:r w:rsidRPr="00F000EF">
        <w:t xml:space="preserve"> Call: </w:t>
      </w:r>
      <w:r w:rsidR="00976BA4" w:rsidRPr="00976BA4">
        <w:t>September 5</w:t>
      </w:r>
      <w:r w:rsidR="00976BA4" w:rsidRPr="00976BA4">
        <w:rPr>
          <w:vertAlign w:val="superscript"/>
        </w:rPr>
        <w:t>th</w:t>
      </w:r>
      <w:r w:rsidR="00976BA4">
        <w:t xml:space="preserve"> </w:t>
      </w:r>
      <w:r w:rsidRPr="00F000EF">
        <w:t>(</w:t>
      </w:r>
      <w:r w:rsidR="00976BA4">
        <w:t>10</w:t>
      </w:r>
      <w:r w:rsidRPr="00F000EF">
        <w:t>:</w:t>
      </w:r>
      <w:r w:rsidR="00976BA4">
        <w:t>0</w:t>
      </w:r>
      <w:r w:rsidRPr="00F000EF">
        <w:t xml:space="preserve">0 – </w:t>
      </w:r>
      <w:r w:rsidR="00976BA4">
        <w:t>1</w:t>
      </w:r>
      <w:r>
        <w:t>2</w:t>
      </w:r>
      <w:r w:rsidRPr="00F000EF">
        <w:t>:</w:t>
      </w:r>
      <w:r w:rsidR="00976BA4">
        <w:t>3</w:t>
      </w:r>
      <w:r w:rsidRPr="00F000EF">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6"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27"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28" w:history="1">
        <w:r w:rsidRPr="002575C2">
          <w:rPr>
            <w:rStyle w:val="Hyperlink"/>
          </w:rPr>
          <w:t>dennis.sundman@ericsson.com</w:t>
        </w:r>
      </w:hyperlink>
      <w:r w:rsidRPr="003046F3">
        <w:t>)</w:t>
      </w:r>
    </w:p>
    <w:p w14:paraId="0C77EA8A" w14:textId="77777777" w:rsidR="00136FD5" w:rsidRPr="003046F3" w:rsidRDefault="00136FD5" w:rsidP="00136FD5">
      <w:pPr>
        <w:pStyle w:val="ListParagraph"/>
        <w:numPr>
          <w:ilvl w:val="0"/>
          <w:numId w:val="25"/>
        </w:numPr>
      </w:pPr>
      <w:r w:rsidRPr="003046F3">
        <w:t>Announcements</w:t>
      </w:r>
      <w:r>
        <w:t>:</w:t>
      </w:r>
    </w:p>
    <w:p w14:paraId="6F6D6EEC" w14:textId="77777777" w:rsidR="00136FD5" w:rsidRPr="003046F3" w:rsidRDefault="00136FD5" w:rsidP="00136FD5">
      <w:pPr>
        <w:pStyle w:val="ListParagraph"/>
        <w:numPr>
          <w:ilvl w:val="0"/>
          <w:numId w:val="25"/>
        </w:numPr>
      </w:pPr>
      <w:r>
        <w:t xml:space="preserve">Technical </w:t>
      </w:r>
      <w:r w:rsidRPr="003046F3">
        <w:t>Submissions:</w:t>
      </w:r>
    </w:p>
    <w:p w14:paraId="544535D1" w14:textId="77777777" w:rsidR="00136FD5" w:rsidRPr="003046F3" w:rsidRDefault="00136FD5" w:rsidP="00136FD5">
      <w:pPr>
        <w:pStyle w:val="ListParagraph"/>
        <w:numPr>
          <w:ilvl w:val="0"/>
          <w:numId w:val="25"/>
        </w:numPr>
      </w:pPr>
      <w:proofErr w:type="spellStart"/>
      <w:r w:rsidRPr="003046F3">
        <w:t>AoB</w:t>
      </w:r>
      <w:proofErr w:type="spellEnd"/>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31"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77777777" w:rsidR="00136FD5" w:rsidRPr="003046F3" w:rsidRDefault="00136FD5" w:rsidP="00136FD5">
      <w:pPr>
        <w:pStyle w:val="ListParagraph"/>
        <w:numPr>
          <w:ilvl w:val="0"/>
          <w:numId w:val="25"/>
        </w:numPr>
      </w:pPr>
      <w:r>
        <w:t xml:space="preserve">Technical </w:t>
      </w:r>
      <w:r w:rsidRPr="003046F3">
        <w:t>Submissions:</w:t>
      </w:r>
    </w:p>
    <w:p w14:paraId="1372F9FC" w14:textId="77777777" w:rsidR="00136FD5" w:rsidRPr="003046F3" w:rsidRDefault="00136FD5" w:rsidP="00136FD5">
      <w:pPr>
        <w:pStyle w:val="ListParagraph"/>
        <w:numPr>
          <w:ilvl w:val="0"/>
          <w:numId w:val="25"/>
        </w:numPr>
      </w:pPr>
      <w:proofErr w:type="spellStart"/>
      <w:r w:rsidRPr="003046F3">
        <w:t>AoB</w:t>
      </w:r>
      <w:proofErr w:type="spellEnd"/>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00D229C1" w14:textId="3DBD1E9D"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32"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33"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34"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35"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36"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37" w:tgtFrame="_blank" w:history="1">
        <w:r>
          <w:rPr>
            <w:rStyle w:val="Hyperlink"/>
            <w:sz w:val="20"/>
            <w:lang w:val="en-US"/>
          </w:rPr>
          <w:t>http://</w:t>
        </w:r>
      </w:hyperlink>
      <w:hyperlink r:id="rId38"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39"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40"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41"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t>References:</w:t>
      </w:r>
    </w:p>
    <w:p w14:paraId="30896E67" w14:textId="77777777" w:rsidR="00CA09B2" w:rsidRDefault="00CA09B2" w:rsidP="008A7896"/>
    <w:sectPr w:rsidR="00CA09B2">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0BD89" w14:textId="77777777" w:rsidR="00475D67" w:rsidRDefault="00475D67">
      <w:r>
        <w:separator/>
      </w:r>
    </w:p>
  </w:endnote>
  <w:endnote w:type="continuationSeparator" w:id="0">
    <w:p w14:paraId="4A35DE94" w14:textId="77777777" w:rsidR="00475D67" w:rsidRDefault="0047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843902" w:rsidRDefault="0084390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843902" w:rsidRDefault="008439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FE7C7" w14:textId="77777777" w:rsidR="00475D67" w:rsidRDefault="00475D67">
      <w:r>
        <w:separator/>
      </w:r>
    </w:p>
  </w:footnote>
  <w:footnote w:type="continuationSeparator" w:id="0">
    <w:p w14:paraId="11D8435D" w14:textId="77777777" w:rsidR="00475D67" w:rsidRDefault="0047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4664353" w:rsidR="00843902" w:rsidRDefault="00843902">
    <w:pPr>
      <w:pStyle w:val="Header"/>
      <w:tabs>
        <w:tab w:val="clear" w:pos="6480"/>
        <w:tab w:val="center" w:pos="4680"/>
        <w:tab w:val="right" w:pos="9360"/>
      </w:tabs>
    </w:pPr>
    <w:r>
      <w:t>Sept 2019</w:t>
    </w:r>
    <w:r>
      <w:tab/>
    </w:r>
    <w:r>
      <w:tab/>
    </w:r>
    <w:r w:rsidR="00475D67">
      <w:fldChar w:fldCharType="begin"/>
    </w:r>
    <w:r w:rsidR="00475D67">
      <w:instrText xml:space="preserve"> TITLE  \* MERGEFORMAT </w:instrText>
    </w:r>
    <w:r w:rsidR="00475D67">
      <w:fldChar w:fldCharType="separate"/>
    </w:r>
    <w:r>
      <w:t>doc.: IEEE 802.11-19/</w:t>
    </w:r>
    <w:r w:rsidR="00A65185">
      <w:t>1376</w:t>
    </w:r>
    <w:r>
      <w:t>r0</w:t>
    </w:r>
    <w:r w:rsidR="00475D6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22"/>
  </w:num>
  <w:num w:numId="4">
    <w:abstractNumId w:val="5"/>
  </w:num>
  <w:num w:numId="5">
    <w:abstractNumId w:val="6"/>
  </w:num>
  <w:num w:numId="6">
    <w:abstractNumId w:val="10"/>
  </w:num>
  <w:num w:numId="7">
    <w:abstractNumId w:val="18"/>
  </w:num>
  <w:num w:numId="8">
    <w:abstractNumId w:val="0"/>
  </w:num>
  <w:num w:numId="9">
    <w:abstractNumId w:val="19"/>
  </w:num>
  <w:num w:numId="10">
    <w:abstractNumId w:val="16"/>
  </w:num>
  <w:num w:numId="11">
    <w:abstractNumId w:val="8"/>
  </w:num>
  <w:num w:numId="12">
    <w:abstractNumId w:val="13"/>
  </w:num>
  <w:num w:numId="13">
    <w:abstractNumId w:val="11"/>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2"/>
  </w:num>
  <w:num w:numId="23">
    <w:abstractNumId w:val="14"/>
  </w:num>
  <w:num w:numId="24">
    <w:abstractNumId w:val="2"/>
  </w:num>
  <w:num w:numId="25">
    <w:abstractNumId w:val="15"/>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415B"/>
    <w:rsid w:val="00015A2B"/>
    <w:rsid w:val="00020F14"/>
    <w:rsid w:val="0002253B"/>
    <w:rsid w:val="00022A35"/>
    <w:rsid w:val="000445F3"/>
    <w:rsid w:val="00053FA5"/>
    <w:rsid w:val="0005427D"/>
    <w:rsid w:val="0005462F"/>
    <w:rsid w:val="00060A34"/>
    <w:rsid w:val="00062A2C"/>
    <w:rsid w:val="00064F9C"/>
    <w:rsid w:val="00070B7E"/>
    <w:rsid w:val="00082588"/>
    <w:rsid w:val="00086D19"/>
    <w:rsid w:val="000919D8"/>
    <w:rsid w:val="00093CF5"/>
    <w:rsid w:val="000A4B48"/>
    <w:rsid w:val="000A6057"/>
    <w:rsid w:val="000A6628"/>
    <w:rsid w:val="000A6D9C"/>
    <w:rsid w:val="000B1EDB"/>
    <w:rsid w:val="000C5FDC"/>
    <w:rsid w:val="000D3B68"/>
    <w:rsid w:val="000D683E"/>
    <w:rsid w:val="000D7AA4"/>
    <w:rsid w:val="000F3A70"/>
    <w:rsid w:val="001001B4"/>
    <w:rsid w:val="001158DD"/>
    <w:rsid w:val="00121219"/>
    <w:rsid w:val="00125E27"/>
    <w:rsid w:val="001311FF"/>
    <w:rsid w:val="00136FD5"/>
    <w:rsid w:val="00144A97"/>
    <w:rsid w:val="00151C37"/>
    <w:rsid w:val="001637D8"/>
    <w:rsid w:val="0017208D"/>
    <w:rsid w:val="00180C6D"/>
    <w:rsid w:val="00187790"/>
    <w:rsid w:val="001916F1"/>
    <w:rsid w:val="00195E6A"/>
    <w:rsid w:val="001A5E36"/>
    <w:rsid w:val="001B3714"/>
    <w:rsid w:val="001C3978"/>
    <w:rsid w:val="001C5C70"/>
    <w:rsid w:val="001D723B"/>
    <w:rsid w:val="001E0003"/>
    <w:rsid w:val="001E2522"/>
    <w:rsid w:val="001E65F8"/>
    <w:rsid w:val="001F1534"/>
    <w:rsid w:val="001F1CE3"/>
    <w:rsid w:val="001F5B79"/>
    <w:rsid w:val="00202462"/>
    <w:rsid w:val="00205068"/>
    <w:rsid w:val="00221EA3"/>
    <w:rsid w:val="002261CA"/>
    <w:rsid w:val="00234BDA"/>
    <w:rsid w:val="00240492"/>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3B94"/>
    <w:rsid w:val="002D44BE"/>
    <w:rsid w:val="002D651C"/>
    <w:rsid w:val="002D6D50"/>
    <w:rsid w:val="002D7EF1"/>
    <w:rsid w:val="002E12EC"/>
    <w:rsid w:val="002E5445"/>
    <w:rsid w:val="002F5E9E"/>
    <w:rsid w:val="002F67CC"/>
    <w:rsid w:val="002F7CCC"/>
    <w:rsid w:val="003033A0"/>
    <w:rsid w:val="00305A11"/>
    <w:rsid w:val="00334B91"/>
    <w:rsid w:val="0033661F"/>
    <w:rsid w:val="00345A86"/>
    <w:rsid w:val="00347E32"/>
    <w:rsid w:val="00352910"/>
    <w:rsid w:val="00353E2D"/>
    <w:rsid w:val="00353EE4"/>
    <w:rsid w:val="00356D1F"/>
    <w:rsid w:val="00367ADA"/>
    <w:rsid w:val="003745DD"/>
    <w:rsid w:val="00377346"/>
    <w:rsid w:val="00382A58"/>
    <w:rsid w:val="00385377"/>
    <w:rsid w:val="00385B60"/>
    <w:rsid w:val="003870FE"/>
    <w:rsid w:val="003938A5"/>
    <w:rsid w:val="003B0D66"/>
    <w:rsid w:val="003D1FB0"/>
    <w:rsid w:val="003D39CC"/>
    <w:rsid w:val="003D3F99"/>
    <w:rsid w:val="003F2BA4"/>
    <w:rsid w:val="003F3792"/>
    <w:rsid w:val="003F37F0"/>
    <w:rsid w:val="003F6E1F"/>
    <w:rsid w:val="00402498"/>
    <w:rsid w:val="004026AE"/>
    <w:rsid w:val="00405976"/>
    <w:rsid w:val="0041527E"/>
    <w:rsid w:val="00421BD6"/>
    <w:rsid w:val="00425637"/>
    <w:rsid w:val="00425849"/>
    <w:rsid w:val="00431D5A"/>
    <w:rsid w:val="0043373B"/>
    <w:rsid w:val="00440B44"/>
    <w:rsid w:val="00442037"/>
    <w:rsid w:val="00442909"/>
    <w:rsid w:val="004456BB"/>
    <w:rsid w:val="004707AF"/>
    <w:rsid w:val="00475D67"/>
    <w:rsid w:val="004846DF"/>
    <w:rsid w:val="00497E69"/>
    <w:rsid w:val="004A5947"/>
    <w:rsid w:val="004A61F3"/>
    <w:rsid w:val="004B064B"/>
    <w:rsid w:val="004B229C"/>
    <w:rsid w:val="004B4A90"/>
    <w:rsid w:val="004B79F1"/>
    <w:rsid w:val="004C1FA9"/>
    <w:rsid w:val="004D2594"/>
    <w:rsid w:val="004F74E7"/>
    <w:rsid w:val="00503C1B"/>
    <w:rsid w:val="00515C64"/>
    <w:rsid w:val="00516364"/>
    <w:rsid w:val="00525AB5"/>
    <w:rsid w:val="00531689"/>
    <w:rsid w:val="00535FE9"/>
    <w:rsid w:val="005408AF"/>
    <w:rsid w:val="005C2C31"/>
    <w:rsid w:val="005C3BAA"/>
    <w:rsid w:val="005D6ECF"/>
    <w:rsid w:val="005E6700"/>
    <w:rsid w:val="005F2098"/>
    <w:rsid w:val="006026E2"/>
    <w:rsid w:val="00605EFF"/>
    <w:rsid w:val="00607229"/>
    <w:rsid w:val="0062440B"/>
    <w:rsid w:val="00631848"/>
    <w:rsid w:val="0063582B"/>
    <w:rsid w:val="00640CD3"/>
    <w:rsid w:val="00641D31"/>
    <w:rsid w:val="006430EC"/>
    <w:rsid w:val="0065617A"/>
    <w:rsid w:val="00663730"/>
    <w:rsid w:val="0066402A"/>
    <w:rsid w:val="00666398"/>
    <w:rsid w:val="00667552"/>
    <w:rsid w:val="00670379"/>
    <w:rsid w:val="006762B4"/>
    <w:rsid w:val="00677B0D"/>
    <w:rsid w:val="00680E0B"/>
    <w:rsid w:val="00681C91"/>
    <w:rsid w:val="00682D17"/>
    <w:rsid w:val="0069620E"/>
    <w:rsid w:val="006A3B5C"/>
    <w:rsid w:val="006B7484"/>
    <w:rsid w:val="006B7F84"/>
    <w:rsid w:val="006C0727"/>
    <w:rsid w:val="006C417A"/>
    <w:rsid w:val="006C50D6"/>
    <w:rsid w:val="006C6FCD"/>
    <w:rsid w:val="006D0278"/>
    <w:rsid w:val="006D4E68"/>
    <w:rsid w:val="006D72AC"/>
    <w:rsid w:val="006D73D4"/>
    <w:rsid w:val="006E145F"/>
    <w:rsid w:val="006F7C40"/>
    <w:rsid w:val="007003AA"/>
    <w:rsid w:val="007010B7"/>
    <w:rsid w:val="00715F0D"/>
    <w:rsid w:val="00722DEB"/>
    <w:rsid w:val="00724252"/>
    <w:rsid w:val="007320ED"/>
    <w:rsid w:val="007329DE"/>
    <w:rsid w:val="007457D1"/>
    <w:rsid w:val="007529B5"/>
    <w:rsid w:val="00757637"/>
    <w:rsid w:val="00767AAD"/>
    <w:rsid w:val="00767DD8"/>
    <w:rsid w:val="00767EF0"/>
    <w:rsid w:val="00770572"/>
    <w:rsid w:val="00773450"/>
    <w:rsid w:val="00773D2B"/>
    <w:rsid w:val="00774E24"/>
    <w:rsid w:val="0077744A"/>
    <w:rsid w:val="00786B85"/>
    <w:rsid w:val="007913A2"/>
    <w:rsid w:val="00793C56"/>
    <w:rsid w:val="00796777"/>
    <w:rsid w:val="007A733A"/>
    <w:rsid w:val="007B29DA"/>
    <w:rsid w:val="007B2FB3"/>
    <w:rsid w:val="007B3FB2"/>
    <w:rsid w:val="007B7B36"/>
    <w:rsid w:val="007C2DDF"/>
    <w:rsid w:val="007C397A"/>
    <w:rsid w:val="007C488E"/>
    <w:rsid w:val="007C69AE"/>
    <w:rsid w:val="007D2BDE"/>
    <w:rsid w:val="007D2CA6"/>
    <w:rsid w:val="007D33AF"/>
    <w:rsid w:val="007D68F6"/>
    <w:rsid w:val="007E64FA"/>
    <w:rsid w:val="007F0578"/>
    <w:rsid w:val="007F1A45"/>
    <w:rsid w:val="007F42BE"/>
    <w:rsid w:val="00804AA3"/>
    <w:rsid w:val="00806590"/>
    <w:rsid w:val="008076E4"/>
    <w:rsid w:val="008162E5"/>
    <w:rsid w:val="00824259"/>
    <w:rsid w:val="008372F2"/>
    <w:rsid w:val="0084352B"/>
    <w:rsid w:val="00843902"/>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417FA"/>
    <w:rsid w:val="009421D1"/>
    <w:rsid w:val="00953419"/>
    <w:rsid w:val="00967BA9"/>
    <w:rsid w:val="00971399"/>
    <w:rsid w:val="009736BC"/>
    <w:rsid w:val="00976BA4"/>
    <w:rsid w:val="0099003A"/>
    <w:rsid w:val="00997B55"/>
    <w:rsid w:val="009A08D4"/>
    <w:rsid w:val="009A2474"/>
    <w:rsid w:val="009A3D5A"/>
    <w:rsid w:val="009C21E5"/>
    <w:rsid w:val="009C7112"/>
    <w:rsid w:val="009D10C9"/>
    <w:rsid w:val="009E00BB"/>
    <w:rsid w:val="009E4EBD"/>
    <w:rsid w:val="009E6476"/>
    <w:rsid w:val="009F2FBC"/>
    <w:rsid w:val="009F70A4"/>
    <w:rsid w:val="009F7726"/>
    <w:rsid w:val="00A07449"/>
    <w:rsid w:val="00A11715"/>
    <w:rsid w:val="00A21D02"/>
    <w:rsid w:val="00A255FF"/>
    <w:rsid w:val="00A31046"/>
    <w:rsid w:val="00A3257A"/>
    <w:rsid w:val="00A35B52"/>
    <w:rsid w:val="00A42F08"/>
    <w:rsid w:val="00A4768A"/>
    <w:rsid w:val="00A526B4"/>
    <w:rsid w:val="00A6296C"/>
    <w:rsid w:val="00A65185"/>
    <w:rsid w:val="00A66896"/>
    <w:rsid w:val="00A73B8B"/>
    <w:rsid w:val="00A77013"/>
    <w:rsid w:val="00A877EF"/>
    <w:rsid w:val="00A91637"/>
    <w:rsid w:val="00AA25D0"/>
    <w:rsid w:val="00AA2AB8"/>
    <w:rsid w:val="00AA396C"/>
    <w:rsid w:val="00AA427C"/>
    <w:rsid w:val="00AA68EF"/>
    <w:rsid w:val="00AA74B5"/>
    <w:rsid w:val="00AB0731"/>
    <w:rsid w:val="00AB28C0"/>
    <w:rsid w:val="00AB574B"/>
    <w:rsid w:val="00AB643A"/>
    <w:rsid w:val="00AC1A72"/>
    <w:rsid w:val="00AD3D95"/>
    <w:rsid w:val="00AD4128"/>
    <w:rsid w:val="00AF09C3"/>
    <w:rsid w:val="00AF1565"/>
    <w:rsid w:val="00AF1F11"/>
    <w:rsid w:val="00AF3AA1"/>
    <w:rsid w:val="00AF6C54"/>
    <w:rsid w:val="00B0614C"/>
    <w:rsid w:val="00B11929"/>
    <w:rsid w:val="00B12639"/>
    <w:rsid w:val="00B131A6"/>
    <w:rsid w:val="00B150DB"/>
    <w:rsid w:val="00B21611"/>
    <w:rsid w:val="00B3496A"/>
    <w:rsid w:val="00B35459"/>
    <w:rsid w:val="00B40291"/>
    <w:rsid w:val="00B412D6"/>
    <w:rsid w:val="00B4747B"/>
    <w:rsid w:val="00B51D9C"/>
    <w:rsid w:val="00B52EE4"/>
    <w:rsid w:val="00B54A7A"/>
    <w:rsid w:val="00B76C38"/>
    <w:rsid w:val="00B844DA"/>
    <w:rsid w:val="00B92EDB"/>
    <w:rsid w:val="00B946D4"/>
    <w:rsid w:val="00BA0E3C"/>
    <w:rsid w:val="00BA25FC"/>
    <w:rsid w:val="00BA38AB"/>
    <w:rsid w:val="00BA4BA3"/>
    <w:rsid w:val="00BA5D26"/>
    <w:rsid w:val="00BA6A69"/>
    <w:rsid w:val="00BA7B82"/>
    <w:rsid w:val="00BB14C9"/>
    <w:rsid w:val="00BB3D28"/>
    <w:rsid w:val="00BC040B"/>
    <w:rsid w:val="00BC0975"/>
    <w:rsid w:val="00BC41AF"/>
    <w:rsid w:val="00BC7898"/>
    <w:rsid w:val="00BD2375"/>
    <w:rsid w:val="00BE167C"/>
    <w:rsid w:val="00BE58FE"/>
    <w:rsid w:val="00BE68C2"/>
    <w:rsid w:val="00C1375A"/>
    <w:rsid w:val="00C14F2C"/>
    <w:rsid w:val="00C22A45"/>
    <w:rsid w:val="00C23C2B"/>
    <w:rsid w:val="00C260D7"/>
    <w:rsid w:val="00C26114"/>
    <w:rsid w:val="00C26961"/>
    <w:rsid w:val="00C273EE"/>
    <w:rsid w:val="00C274C2"/>
    <w:rsid w:val="00C30FB3"/>
    <w:rsid w:val="00C32316"/>
    <w:rsid w:val="00C34240"/>
    <w:rsid w:val="00C4042B"/>
    <w:rsid w:val="00C42399"/>
    <w:rsid w:val="00C431D0"/>
    <w:rsid w:val="00C4584F"/>
    <w:rsid w:val="00C561D7"/>
    <w:rsid w:val="00C702C5"/>
    <w:rsid w:val="00C74567"/>
    <w:rsid w:val="00C74FEC"/>
    <w:rsid w:val="00C83620"/>
    <w:rsid w:val="00C83F42"/>
    <w:rsid w:val="00C87487"/>
    <w:rsid w:val="00C917FF"/>
    <w:rsid w:val="00C938E1"/>
    <w:rsid w:val="00C96A98"/>
    <w:rsid w:val="00C979C9"/>
    <w:rsid w:val="00CA09B2"/>
    <w:rsid w:val="00CA4864"/>
    <w:rsid w:val="00CA654E"/>
    <w:rsid w:val="00CB169D"/>
    <w:rsid w:val="00CB360C"/>
    <w:rsid w:val="00CC3C63"/>
    <w:rsid w:val="00CD0BB8"/>
    <w:rsid w:val="00CE11B6"/>
    <w:rsid w:val="00CE5B03"/>
    <w:rsid w:val="00CF2511"/>
    <w:rsid w:val="00CF2FAD"/>
    <w:rsid w:val="00D01A22"/>
    <w:rsid w:val="00D12548"/>
    <w:rsid w:val="00D2134B"/>
    <w:rsid w:val="00D237D0"/>
    <w:rsid w:val="00D34516"/>
    <w:rsid w:val="00D34D3F"/>
    <w:rsid w:val="00D60B8D"/>
    <w:rsid w:val="00D60ED7"/>
    <w:rsid w:val="00D6163D"/>
    <w:rsid w:val="00D72C64"/>
    <w:rsid w:val="00D75EDC"/>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28"/>
    <w:rsid w:val="00DC5A7B"/>
    <w:rsid w:val="00DD1FBD"/>
    <w:rsid w:val="00DD34EB"/>
    <w:rsid w:val="00DD36AF"/>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CB6"/>
    <w:rsid w:val="00E70E1C"/>
    <w:rsid w:val="00E86FB5"/>
    <w:rsid w:val="00E8733B"/>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EF4FB8"/>
    <w:rsid w:val="00F03332"/>
    <w:rsid w:val="00F056F5"/>
    <w:rsid w:val="00F14F67"/>
    <w:rsid w:val="00F171C8"/>
    <w:rsid w:val="00F17508"/>
    <w:rsid w:val="00F239CE"/>
    <w:rsid w:val="00F27841"/>
    <w:rsid w:val="00F315B1"/>
    <w:rsid w:val="00F357AC"/>
    <w:rsid w:val="00F35BC8"/>
    <w:rsid w:val="00F438D5"/>
    <w:rsid w:val="00F46524"/>
    <w:rsid w:val="00F5701C"/>
    <w:rsid w:val="00F64500"/>
    <w:rsid w:val="00F657FF"/>
    <w:rsid w:val="00F746E1"/>
    <w:rsid w:val="00F756AB"/>
    <w:rsid w:val="00F7620E"/>
    <w:rsid w:val="00F764FD"/>
    <w:rsid w:val="00F83A07"/>
    <w:rsid w:val="00F86613"/>
    <w:rsid w:val="00FA1744"/>
    <w:rsid w:val="00FB10A4"/>
    <w:rsid w:val="00FB7207"/>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mailto:patcom@ieee.org" TargetMode="External"/><Relationship Id="rId39" Type="http://schemas.openxmlformats.org/officeDocument/2006/relationships/hyperlink" Target="https://mentor.ieee.org/802-ec/dcn/17/ec-17-0120-27-0PNP-ieee-802-lmsc-chairs-guidelines.pdf" TargetMode="Externa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standards.ieee.org/content/dam/ieee-standards/standards/web/documents/other/antitrust.pdf"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mailto:dennis.sundman@ericsson.com" TargetMode="External"/><Relationship Id="rId33" Type="http://schemas.openxmlformats.org/officeDocument/2006/relationships/hyperlink" Target="https://standards.ieee.org/faqs/affiliation.html" TargetMode="External"/><Relationship Id="rId38" Type="http://schemas.openxmlformats.org/officeDocument/2006/relationships/hyperlink" Target="http://www.ieee802.org/PNP/approved/IEEE_802_WG_PandP_v19.pdf" TargetMode="Externa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0" Type="http://schemas.openxmlformats.org/officeDocument/2006/relationships/hyperlink" Target="mailto:patcom@ieee.org" TargetMode="External"/><Relationship Id="rId29" Type="http://schemas.openxmlformats.org/officeDocument/2006/relationships/hyperlink" Target="mailto:patcom@ieee.org" TargetMode="External"/><Relationship Id="rId41"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www.ieee.org/about/corporate/governance/p7-8.html" TargetMode="External"/><Relationship Id="rId37" Type="http://schemas.openxmlformats.org/officeDocument/2006/relationships/hyperlink" Target="http://www.ieee802.org/PNP/approved/IEEE_802_WG_PandP_v19.pdf"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mailto:patcom@ieee.org" TargetMode="External"/><Relationship Id="rId28" Type="http://schemas.openxmlformats.org/officeDocument/2006/relationships/hyperlink" Target="mailto:dennis.sundman@ericsson.com" TargetMode="External"/><Relationship Id="rId36" Type="http://schemas.openxmlformats.org/officeDocument/2006/relationships/hyperlink" Target="https://standards.ieee.org/about/sasb/patcom/" TargetMode="External"/><Relationship Id="rId10" Type="http://schemas.openxmlformats.org/officeDocument/2006/relationships/hyperlink" Target="http://grouper.ieee.org/groups/802/11/joinme.html" TargetMode="External"/><Relationship Id="rId19" Type="http://schemas.openxmlformats.org/officeDocument/2006/relationships/hyperlink" Target="mailto:dennis.sundman@ericsson.com" TargetMode="External"/><Relationship Id="rId31" Type="http://schemas.openxmlformats.org/officeDocument/2006/relationships/hyperlink" Target="mailto:dennis.sundman@ericsson.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patcom@ieee.org" TargetMode="External"/><Relationship Id="rId22" Type="http://schemas.openxmlformats.org/officeDocument/2006/relationships/hyperlink" Target="mailto:dennis.sundman@ericsson.com"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tandards.ieee.org/develop/policies/bylaws/sect6-7.html"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A0B5-FF4F-4408-B6E6-9F5715AB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1406</TotalTime>
  <Pages>2</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95</cp:revision>
  <cp:lastPrinted>2019-05-20T20:59:00Z</cp:lastPrinted>
  <dcterms:created xsi:type="dcterms:W3CDTF">2019-05-28T13:52:00Z</dcterms:created>
  <dcterms:modified xsi:type="dcterms:W3CDTF">2019-07-26T17:52:00Z</dcterms:modified>
</cp:coreProperties>
</file>