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 xml:space="preserve">IEEE </w:t>
      </w:r>
      <w:proofErr w:type="spellStart"/>
      <w:r w:rsidRPr="00CD4C78">
        <w:t>P802.11</w:t>
      </w:r>
      <w:proofErr w:type="spellEnd"/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B232D7" w:rsidP="004F6D0C">
                  <w:pPr>
                    <w:pStyle w:val="T2"/>
                  </w:pPr>
                  <w:r>
                    <w:rPr>
                      <w:lang w:eastAsia="ko-KR"/>
                    </w:rPr>
                    <w:t>Misc. PHY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B232D7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517CF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B232D7">
                    <w:rPr>
                      <w:b w:val="0"/>
                      <w:sz w:val="20"/>
                    </w:rPr>
                    <w:t>7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B232D7">
                    <w:rPr>
                      <w:b w:val="0"/>
                      <w:sz w:val="20"/>
                      <w:lang w:eastAsia="ko-KR"/>
                    </w:rPr>
                    <w:t>09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9C066C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003426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AF29A0" w:rsidRDefault="003E4403" w:rsidP="00AF29A0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 xml:space="preserve">resolution </w:t>
      </w:r>
      <w:r w:rsidR="00AF29A0">
        <w:rPr>
          <w:sz w:val="20"/>
          <w:lang w:eastAsia="ko-KR"/>
        </w:rPr>
        <w:t xml:space="preserve">of comments </w:t>
      </w:r>
    </w:p>
    <w:p w:rsidR="00517CF8" w:rsidRDefault="00F84980" w:rsidP="00AF29A0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20</w:t>
      </w:r>
      <w:r w:rsidR="005823A2">
        <w:rPr>
          <w:sz w:val="20"/>
          <w:lang w:eastAsia="ko-KR"/>
        </w:rPr>
        <w:t>794</w:t>
      </w:r>
      <w:proofErr w:type="gramStart"/>
      <w:r>
        <w:rPr>
          <w:sz w:val="20"/>
          <w:lang w:eastAsia="ko-KR"/>
        </w:rPr>
        <w:t xml:space="preserve">, </w:t>
      </w:r>
      <w:r w:rsidR="00EF4D05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2</w:t>
      </w:r>
      <w:r w:rsidR="005823A2">
        <w:rPr>
          <w:sz w:val="20"/>
          <w:lang w:eastAsia="ko-KR"/>
        </w:rPr>
        <w:t>09</w:t>
      </w:r>
      <w:r>
        <w:rPr>
          <w:sz w:val="20"/>
          <w:lang w:eastAsia="ko-KR"/>
        </w:rPr>
        <w:t>34</w:t>
      </w:r>
      <w:proofErr w:type="gramEnd"/>
      <w:r>
        <w:rPr>
          <w:sz w:val="20"/>
          <w:lang w:eastAsia="ko-KR"/>
        </w:rPr>
        <w:t>,</w:t>
      </w:r>
      <w:r w:rsidR="00EF4D05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2</w:t>
      </w:r>
      <w:r w:rsidR="005823A2">
        <w:rPr>
          <w:sz w:val="20"/>
          <w:lang w:eastAsia="ko-KR"/>
        </w:rPr>
        <w:t>0935</w:t>
      </w:r>
    </w:p>
    <w:p w:rsidR="00517CF8" w:rsidRDefault="00517CF8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</w:t>
      </w:r>
      <w:r w:rsidR="00517CF8">
        <w:rPr>
          <w:sz w:val="20"/>
          <w:lang w:eastAsia="ko-KR"/>
        </w:rPr>
        <w:t>4</w:t>
      </w:r>
      <w:r>
        <w:rPr>
          <w:sz w:val="20"/>
          <w:lang w:eastAsia="ko-KR"/>
        </w:rPr>
        <w:t>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676D93" w:rsidRDefault="00243692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Changes relative to </w:t>
      </w:r>
      <w:proofErr w:type="spellStart"/>
      <w:r>
        <w:rPr>
          <w:sz w:val="20"/>
          <w:lang w:eastAsia="ko-KR"/>
        </w:rPr>
        <w:t>D</w:t>
      </w:r>
      <w:r w:rsidR="00517CF8">
        <w:rPr>
          <w:sz w:val="20"/>
          <w:lang w:eastAsia="ko-KR"/>
        </w:rPr>
        <w:t>4</w:t>
      </w:r>
      <w:r>
        <w:rPr>
          <w:sz w:val="20"/>
          <w:lang w:eastAsia="ko-KR"/>
        </w:rPr>
        <w:t>.</w:t>
      </w:r>
      <w:r w:rsidR="00AC46D9">
        <w:rPr>
          <w:sz w:val="20"/>
          <w:lang w:eastAsia="ko-KR"/>
        </w:rPr>
        <w:t>0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C55FCF" w:rsidRDefault="00C55FCF" w:rsidP="00F2637D"/>
    <w:p w:rsidR="009C2DE9" w:rsidRPr="009C2DE9" w:rsidRDefault="009C2DE9" w:rsidP="005B2037">
      <w:pPr>
        <w:rPr>
          <w:b/>
          <w:sz w:val="32"/>
          <w:u w:val="single"/>
        </w:rPr>
      </w:pPr>
    </w:p>
    <w:p w:rsidR="00FF2724" w:rsidRDefault="00FF2724" w:rsidP="005B2037">
      <w:pPr>
        <w:rPr>
          <w:sz w:val="24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918"/>
        <w:gridCol w:w="983"/>
        <w:gridCol w:w="817"/>
        <w:gridCol w:w="810"/>
        <w:gridCol w:w="2979"/>
        <w:gridCol w:w="2061"/>
        <w:gridCol w:w="1800"/>
      </w:tblGrid>
      <w:tr w:rsidR="007E7D4E" w:rsidTr="00C82EF2">
        <w:tc>
          <w:tcPr>
            <w:tcW w:w="918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83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17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810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2979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61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800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82EF2" w:rsidTr="00C82EF2">
        <w:tc>
          <w:tcPr>
            <w:tcW w:w="918" w:type="dxa"/>
          </w:tcPr>
          <w:p w:rsidR="00C82EF2" w:rsidRDefault="00C82EF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20794</w:t>
            </w:r>
          </w:p>
        </w:tc>
        <w:tc>
          <w:tcPr>
            <w:tcW w:w="983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817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:rsidR="00C82EF2" w:rsidRDefault="00C82EF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 CID 16381: the resolution does not address the specific points made in the comment: "The secondary 40 MHz is entirely missed out, but the secondary 80 MHz is still there?  Or the presence/absence of the secondary 40 MHz is undefined (might be present, might be 50% present, might be absent?)?  Why not the mode where one of the 20 MHz of the secondary 40 MHz is punctured, like in 80 MHz </w:t>
            </w:r>
            <w:proofErr w:type="spellStart"/>
            <w:r>
              <w:rPr>
                <w:rFonts w:ascii="Arial" w:hAnsi="Arial" w:cs="Arial"/>
                <w:sz w:val="20"/>
              </w:rPr>
              <w:t>bw</w:t>
            </w:r>
            <w:proofErr w:type="spellEnd"/>
            <w:r>
              <w:rPr>
                <w:rFonts w:ascii="Arial" w:hAnsi="Arial" w:cs="Arial"/>
                <w:sz w:val="20"/>
              </w:rPr>
              <w:t>?"</w:t>
            </w:r>
          </w:p>
        </w:tc>
        <w:tc>
          <w:tcPr>
            <w:tcW w:w="2061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Addrees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points made in CID 16381</w:t>
            </w:r>
          </w:p>
        </w:tc>
        <w:tc>
          <w:tcPr>
            <w:tcW w:w="1800" w:type="dxa"/>
          </w:tcPr>
          <w:p w:rsidR="00C82EF2" w:rsidRDefault="00C82EF2" w:rsidP="00FC783A">
            <w:pPr>
              <w:rPr>
                <w:rFonts w:ascii="Arial" w:hAnsi="Arial" w:cs="Arial"/>
                <w:sz w:val="20"/>
              </w:rPr>
            </w:pPr>
            <w:r w:rsidRPr="00C82EF2">
              <w:rPr>
                <w:rFonts w:ascii="Arial" w:hAnsi="Arial" w:cs="Arial"/>
                <w:sz w:val="20"/>
                <w:highlight w:val="yellow"/>
              </w:rPr>
              <w:t>Rejected</w:t>
            </w:r>
          </w:p>
          <w:p w:rsidR="00C82EF2" w:rsidRDefault="00C82EF2" w:rsidP="00FC783A">
            <w:pPr>
              <w:rPr>
                <w:rFonts w:ascii="Arial" w:hAnsi="Arial" w:cs="Arial"/>
                <w:sz w:val="20"/>
              </w:rPr>
            </w:pPr>
          </w:p>
          <w:p w:rsidR="005674B4" w:rsidRDefault="00C82EF2" w:rsidP="00FC78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My understanding is the </w:t>
            </w:r>
            <w:r w:rsidR="005674B4">
              <w:rPr>
                <w:rFonts w:ascii="Arial" w:hAnsi="Arial" w:cs="Arial"/>
                <w:sz w:val="20"/>
              </w:rPr>
              <w:t xml:space="preserve">previous </w:t>
            </w:r>
            <w:r>
              <w:rPr>
                <w:rFonts w:ascii="Arial" w:hAnsi="Arial" w:cs="Arial"/>
                <w:sz w:val="20"/>
              </w:rPr>
              <w:t>resolution did address the comment albeit succinctly.</w:t>
            </w:r>
          </w:p>
          <w:p w:rsidR="00C82EF2" w:rsidRDefault="00C82EF2" w:rsidP="00FC78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82EF2" w:rsidRPr="00B8781E" w:rsidRDefault="005674B4" w:rsidP="005674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this mode a</w:t>
            </w:r>
            <w:r w:rsidR="00C82EF2">
              <w:rPr>
                <w:rFonts w:ascii="Arial" w:hAnsi="Arial" w:cs="Arial"/>
                <w:sz w:val="20"/>
              </w:rPr>
              <w:t xml:space="preserve">ny of the 14 </w:t>
            </w:r>
            <w:proofErr w:type="spellStart"/>
            <w:r w:rsidR="00C82EF2">
              <w:rPr>
                <w:rFonts w:ascii="Arial" w:hAnsi="Arial" w:cs="Arial"/>
                <w:sz w:val="20"/>
              </w:rPr>
              <w:t>20MHz</w:t>
            </w:r>
            <w:proofErr w:type="spellEnd"/>
            <w:r w:rsidR="00C82E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82EF2">
              <w:rPr>
                <w:rFonts w:ascii="Arial" w:hAnsi="Arial" w:cs="Arial"/>
                <w:sz w:val="20"/>
              </w:rPr>
              <w:t>subchannels</w:t>
            </w:r>
            <w:proofErr w:type="spellEnd"/>
            <w:r w:rsidR="00C82EF2">
              <w:rPr>
                <w:rFonts w:ascii="Arial" w:hAnsi="Arial" w:cs="Arial"/>
                <w:sz w:val="20"/>
              </w:rPr>
              <w:t xml:space="preserve"> outside </w:t>
            </w:r>
            <w:proofErr w:type="spellStart"/>
            <w:r w:rsidR="00C82EF2">
              <w:rPr>
                <w:rFonts w:ascii="Arial" w:hAnsi="Arial" w:cs="Arial"/>
                <w:sz w:val="20"/>
              </w:rPr>
              <w:t>P40</w:t>
            </w:r>
            <w:proofErr w:type="spellEnd"/>
            <w:r w:rsidR="00C82EF2">
              <w:rPr>
                <w:rFonts w:ascii="Arial" w:hAnsi="Arial" w:cs="Arial"/>
                <w:sz w:val="20"/>
              </w:rPr>
              <w:t xml:space="preserve"> could be punctured. This mode effectively tells the </w:t>
            </w:r>
            <w:proofErr w:type="spellStart"/>
            <w:r w:rsidR="00C82EF2">
              <w:rPr>
                <w:rFonts w:ascii="Arial" w:hAnsi="Arial" w:cs="Arial"/>
                <w:sz w:val="20"/>
              </w:rPr>
              <w:t>STA</w:t>
            </w:r>
            <w:proofErr w:type="spellEnd"/>
            <w:r w:rsidR="00C82EF2">
              <w:rPr>
                <w:rFonts w:ascii="Arial" w:hAnsi="Arial" w:cs="Arial"/>
                <w:sz w:val="20"/>
              </w:rPr>
              <w:t xml:space="preserve"> to only use the primary </w:t>
            </w:r>
            <w:proofErr w:type="spellStart"/>
            <w:r w:rsidR="00C82EF2">
              <w:rPr>
                <w:rFonts w:ascii="Arial" w:hAnsi="Arial" w:cs="Arial"/>
                <w:sz w:val="20"/>
              </w:rPr>
              <w:t>40MHz</w:t>
            </w:r>
            <w:proofErr w:type="spellEnd"/>
            <w:r w:rsidR="00C82EF2">
              <w:rPr>
                <w:rFonts w:ascii="Arial" w:hAnsi="Arial" w:cs="Arial"/>
                <w:sz w:val="20"/>
              </w:rPr>
              <w:t xml:space="preserve"> for </w:t>
            </w:r>
            <w:proofErr w:type="spellStart"/>
            <w:r w:rsidR="00C82EF2">
              <w:rPr>
                <w:rFonts w:ascii="Arial" w:hAnsi="Arial" w:cs="Arial"/>
                <w:sz w:val="20"/>
              </w:rPr>
              <w:t>SIGB</w:t>
            </w:r>
            <w:proofErr w:type="spellEnd"/>
            <w:r w:rsidR="00C82EF2">
              <w:rPr>
                <w:rFonts w:ascii="Arial" w:hAnsi="Arial" w:cs="Arial"/>
                <w:sz w:val="20"/>
              </w:rPr>
              <w:t xml:space="preserve"> decoding and given this </w:t>
            </w:r>
            <w:r>
              <w:rPr>
                <w:rFonts w:ascii="Arial" w:hAnsi="Arial" w:cs="Arial"/>
                <w:sz w:val="20"/>
              </w:rPr>
              <w:t>is a</w:t>
            </w:r>
            <w:r w:rsidR="00C82EF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82EF2">
              <w:rPr>
                <w:rFonts w:ascii="Arial" w:hAnsi="Arial" w:cs="Arial"/>
                <w:sz w:val="20"/>
              </w:rPr>
              <w:t>160</w:t>
            </w:r>
            <w:r>
              <w:rPr>
                <w:rFonts w:ascii="Arial" w:hAnsi="Arial" w:cs="Arial"/>
                <w:sz w:val="20"/>
              </w:rPr>
              <w:t>MHz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mode</w:t>
            </w:r>
            <w:r w:rsidR="00C82EF2">
              <w:rPr>
                <w:rFonts w:ascii="Arial" w:hAnsi="Arial" w:cs="Arial"/>
                <w:sz w:val="20"/>
              </w:rPr>
              <w:t xml:space="preserve">, at least one </w:t>
            </w:r>
            <w:proofErr w:type="spellStart"/>
            <w:r w:rsidR="00C82EF2">
              <w:rPr>
                <w:rFonts w:ascii="Arial" w:hAnsi="Arial" w:cs="Arial"/>
                <w:sz w:val="20"/>
              </w:rPr>
              <w:t>20MHz</w:t>
            </w:r>
            <w:proofErr w:type="spellEnd"/>
            <w:r w:rsidR="00C82EF2">
              <w:rPr>
                <w:rFonts w:ascii="Arial" w:hAnsi="Arial" w:cs="Arial"/>
                <w:sz w:val="20"/>
              </w:rPr>
              <w:t xml:space="preserve"> channel is present in </w:t>
            </w:r>
            <w:proofErr w:type="spellStart"/>
            <w:r w:rsidR="00C82EF2">
              <w:rPr>
                <w:rFonts w:ascii="Arial" w:hAnsi="Arial" w:cs="Arial"/>
                <w:sz w:val="20"/>
              </w:rPr>
              <w:t>S80</w:t>
            </w:r>
            <w:proofErr w:type="spellEnd"/>
            <w:r w:rsidR="00C82EF2">
              <w:rPr>
                <w:rFonts w:ascii="Arial" w:hAnsi="Arial" w:cs="Arial"/>
                <w:sz w:val="20"/>
              </w:rPr>
              <w:t xml:space="preserve">.  </w:t>
            </w:r>
          </w:p>
        </w:tc>
      </w:tr>
      <w:tr w:rsidR="00C82EF2" w:rsidTr="00C82EF2">
        <w:tc>
          <w:tcPr>
            <w:tcW w:w="918" w:type="dxa"/>
          </w:tcPr>
          <w:p w:rsidR="00C82EF2" w:rsidRDefault="00C82EF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20934</w:t>
            </w:r>
          </w:p>
        </w:tc>
        <w:tc>
          <w:tcPr>
            <w:tcW w:w="983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817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:rsidR="00C82EF2" w:rsidRDefault="00C82EF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 CID 16138: the field name is therefore very poor.  Also not clear what "payload in" refers to.  Also an RU in a </w:t>
            </w:r>
            <w:proofErr w:type="spellStart"/>
            <w:r>
              <w:rPr>
                <w:rFonts w:ascii="Arial" w:hAnsi="Arial" w:cs="Arial"/>
                <w:sz w:val="20"/>
              </w:rPr>
              <w:t>20M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necessarily in the primary 20 MHz channel.  Also not clear why this is restricted to from non-AP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(is this to allow HE </w:t>
            </w:r>
            <w:proofErr w:type="spellStart"/>
            <w:r>
              <w:rPr>
                <w:rFonts w:ascii="Arial" w:hAnsi="Arial" w:cs="Arial"/>
                <w:sz w:val="20"/>
              </w:rPr>
              <w:t>TDLS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restrict each other?).  Also "single" not clear</w:t>
            </w:r>
          </w:p>
        </w:tc>
        <w:tc>
          <w:tcPr>
            <w:tcW w:w="2061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"Rx Partial BW SU Using HE MU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Non-AP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to "Rx Partial BW SU In 20 MHz HE MU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>" in Figure 9-</w:t>
            </w:r>
            <w:proofErr w:type="spellStart"/>
            <w:r>
              <w:rPr>
                <w:rFonts w:ascii="Arial" w:hAnsi="Arial" w:cs="Arial"/>
                <w:sz w:val="20"/>
              </w:rPr>
              <w:t>772c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Table 9-</w:t>
            </w:r>
            <w:proofErr w:type="spellStart"/>
            <w:r>
              <w:rPr>
                <w:rFonts w:ascii="Arial" w:hAnsi="Arial" w:cs="Arial"/>
                <w:sz w:val="20"/>
              </w:rPr>
              <w:t>321b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at 419.2.  In Table 9-</w:t>
            </w:r>
            <w:proofErr w:type="spellStart"/>
            <w:r>
              <w:rPr>
                <w:rFonts w:ascii="Arial" w:hAnsi="Arial" w:cs="Arial"/>
                <w:sz w:val="20"/>
              </w:rPr>
              <w:t>321b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change "Indicates support for the reception of payload in a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t xml:space="preserve">20 MHz HE MU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a single 106-tone RU in</w:t>
            </w:r>
            <w:r>
              <w:rPr>
                <w:rFonts w:ascii="Arial" w:hAnsi="Arial" w:cs="Arial"/>
                <w:sz w:val="20"/>
              </w:rPr>
              <w:br/>
              <w:t>the primary 20 MHz channel." to "Indicates support for the reception of a</w:t>
            </w:r>
            <w:r>
              <w:rPr>
                <w:rFonts w:ascii="Arial" w:hAnsi="Arial" w:cs="Arial"/>
                <w:sz w:val="20"/>
              </w:rPr>
              <w:br/>
              <w:t xml:space="preserve">20 MHz HE MU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just a 106-tone RU.".  At 419.1 change "An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shall not transmit a 20 MHz HE MU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with just a 106-tone RU to a peer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br/>
              <w:t xml:space="preserve">unless it has received from the peer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800" w:type="dxa"/>
          </w:tcPr>
          <w:p w:rsidR="00C82EF2" w:rsidRPr="00B8781E" w:rsidRDefault="00C82EF2" w:rsidP="005B2037">
            <w:pPr>
              <w:rPr>
                <w:rFonts w:ascii="Arial" w:hAnsi="Arial" w:cs="Arial"/>
                <w:sz w:val="20"/>
              </w:rPr>
            </w:pPr>
            <w:r w:rsidRPr="00C82EF2">
              <w:rPr>
                <w:rFonts w:ascii="Arial" w:hAnsi="Arial" w:cs="Arial"/>
                <w:sz w:val="20"/>
                <w:highlight w:val="yellow"/>
              </w:rPr>
              <w:lastRenderedPageBreak/>
              <w:t>Accepted</w:t>
            </w:r>
          </w:p>
        </w:tc>
      </w:tr>
      <w:tr w:rsidR="00C82EF2" w:rsidTr="00C82EF2">
        <w:tc>
          <w:tcPr>
            <w:tcW w:w="918" w:type="dxa"/>
          </w:tcPr>
          <w:p w:rsidR="00C82EF2" w:rsidRDefault="00C82EF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20935</w:t>
            </w:r>
          </w:p>
        </w:tc>
        <w:tc>
          <w:tcPr>
            <w:tcW w:w="983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817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:rsidR="00C82EF2" w:rsidRDefault="00C82EF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"Rx Partial BW SU</w:t>
            </w:r>
            <w:r>
              <w:rPr>
                <w:rFonts w:ascii="Arial" w:hAnsi="Arial" w:cs="Arial"/>
                <w:sz w:val="20"/>
              </w:rPr>
              <w:br/>
              <w:t>Using HE MU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From Non-</w:t>
            </w:r>
            <w:r>
              <w:rPr>
                <w:rFonts w:ascii="Arial" w:hAnsi="Arial" w:cs="Arial"/>
                <w:sz w:val="20"/>
              </w:rPr>
              <w:br/>
              <w:t xml:space="preserve">AP </w:t>
            </w:r>
            <w:proofErr w:type="spellStart"/>
            <w:r>
              <w:rPr>
                <w:rFonts w:ascii="Arial" w:hAnsi="Arial" w:cs="Arial"/>
                <w:sz w:val="20"/>
              </w:rPr>
              <w:t>STA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" is so specific (doesn't cover any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widths other than </w:t>
            </w:r>
            <w:proofErr w:type="spellStart"/>
            <w:r>
              <w:rPr>
                <w:rFonts w:ascii="Arial" w:hAnsi="Arial" w:cs="Arial"/>
                <w:sz w:val="20"/>
              </w:rPr>
              <w:t>20M</w:t>
            </w:r>
            <w:proofErr w:type="spellEnd"/>
            <w:r>
              <w:rPr>
                <w:rFonts w:ascii="Arial" w:hAnsi="Arial" w:cs="Arial"/>
                <w:sz w:val="20"/>
              </w:rPr>
              <w:t>, doesn't cover any RU widths other than 106-tone, doesn't cover any combination of a 106-tone RU with any other RU) as to be useless</w:t>
            </w:r>
          </w:p>
        </w:tc>
        <w:tc>
          <w:tcPr>
            <w:tcW w:w="2061" w:type="dxa"/>
          </w:tcPr>
          <w:p w:rsidR="00C82EF2" w:rsidRDefault="00C82E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the field in the element reserved and delete all references to the field (Table 9-</w:t>
            </w:r>
            <w:proofErr w:type="spellStart"/>
            <w:r>
              <w:rPr>
                <w:rFonts w:ascii="Arial" w:hAnsi="Arial" w:cs="Arial"/>
                <w:sz w:val="20"/>
              </w:rPr>
              <w:t>321b</w:t>
            </w:r>
            <w:proofErr w:type="spellEnd"/>
            <w:r>
              <w:rPr>
                <w:rFonts w:ascii="Arial" w:hAnsi="Arial" w:cs="Arial"/>
                <w:sz w:val="20"/>
              </w:rPr>
              <w:t>, Figure 9-</w:t>
            </w:r>
            <w:proofErr w:type="spellStart"/>
            <w:r>
              <w:rPr>
                <w:rFonts w:ascii="Arial" w:hAnsi="Arial" w:cs="Arial"/>
                <w:sz w:val="20"/>
              </w:rPr>
              <w:t>772c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26.15.2)</w:t>
            </w:r>
          </w:p>
        </w:tc>
        <w:tc>
          <w:tcPr>
            <w:tcW w:w="1800" w:type="dxa"/>
          </w:tcPr>
          <w:p w:rsidR="00C82EF2" w:rsidRDefault="00C82EF2" w:rsidP="0087655B">
            <w:pPr>
              <w:rPr>
                <w:rFonts w:ascii="Arial" w:hAnsi="Arial" w:cs="Arial"/>
                <w:sz w:val="20"/>
              </w:rPr>
            </w:pPr>
            <w:r w:rsidRPr="00C82EF2">
              <w:rPr>
                <w:rFonts w:ascii="Arial" w:hAnsi="Arial" w:cs="Arial"/>
                <w:sz w:val="20"/>
                <w:highlight w:val="yellow"/>
              </w:rPr>
              <w:t>Rejected</w:t>
            </w:r>
          </w:p>
          <w:p w:rsidR="0064660E" w:rsidRDefault="0064660E" w:rsidP="0087655B">
            <w:pPr>
              <w:rPr>
                <w:rFonts w:ascii="Arial" w:hAnsi="Arial" w:cs="Arial"/>
                <w:sz w:val="20"/>
              </w:rPr>
            </w:pPr>
          </w:p>
          <w:p w:rsidR="0064660E" w:rsidRPr="00B8781E" w:rsidRDefault="0064660E" w:rsidP="005F70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group decided there is a</w:t>
            </w:r>
            <w:r>
              <w:t xml:space="preserve"> </w:t>
            </w:r>
            <w:r w:rsidRPr="0064660E">
              <w:rPr>
                <w:rFonts w:ascii="Arial" w:hAnsi="Arial" w:cs="Arial"/>
                <w:sz w:val="20"/>
              </w:rPr>
              <w:t xml:space="preserve">need </w:t>
            </w:r>
            <w:r>
              <w:rPr>
                <w:rFonts w:ascii="Arial" w:hAnsi="Arial" w:cs="Arial"/>
                <w:sz w:val="20"/>
              </w:rPr>
              <w:t xml:space="preserve">for </w:t>
            </w:r>
            <w:r w:rsidRPr="0064660E">
              <w:rPr>
                <w:rFonts w:ascii="Arial" w:hAnsi="Arial" w:cs="Arial"/>
                <w:sz w:val="20"/>
              </w:rPr>
              <w:t xml:space="preserve">this capability </w:t>
            </w:r>
            <w:r w:rsidR="005F70F5">
              <w:rPr>
                <w:rFonts w:ascii="Arial" w:hAnsi="Arial" w:cs="Arial"/>
                <w:sz w:val="20"/>
              </w:rPr>
              <w:t>in contribution 18/755 for the special case of UL SU using the MU format with partial BW</w:t>
            </w:r>
            <w:bookmarkStart w:id="0" w:name="_GoBack"/>
            <w:bookmarkEnd w:id="0"/>
            <w:r w:rsidR="005F70F5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321720" w:rsidRDefault="00321720" w:rsidP="005B2037">
      <w:pPr>
        <w:rPr>
          <w:sz w:val="24"/>
        </w:rPr>
      </w:pPr>
    </w:p>
    <w:p w:rsidR="00F273A5" w:rsidRDefault="00F273A5" w:rsidP="005B2037">
      <w:pPr>
        <w:rPr>
          <w:sz w:val="24"/>
        </w:rPr>
      </w:pPr>
    </w:p>
    <w:sectPr w:rsidR="00F273A5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6C" w:rsidRDefault="009C066C">
      <w:r>
        <w:separator/>
      </w:r>
    </w:p>
  </w:endnote>
  <w:endnote w:type="continuationSeparator" w:id="0">
    <w:p w:rsidR="009C066C" w:rsidRDefault="009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11" w:rsidRDefault="009C066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C4811">
      <w:t>Submission</w:t>
    </w:r>
    <w:r>
      <w:fldChar w:fldCharType="end"/>
    </w:r>
    <w:r w:rsidR="00BC4811">
      <w:tab/>
      <w:t xml:space="preserve">page </w:t>
    </w:r>
    <w:r w:rsidR="00BC4811">
      <w:fldChar w:fldCharType="begin"/>
    </w:r>
    <w:r w:rsidR="00BC4811">
      <w:instrText xml:space="preserve">page </w:instrText>
    </w:r>
    <w:r w:rsidR="00BC4811">
      <w:fldChar w:fldCharType="separate"/>
    </w:r>
    <w:r w:rsidR="005674B4">
      <w:rPr>
        <w:noProof/>
      </w:rPr>
      <w:t>3</w:t>
    </w:r>
    <w:r w:rsidR="00BC4811">
      <w:rPr>
        <w:noProof/>
      </w:rPr>
      <w:fldChar w:fldCharType="end"/>
    </w:r>
    <w:r w:rsidR="00BC4811">
      <w:tab/>
    </w:r>
    <w:r w:rsidR="00BC4811">
      <w:rPr>
        <w:rFonts w:eastAsia="SimSun" w:hint="eastAsia"/>
        <w:lang w:eastAsia="zh-CN"/>
      </w:rPr>
      <w:t xml:space="preserve">         </w:t>
    </w:r>
    <w:r w:rsidR="00BC4811">
      <w:rPr>
        <w:rFonts w:eastAsia="SimSun"/>
        <w:lang w:eastAsia="zh-CN"/>
      </w:rPr>
      <w:t>Ron Porat, Broadcom</w:t>
    </w:r>
    <w:r w:rsidR="00BC4811">
      <w:t xml:space="preserve"> </w:t>
    </w:r>
  </w:p>
  <w:p w:rsidR="00BC4811" w:rsidRPr="0013508C" w:rsidRDefault="00BC48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6C" w:rsidRDefault="009C066C">
      <w:r>
        <w:separator/>
      </w:r>
    </w:p>
  </w:footnote>
  <w:footnote w:type="continuationSeparator" w:id="0">
    <w:p w:rsidR="009C066C" w:rsidRDefault="009C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11" w:rsidRDefault="005823A2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BC4811">
      <w:t xml:space="preserve"> 201</w:t>
    </w:r>
    <w:r w:rsidR="00517CF8">
      <w:t>9</w:t>
    </w:r>
    <w:r w:rsidR="00BC4811">
      <w:tab/>
    </w:r>
    <w:r w:rsidR="00BC4811">
      <w:tab/>
    </w:r>
    <w:r w:rsidR="00BC4811">
      <w:fldChar w:fldCharType="begin"/>
    </w:r>
    <w:r w:rsidR="00BC4811">
      <w:instrText xml:space="preserve"> TITLE  \* MERGEFORMAT </w:instrText>
    </w:r>
    <w:r w:rsidR="00BC4811">
      <w:fldChar w:fldCharType="separate"/>
    </w:r>
    <w:r w:rsidR="00BC4811">
      <w:t>doc.: IEEE 802.11-1</w:t>
    </w:r>
    <w:r w:rsidR="00517CF8">
      <w:t>9</w:t>
    </w:r>
    <w:r w:rsidR="00BC4811">
      <w:t>/</w:t>
    </w:r>
    <w:proofErr w:type="spellStart"/>
    <w:r w:rsidR="00AC4E29">
      <w:t>1188</w:t>
    </w:r>
    <w:r w:rsidR="00BC4811">
      <w:t>r</w:t>
    </w:r>
    <w:r w:rsidR="00BC4811">
      <w:fldChar w:fldCharType="end"/>
    </w:r>
    <w:r>
      <w:t>0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1B425C34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20A"/>
    <w:multiLevelType w:val="hybridMultilevel"/>
    <w:tmpl w:val="D6D4420A"/>
    <w:lvl w:ilvl="0" w:tplc="D37A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A5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C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83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2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4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CB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726238"/>
    <w:multiLevelType w:val="hybridMultilevel"/>
    <w:tmpl w:val="8B4C8DC8"/>
    <w:lvl w:ilvl="0" w:tplc="9BCA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6D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AC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EA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8B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07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2C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EF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C4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919799A"/>
    <w:multiLevelType w:val="hybridMultilevel"/>
    <w:tmpl w:val="C9A43FFE"/>
    <w:lvl w:ilvl="0" w:tplc="49BC2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A9DEC">
      <w:start w:val="23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C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40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E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A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A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CA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CF572B"/>
    <w:multiLevelType w:val="hybridMultilevel"/>
    <w:tmpl w:val="907439E6"/>
    <w:lvl w:ilvl="0" w:tplc="98D0D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4C0B0">
      <w:start w:val="40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0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A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C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0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0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0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8A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8F1E09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35FBA"/>
    <w:multiLevelType w:val="hybridMultilevel"/>
    <w:tmpl w:val="546E7B6E"/>
    <w:lvl w:ilvl="0" w:tplc="8E50F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A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0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E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E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6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14"/>
  </w:num>
  <w:num w:numId="17">
    <w:abstractNumId w:val="4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  <w:num w:numId="22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3426"/>
    <w:rsid w:val="000045FA"/>
    <w:rsid w:val="00006454"/>
    <w:rsid w:val="000067AA"/>
    <w:rsid w:val="00006DBB"/>
    <w:rsid w:val="0000743C"/>
    <w:rsid w:val="00007A76"/>
    <w:rsid w:val="00007BD6"/>
    <w:rsid w:val="0001027F"/>
    <w:rsid w:val="00010DDD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2DDC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46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113"/>
    <w:rsid w:val="00042C67"/>
    <w:rsid w:val="0004346B"/>
    <w:rsid w:val="00043C26"/>
    <w:rsid w:val="00043ED0"/>
    <w:rsid w:val="0004414E"/>
    <w:rsid w:val="00044501"/>
    <w:rsid w:val="00044DC0"/>
    <w:rsid w:val="000478EE"/>
    <w:rsid w:val="00047EB6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63B"/>
    <w:rsid w:val="00061D28"/>
    <w:rsid w:val="00061FFD"/>
    <w:rsid w:val="000642FC"/>
    <w:rsid w:val="0006469A"/>
    <w:rsid w:val="00064B45"/>
    <w:rsid w:val="000650B0"/>
    <w:rsid w:val="000650B8"/>
    <w:rsid w:val="00066421"/>
    <w:rsid w:val="00066F58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A77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2F0"/>
    <w:rsid w:val="00092971"/>
    <w:rsid w:val="000929BA"/>
    <w:rsid w:val="00092AC6"/>
    <w:rsid w:val="00093AD2"/>
    <w:rsid w:val="0009417E"/>
    <w:rsid w:val="00094DFB"/>
    <w:rsid w:val="00094FFA"/>
    <w:rsid w:val="00095921"/>
    <w:rsid w:val="0009661D"/>
    <w:rsid w:val="00096B45"/>
    <w:rsid w:val="0009713F"/>
    <w:rsid w:val="000A13D2"/>
    <w:rsid w:val="000A1C31"/>
    <w:rsid w:val="000A1F25"/>
    <w:rsid w:val="000A28D3"/>
    <w:rsid w:val="000A443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4FD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212A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006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3AF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0B8"/>
    <w:rsid w:val="00151A4E"/>
    <w:rsid w:val="00151BBE"/>
    <w:rsid w:val="001525FB"/>
    <w:rsid w:val="00154791"/>
    <w:rsid w:val="00154B26"/>
    <w:rsid w:val="001557CB"/>
    <w:rsid w:val="001559BB"/>
    <w:rsid w:val="00160C21"/>
    <w:rsid w:val="00160F45"/>
    <w:rsid w:val="00161012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21B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6F6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2DE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5D9C"/>
    <w:rsid w:val="00206B35"/>
    <w:rsid w:val="00206CE8"/>
    <w:rsid w:val="00206D24"/>
    <w:rsid w:val="00207B0B"/>
    <w:rsid w:val="00210DDD"/>
    <w:rsid w:val="00210F4D"/>
    <w:rsid w:val="002125D6"/>
    <w:rsid w:val="00212E2A"/>
    <w:rsid w:val="002141B2"/>
    <w:rsid w:val="00214B50"/>
    <w:rsid w:val="00214BA3"/>
    <w:rsid w:val="00214D83"/>
    <w:rsid w:val="00215A82"/>
    <w:rsid w:val="00215E32"/>
    <w:rsid w:val="00215E98"/>
    <w:rsid w:val="00215F36"/>
    <w:rsid w:val="00216771"/>
    <w:rsid w:val="00216AF6"/>
    <w:rsid w:val="00217144"/>
    <w:rsid w:val="002206E4"/>
    <w:rsid w:val="002208B9"/>
    <w:rsid w:val="0022139A"/>
    <w:rsid w:val="00221CA7"/>
    <w:rsid w:val="0022224B"/>
    <w:rsid w:val="00222261"/>
    <w:rsid w:val="002239F2"/>
    <w:rsid w:val="00224133"/>
    <w:rsid w:val="002241A7"/>
    <w:rsid w:val="00224E11"/>
    <w:rsid w:val="00224F05"/>
    <w:rsid w:val="00225508"/>
    <w:rsid w:val="00225570"/>
    <w:rsid w:val="00226FE3"/>
    <w:rsid w:val="00227E5A"/>
    <w:rsid w:val="00231F3B"/>
    <w:rsid w:val="002323FE"/>
    <w:rsid w:val="002327BF"/>
    <w:rsid w:val="002327E3"/>
    <w:rsid w:val="00233CF2"/>
    <w:rsid w:val="002342A0"/>
    <w:rsid w:val="002346F8"/>
    <w:rsid w:val="00234C13"/>
    <w:rsid w:val="00234CA2"/>
    <w:rsid w:val="00234E66"/>
    <w:rsid w:val="00235874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3692"/>
    <w:rsid w:val="00246C30"/>
    <w:rsid w:val="002470AC"/>
    <w:rsid w:val="0024720B"/>
    <w:rsid w:val="0024786B"/>
    <w:rsid w:val="0025062F"/>
    <w:rsid w:val="002506ED"/>
    <w:rsid w:val="00250EFA"/>
    <w:rsid w:val="0025151A"/>
    <w:rsid w:val="00252D47"/>
    <w:rsid w:val="002539AB"/>
    <w:rsid w:val="00254081"/>
    <w:rsid w:val="00255A8B"/>
    <w:rsid w:val="00261596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079C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3583"/>
    <w:rsid w:val="002E42B6"/>
    <w:rsid w:val="002E4762"/>
    <w:rsid w:val="002E5658"/>
    <w:rsid w:val="002E5B22"/>
    <w:rsid w:val="002E6FF6"/>
    <w:rsid w:val="002E75EA"/>
    <w:rsid w:val="002E7AF0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61F1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A35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5A90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AF4"/>
    <w:rsid w:val="003C0CD9"/>
    <w:rsid w:val="003C0D14"/>
    <w:rsid w:val="003C251E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445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3D7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0F13"/>
    <w:rsid w:val="00421159"/>
    <w:rsid w:val="00421A46"/>
    <w:rsid w:val="00422546"/>
    <w:rsid w:val="00422D5C"/>
    <w:rsid w:val="00423116"/>
    <w:rsid w:val="00423634"/>
    <w:rsid w:val="00423F89"/>
    <w:rsid w:val="00424D02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3DB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1D2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BF8"/>
    <w:rsid w:val="00483FCB"/>
    <w:rsid w:val="00484651"/>
    <w:rsid w:val="004854ED"/>
    <w:rsid w:val="00486160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E46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8F2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724"/>
    <w:rsid w:val="004D0DF1"/>
    <w:rsid w:val="004D0F1C"/>
    <w:rsid w:val="004D10F0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38AD"/>
    <w:rsid w:val="004E4538"/>
    <w:rsid w:val="004E46DF"/>
    <w:rsid w:val="004E4723"/>
    <w:rsid w:val="004E4B5B"/>
    <w:rsid w:val="004E66C3"/>
    <w:rsid w:val="004E7E34"/>
    <w:rsid w:val="004F0CB7"/>
    <w:rsid w:val="004F2B66"/>
    <w:rsid w:val="004F3183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53BF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CF8"/>
    <w:rsid w:val="00517ED6"/>
    <w:rsid w:val="00520208"/>
    <w:rsid w:val="00520B77"/>
    <w:rsid w:val="00520B8C"/>
    <w:rsid w:val="0052151C"/>
    <w:rsid w:val="00522A49"/>
    <w:rsid w:val="005235B6"/>
    <w:rsid w:val="005243B4"/>
    <w:rsid w:val="00524746"/>
    <w:rsid w:val="00524DF5"/>
    <w:rsid w:val="00524F6B"/>
    <w:rsid w:val="00525704"/>
    <w:rsid w:val="0052587B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3C1"/>
    <w:rsid w:val="00546AEB"/>
    <w:rsid w:val="00546EDC"/>
    <w:rsid w:val="00551E1F"/>
    <w:rsid w:val="00552B79"/>
    <w:rsid w:val="00553230"/>
    <w:rsid w:val="00553510"/>
    <w:rsid w:val="00553A28"/>
    <w:rsid w:val="00553B4F"/>
    <w:rsid w:val="00553C7D"/>
    <w:rsid w:val="0055459B"/>
    <w:rsid w:val="005546A4"/>
    <w:rsid w:val="00554995"/>
    <w:rsid w:val="00554EEF"/>
    <w:rsid w:val="005555A6"/>
    <w:rsid w:val="005555B2"/>
    <w:rsid w:val="00556480"/>
    <w:rsid w:val="005579B9"/>
    <w:rsid w:val="00557C98"/>
    <w:rsid w:val="0056123A"/>
    <w:rsid w:val="00562627"/>
    <w:rsid w:val="0056286B"/>
    <w:rsid w:val="0056327A"/>
    <w:rsid w:val="00563B85"/>
    <w:rsid w:val="00564672"/>
    <w:rsid w:val="00566240"/>
    <w:rsid w:val="005674B4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3A2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6D39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0F5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1640D"/>
    <w:rsid w:val="006175E9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1CB1"/>
    <w:rsid w:val="0064398C"/>
    <w:rsid w:val="00643FAA"/>
    <w:rsid w:val="00644E29"/>
    <w:rsid w:val="00645153"/>
    <w:rsid w:val="0064617E"/>
    <w:rsid w:val="0064660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051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4BAF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74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513A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5959"/>
    <w:rsid w:val="00736065"/>
    <w:rsid w:val="00736B2E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58EB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57E2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981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913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8D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3B9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287B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E7D4E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185D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118"/>
    <w:rsid w:val="00834193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075E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55B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AAE"/>
    <w:rsid w:val="008A6CD4"/>
    <w:rsid w:val="008A6E30"/>
    <w:rsid w:val="008A74BF"/>
    <w:rsid w:val="008A788A"/>
    <w:rsid w:val="008B1070"/>
    <w:rsid w:val="008B188F"/>
    <w:rsid w:val="008B2909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AA1"/>
    <w:rsid w:val="00951CE8"/>
    <w:rsid w:val="00951D8C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08C"/>
    <w:rsid w:val="00964681"/>
    <w:rsid w:val="00965252"/>
    <w:rsid w:val="00967FC7"/>
    <w:rsid w:val="009704BC"/>
    <w:rsid w:val="00970C0C"/>
    <w:rsid w:val="00971446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5F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A19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66C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4F8C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22BB"/>
    <w:rsid w:val="00A3560F"/>
    <w:rsid w:val="00A356E6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BF3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BBC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30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792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6D9"/>
    <w:rsid w:val="00AC4B40"/>
    <w:rsid w:val="00AC4E29"/>
    <w:rsid w:val="00AC60C2"/>
    <w:rsid w:val="00AC6CC4"/>
    <w:rsid w:val="00AC6D00"/>
    <w:rsid w:val="00AC76C6"/>
    <w:rsid w:val="00AD0614"/>
    <w:rsid w:val="00AD06A3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29A0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04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028"/>
    <w:rsid w:val="00B232D7"/>
    <w:rsid w:val="00B2361F"/>
    <w:rsid w:val="00B24D90"/>
    <w:rsid w:val="00B25805"/>
    <w:rsid w:val="00B2692B"/>
    <w:rsid w:val="00B2718B"/>
    <w:rsid w:val="00B27DAA"/>
    <w:rsid w:val="00B3040A"/>
    <w:rsid w:val="00B33EEE"/>
    <w:rsid w:val="00B348D8"/>
    <w:rsid w:val="00B34CC0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4CF1"/>
    <w:rsid w:val="00B8781E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27F7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4811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5E5B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849"/>
    <w:rsid w:val="00C24A70"/>
    <w:rsid w:val="00C26BC4"/>
    <w:rsid w:val="00C3057B"/>
    <w:rsid w:val="00C317AA"/>
    <w:rsid w:val="00C31FE9"/>
    <w:rsid w:val="00C325C5"/>
    <w:rsid w:val="00C328F2"/>
    <w:rsid w:val="00C33F8C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5FCF"/>
    <w:rsid w:val="00C5709A"/>
    <w:rsid w:val="00C57231"/>
    <w:rsid w:val="00C57611"/>
    <w:rsid w:val="00C5762D"/>
    <w:rsid w:val="00C57CDB"/>
    <w:rsid w:val="00C60A9B"/>
    <w:rsid w:val="00C60F8E"/>
    <w:rsid w:val="00C6108B"/>
    <w:rsid w:val="00C63E0F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24E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2EF2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103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0EFC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BF4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4B67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18FE"/>
    <w:rsid w:val="00D52668"/>
    <w:rsid w:val="00D528F4"/>
    <w:rsid w:val="00D52AAA"/>
    <w:rsid w:val="00D53033"/>
    <w:rsid w:val="00D53161"/>
    <w:rsid w:val="00D5432B"/>
    <w:rsid w:val="00D5494D"/>
    <w:rsid w:val="00D54BC4"/>
    <w:rsid w:val="00D555EA"/>
    <w:rsid w:val="00D564F4"/>
    <w:rsid w:val="00D57377"/>
    <w:rsid w:val="00D574CA"/>
    <w:rsid w:val="00D57819"/>
    <w:rsid w:val="00D60332"/>
    <w:rsid w:val="00D603BB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6D72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8CC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3449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37207"/>
    <w:rsid w:val="00E401D2"/>
    <w:rsid w:val="00E40624"/>
    <w:rsid w:val="00E408BF"/>
    <w:rsid w:val="00E431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9CA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7575E"/>
    <w:rsid w:val="00E77F55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1F89"/>
    <w:rsid w:val="00E8250F"/>
    <w:rsid w:val="00E827FE"/>
    <w:rsid w:val="00E83067"/>
    <w:rsid w:val="00E83A31"/>
    <w:rsid w:val="00E840DC"/>
    <w:rsid w:val="00E840E7"/>
    <w:rsid w:val="00E84786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322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2460"/>
    <w:rsid w:val="00EB4277"/>
    <w:rsid w:val="00EB5ADB"/>
    <w:rsid w:val="00EB6218"/>
    <w:rsid w:val="00EB69EF"/>
    <w:rsid w:val="00EB6BEA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4D05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B44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2EFE"/>
    <w:rsid w:val="00F53BF9"/>
    <w:rsid w:val="00F5458D"/>
    <w:rsid w:val="00F548D4"/>
    <w:rsid w:val="00F54F3A"/>
    <w:rsid w:val="00F55028"/>
    <w:rsid w:val="00F5670E"/>
    <w:rsid w:val="00F60556"/>
    <w:rsid w:val="00F607E3"/>
    <w:rsid w:val="00F60892"/>
    <w:rsid w:val="00F61E6F"/>
    <w:rsid w:val="00F62854"/>
    <w:rsid w:val="00F632BF"/>
    <w:rsid w:val="00F63BB0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67C2D"/>
    <w:rsid w:val="00F702E2"/>
    <w:rsid w:val="00F70B2E"/>
    <w:rsid w:val="00F710B8"/>
    <w:rsid w:val="00F71FAA"/>
    <w:rsid w:val="00F72804"/>
    <w:rsid w:val="00F729C2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980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83A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03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9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8232-9DB4-4DDF-917A-6BAEF52C1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E8BE1-75B7-461A-92A9-F3FADB2D9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925D6-DFA0-4E34-A552-31CDFD9EA9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721AB-2D64-4022-AF07-66112D31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3365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5</cp:revision>
  <cp:lastPrinted>2018-01-11T19:21:00Z</cp:lastPrinted>
  <dcterms:created xsi:type="dcterms:W3CDTF">2019-07-10T00:27:00Z</dcterms:created>
  <dcterms:modified xsi:type="dcterms:W3CDTF">2019-07-10T00:28:00Z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