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6BC792C" w:rsidR="008717CE" w:rsidRPr="00183F4C" w:rsidRDefault="003F2006" w:rsidP="008717CE">
            <w:pPr>
              <w:pStyle w:val="T2"/>
              <w:rPr>
                <w:lang w:eastAsia="ko-KR"/>
              </w:rPr>
            </w:pPr>
            <w:r w:rsidRPr="003F2006">
              <w:rPr>
                <w:lang w:eastAsia="ko-KR"/>
              </w:rPr>
              <w:t xml:space="preserve">Resolution for CIDs </w:t>
            </w:r>
            <w:r w:rsidR="0036424C">
              <w:rPr>
                <w:lang w:eastAsia="ko-KR"/>
              </w:rPr>
              <w:t xml:space="preserve">21172 and </w:t>
            </w:r>
            <w:r w:rsidR="005D126D">
              <w:rPr>
                <w:lang w:eastAsia="ko-KR"/>
              </w:rPr>
              <w:t>200</w:t>
            </w:r>
            <w:r w:rsidR="0036424C">
              <w:rPr>
                <w:lang w:eastAsia="ko-KR"/>
              </w:rPr>
              <w:t>1</w:t>
            </w:r>
            <w:r w:rsidR="005D126D">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483114FC" w:rsidR="00DE584F" w:rsidRPr="00183F4C" w:rsidRDefault="00DE584F" w:rsidP="00E37786">
            <w:pPr>
              <w:pStyle w:val="T2"/>
              <w:ind w:left="0"/>
              <w:rPr>
                <w:b w:val="0"/>
                <w:sz w:val="20"/>
              </w:rPr>
            </w:pPr>
            <w:r w:rsidRPr="00183F4C">
              <w:rPr>
                <w:sz w:val="20"/>
              </w:rPr>
              <w:t>Date:</w:t>
            </w:r>
            <w:r w:rsidRPr="00183F4C">
              <w:rPr>
                <w:b w:val="0"/>
                <w:sz w:val="20"/>
              </w:rPr>
              <w:t xml:space="preserve">  </w:t>
            </w:r>
            <w:r w:rsidR="003F2006">
              <w:rPr>
                <w:b w:val="0"/>
                <w:sz w:val="20"/>
              </w:rPr>
              <w:t>July 5 2019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7F70E1B" w:rsidR="00DE584F" w:rsidRDefault="005D126D" w:rsidP="00E37786">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6BE4F341"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18BBAE22" w:rsidR="00DE584F" w:rsidRDefault="004C7CDB" w:rsidP="00E37786">
            <w:pPr>
              <w:pStyle w:val="T2"/>
              <w:spacing w:after="0"/>
              <w:ind w:left="0" w:right="0"/>
              <w:jc w:val="left"/>
              <w:rPr>
                <w:b w:val="0"/>
                <w:sz w:val="18"/>
                <w:szCs w:val="18"/>
                <w:lang w:eastAsia="ko-KR"/>
              </w:rPr>
            </w:pPr>
            <w:r>
              <w:rPr>
                <w:b w:val="0"/>
                <w:sz w:val="18"/>
                <w:szCs w:val="18"/>
                <w:lang w:eastAsia="ko-KR"/>
              </w:rPr>
              <w:t>appatil</w:t>
            </w:r>
            <w:r w:rsidR="00DE584F" w:rsidRPr="001D7948">
              <w:rPr>
                <w:b w:val="0"/>
                <w:sz w:val="18"/>
                <w:szCs w:val="18"/>
                <w:lang w:eastAsia="ko-KR"/>
              </w:rPr>
              <w:t>@qti.qualcomm.com</w:t>
            </w:r>
          </w:p>
        </w:tc>
      </w:tr>
      <w:tr w:rsidR="00E328D5" w:rsidRPr="001D7948" w14:paraId="1C1FD903" w14:textId="77777777" w:rsidTr="005C6E9D">
        <w:trPr>
          <w:trHeight w:val="359"/>
          <w:jc w:val="center"/>
        </w:trPr>
        <w:tc>
          <w:tcPr>
            <w:tcW w:w="1548" w:type="dxa"/>
            <w:vAlign w:val="center"/>
          </w:tcPr>
          <w:p w14:paraId="5167145C" w14:textId="4AD180B6" w:rsidR="00E328D5" w:rsidRDefault="005D126D"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15785531" w:rsidR="00535EBE" w:rsidRPr="00535EBE" w:rsidRDefault="005D126D" w:rsidP="005D126D">
      <w:pPr>
        <w:suppressAutoHyphens/>
        <w:jc w:val="both"/>
        <w:rPr>
          <w:lang w:eastAsia="ko-KR"/>
        </w:rPr>
      </w:pPr>
      <w:r w:rsidRPr="00407152">
        <w:rPr>
          <w:lang w:eastAsia="ko-KR"/>
        </w:rPr>
        <w:t xml:space="preserve">This submission proposes resolutions for </w:t>
      </w:r>
      <w:r>
        <w:rPr>
          <w:lang w:eastAsia="ko-KR"/>
        </w:rPr>
        <w:t>CID</w:t>
      </w:r>
      <w:r w:rsidR="0036424C">
        <w:rPr>
          <w:lang w:eastAsia="ko-KR"/>
        </w:rPr>
        <w:t>s</w:t>
      </w:r>
      <w:r>
        <w:rPr>
          <w:lang w:eastAsia="ko-KR"/>
        </w:rPr>
        <w:t xml:space="preserve"> </w:t>
      </w:r>
      <w:r w:rsidR="0036424C">
        <w:rPr>
          <w:lang w:eastAsia="ko-KR"/>
        </w:rPr>
        <w:t>21172 and 20013</w:t>
      </w:r>
      <w:r w:rsidRPr="00407152">
        <w:rPr>
          <w:lang w:eastAsia="ko-KR"/>
        </w:rPr>
        <w:t xml:space="preserve"> received for </w:t>
      </w:r>
      <w:proofErr w:type="spellStart"/>
      <w:r w:rsidRPr="00407152">
        <w:rPr>
          <w:lang w:eastAsia="ko-KR"/>
        </w:rPr>
        <w:t>TGax</w:t>
      </w:r>
      <w:proofErr w:type="spellEnd"/>
      <w:r w:rsidRPr="00407152">
        <w:rPr>
          <w:lang w:eastAsia="ko-KR"/>
        </w:rPr>
        <w:t xml:space="preserve"> LB238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410E3DD" w:rsidR="0053566B" w:rsidRDefault="0053566B" w:rsidP="00F2637D"/>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720"/>
        <w:gridCol w:w="2880"/>
        <w:gridCol w:w="2070"/>
        <w:gridCol w:w="2795"/>
      </w:tblGrid>
      <w:tr w:rsidR="005D126D" w:rsidRPr="007E587A" w14:paraId="036EB019" w14:textId="77777777" w:rsidTr="00EF6899">
        <w:trPr>
          <w:trHeight w:val="220"/>
          <w:jc w:val="center"/>
        </w:trPr>
        <w:tc>
          <w:tcPr>
            <w:tcW w:w="630" w:type="dxa"/>
            <w:shd w:val="clear" w:color="auto" w:fill="BFBFBF" w:themeFill="background1" w:themeFillShade="BF"/>
            <w:noWrap/>
            <w:vAlign w:val="center"/>
            <w:hideMark/>
          </w:tcPr>
          <w:p w14:paraId="4773021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222361BB"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15" w:type="dxa"/>
            <w:shd w:val="clear" w:color="auto" w:fill="BFBFBF" w:themeFill="background1" w:themeFillShade="BF"/>
            <w:noWrap/>
          </w:tcPr>
          <w:p w14:paraId="4268F9B5" w14:textId="77777777" w:rsidR="005D126D" w:rsidRPr="007E587A" w:rsidRDefault="005D126D" w:rsidP="00877FF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720" w:type="dxa"/>
            <w:shd w:val="clear" w:color="auto" w:fill="BFBFBF" w:themeFill="background1" w:themeFillShade="BF"/>
          </w:tcPr>
          <w:p w14:paraId="50406620" w14:textId="77777777" w:rsidR="005D126D" w:rsidRPr="007E587A" w:rsidRDefault="005D126D" w:rsidP="00877FF2">
            <w:pPr>
              <w:suppressAutoHyphens/>
              <w:rPr>
                <w:rFonts w:eastAsia="Times New Roman"/>
                <w:b/>
                <w:bCs/>
                <w:color w:val="000000"/>
                <w:sz w:val="16"/>
                <w:szCs w:val="16"/>
              </w:rPr>
            </w:pPr>
            <w:r>
              <w:rPr>
                <w:rFonts w:eastAsia="Times New Roman"/>
                <w:b/>
                <w:bCs/>
                <w:color w:val="000000"/>
                <w:sz w:val="16"/>
                <w:szCs w:val="16"/>
              </w:rPr>
              <w:t>Section</w:t>
            </w:r>
          </w:p>
        </w:tc>
        <w:tc>
          <w:tcPr>
            <w:tcW w:w="2880" w:type="dxa"/>
            <w:shd w:val="clear" w:color="auto" w:fill="BFBFBF" w:themeFill="background1" w:themeFillShade="BF"/>
            <w:noWrap/>
            <w:vAlign w:val="bottom"/>
            <w:hideMark/>
          </w:tcPr>
          <w:p w14:paraId="519ABD81"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Comment</w:t>
            </w:r>
          </w:p>
        </w:tc>
        <w:tc>
          <w:tcPr>
            <w:tcW w:w="2070" w:type="dxa"/>
            <w:shd w:val="clear" w:color="auto" w:fill="BFBFBF" w:themeFill="background1" w:themeFillShade="BF"/>
            <w:noWrap/>
            <w:vAlign w:val="bottom"/>
            <w:hideMark/>
          </w:tcPr>
          <w:p w14:paraId="3864DC93"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95" w:type="dxa"/>
            <w:shd w:val="clear" w:color="auto" w:fill="BFBFBF" w:themeFill="background1" w:themeFillShade="BF"/>
            <w:vAlign w:val="center"/>
            <w:hideMark/>
          </w:tcPr>
          <w:p w14:paraId="106EBDA9" w14:textId="77777777" w:rsidR="005D126D" w:rsidRPr="007E587A" w:rsidRDefault="005D126D" w:rsidP="00877FF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B06EEC" w:rsidRPr="008B0293" w14:paraId="5CA01652" w14:textId="77777777" w:rsidTr="00EF6899">
        <w:trPr>
          <w:trHeight w:val="220"/>
          <w:jc w:val="center"/>
        </w:trPr>
        <w:tc>
          <w:tcPr>
            <w:tcW w:w="630" w:type="dxa"/>
            <w:shd w:val="clear" w:color="auto" w:fill="auto"/>
            <w:noWrap/>
          </w:tcPr>
          <w:p w14:paraId="48666F4C" w14:textId="32D4F761"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21172</w:t>
            </w:r>
          </w:p>
        </w:tc>
        <w:tc>
          <w:tcPr>
            <w:tcW w:w="1080" w:type="dxa"/>
          </w:tcPr>
          <w:p w14:paraId="1CC883A3" w14:textId="6EDBB2BD" w:rsidR="00B06EEC" w:rsidRPr="00B06EEC" w:rsidRDefault="00B06EEC" w:rsidP="00B06EEC">
            <w:pPr>
              <w:jc w:val="both"/>
              <w:rPr>
                <w:rFonts w:eastAsia="Times New Roman"/>
                <w:bCs/>
                <w:color w:val="000000"/>
                <w:sz w:val="16"/>
                <w:szCs w:val="16"/>
                <w:lang w:val="en-US"/>
              </w:rPr>
            </w:pPr>
            <w:proofErr w:type="spellStart"/>
            <w:r w:rsidRPr="00B06EEC">
              <w:rPr>
                <w:rFonts w:eastAsia="Times New Roman"/>
                <w:bCs/>
                <w:color w:val="000000"/>
                <w:sz w:val="16"/>
                <w:szCs w:val="16"/>
                <w:lang w:val="en-US"/>
              </w:rPr>
              <w:t>Pooya</w:t>
            </w:r>
            <w:proofErr w:type="spellEnd"/>
            <w:r w:rsidRPr="00B06EEC">
              <w:rPr>
                <w:rFonts w:eastAsia="Times New Roman"/>
                <w:bCs/>
                <w:color w:val="000000"/>
                <w:sz w:val="16"/>
                <w:szCs w:val="16"/>
                <w:lang w:val="en-US"/>
              </w:rPr>
              <w:t xml:space="preserve"> Monajemi</w:t>
            </w:r>
          </w:p>
        </w:tc>
        <w:tc>
          <w:tcPr>
            <w:tcW w:w="715" w:type="dxa"/>
            <w:shd w:val="clear" w:color="auto" w:fill="auto"/>
            <w:noWrap/>
          </w:tcPr>
          <w:p w14:paraId="536ED390" w14:textId="7D650015"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123.26</w:t>
            </w:r>
          </w:p>
        </w:tc>
        <w:tc>
          <w:tcPr>
            <w:tcW w:w="720" w:type="dxa"/>
          </w:tcPr>
          <w:p w14:paraId="5DB722DD" w14:textId="588AC882"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9.4.1.7</w:t>
            </w:r>
          </w:p>
        </w:tc>
        <w:tc>
          <w:tcPr>
            <w:tcW w:w="2880" w:type="dxa"/>
            <w:shd w:val="clear" w:color="auto" w:fill="auto"/>
            <w:noWrap/>
          </w:tcPr>
          <w:p w14:paraId="55C1532C" w14:textId="7586E149"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 xml:space="preserve">Draft 4.0 does not add any Reason Codes. An AP currently has the right to deny association to Clients or steer them to other BSSID / bands for unspecified reasons. In order to improve QoS, especially in the 6 GHz band, an AP may choose to expel Clients for excessive usage of OMI which is negatively impacting the BSS, and that exceeds some Policy for said usage within the cell. It would be better to be able to signal this, rather than using the Unspecified Reason code on </w:t>
            </w:r>
            <w:proofErr w:type="spellStart"/>
            <w:r w:rsidRPr="00B06EEC">
              <w:rPr>
                <w:rFonts w:eastAsia="Times New Roman"/>
                <w:bCs/>
                <w:color w:val="000000"/>
                <w:sz w:val="16"/>
                <w:szCs w:val="16"/>
                <w:lang w:val="en-US"/>
              </w:rPr>
              <w:t>Deauth</w:t>
            </w:r>
            <w:proofErr w:type="spellEnd"/>
            <w:r w:rsidRPr="00B06EEC">
              <w:rPr>
                <w:rFonts w:eastAsia="Times New Roman"/>
                <w:bCs/>
                <w:color w:val="000000"/>
                <w:sz w:val="16"/>
                <w:szCs w:val="16"/>
                <w:lang w:val="en-US"/>
              </w:rPr>
              <w:t>/Disassociation, or the Unspecified Status code on (Re)association Responses.</w:t>
            </w:r>
          </w:p>
        </w:tc>
        <w:tc>
          <w:tcPr>
            <w:tcW w:w="2070" w:type="dxa"/>
            <w:shd w:val="clear" w:color="auto" w:fill="auto"/>
            <w:noWrap/>
          </w:tcPr>
          <w:p w14:paraId="74A0A57C" w14:textId="36DDEDA7"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1) Add Section 9.4.1.7, directing the insertion of a new Reason Code into table 9-51;</w:t>
            </w:r>
            <w:r w:rsidRPr="00B06EEC">
              <w:rPr>
                <w:rFonts w:eastAsia="Times New Roman"/>
                <w:bCs/>
                <w:color w:val="000000"/>
                <w:sz w:val="16"/>
                <w:szCs w:val="16"/>
                <w:lang w:val="en-US"/>
              </w:rPr>
              <w:br/>
              <w:t>2) Add a new Status Code into table 9-52;</w:t>
            </w:r>
            <w:r w:rsidRPr="00B06EEC">
              <w:rPr>
                <w:rFonts w:eastAsia="Times New Roman"/>
                <w:bCs/>
                <w:color w:val="000000"/>
                <w:sz w:val="16"/>
                <w:szCs w:val="16"/>
                <w:lang w:val="en-US"/>
              </w:rPr>
              <w:br/>
              <w:t>Rather than allocating a code for all subcases, a single general code might be added to both tables for OMI_EXCEEDS_POLICY with meaning of "The usage of OMI has been determined to exceeded system policy"</w:t>
            </w:r>
          </w:p>
        </w:tc>
        <w:tc>
          <w:tcPr>
            <w:tcW w:w="2795" w:type="dxa"/>
            <w:shd w:val="clear" w:color="auto" w:fill="auto"/>
          </w:tcPr>
          <w:p w14:paraId="5FD1EBA7" w14:textId="77777777" w:rsidR="00B06EEC" w:rsidRPr="00D83068" w:rsidRDefault="005155B3" w:rsidP="00B06EEC">
            <w:pPr>
              <w:suppressAutoHyphens/>
              <w:rPr>
                <w:b/>
                <w:sz w:val="16"/>
                <w:szCs w:val="16"/>
              </w:rPr>
            </w:pPr>
            <w:r w:rsidRPr="00D83068">
              <w:rPr>
                <w:b/>
                <w:sz w:val="16"/>
                <w:szCs w:val="16"/>
              </w:rPr>
              <w:t>Revised</w:t>
            </w:r>
          </w:p>
          <w:p w14:paraId="22F1AA36" w14:textId="06B1353D" w:rsidR="005155B3" w:rsidRDefault="00D83068" w:rsidP="00B06EEC">
            <w:pPr>
              <w:suppressAutoHyphens/>
              <w:rPr>
                <w:bCs/>
                <w:sz w:val="16"/>
                <w:szCs w:val="16"/>
              </w:rPr>
            </w:pPr>
            <w:r w:rsidRPr="00D83068">
              <w:rPr>
                <w:bCs/>
                <w:sz w:val="16"/>
                <w:szCs w:val="16"/>
              </w:rPr>
              <w:t>A new reason code for disassociation is added. New rule added to 26.17.2.1 requiring an AP to specify the reason code when disassociating a STA if it frequently violates EDCA or make frequent request to disable UL MU.</w:t>
            </w:r>
          </w:p>
          <w:p w14:paraId="57542778" w14:textId="4EC2BFE9" w:rsidR="00D83068" w:rsidRPr="00D83068" w:rsidRDefault="00D83068" w:rsidP="00B06EEC">
            <w:pPr>
              <w:suppressAutoHyphens/>
              <w:rPr>
                <w:bCs/>
                <w:sz w:val="16"/>
                <w:szCs w:val="16"/>
              </w:rPr>
            </w:pPr>
            <w:r>
              <w:rPr>
                <w:bCs/>
                <w:sz w:val="16"/>
                <w:szCs w:val="16"/>
              </w:rPr>
              <w:t>A new status code is not added because this scenario doesn’t apply to (re)association rejection case as the AP doesn’t have much information about STA’s behaviour during association.</w:t>
            </w:r>
          </w:p>
          <w:p w14:paraId="077CDFBD" w14:textId="130DE721" w:rsidR="005155B3" w:rsidRPr="00D83068" w:rsidRDefault="005155B3" w:rsidP="00B06EEC">
            <w:pPr>
              <w:suppressAutoHyphens/>
              <w:rPr>
                <w:b/>
                <w:sz w:val="16"/>
                <w:szCs w:val="16"/>
              </w:rPr>
            </w:pPr>
            <w:proofErr w:type="spellStart"/>
            <w:r w:rsidRPr="00D83068">
              <w:rPr>
                <w:b/>
                <w:sz w:val="16"/>
                <w:szCs w:val="16"/>
              </w:rPr>
              <w:t>TGax</w:t>
            </w:r>
            <w:proofErr w:type="spellEnd"/>
            <w:r w:rsidRPr="00D83068">
              <w:rPr>
                <w:b/>
                <w:sz w:val="16"/>
                <w:szCs w:val="16"/>
              </w:rPr>
              <w:t xml:space="preserve"> editor, please implement changes shown in doc 11-19/1149r0</w:t>
            </w:r>
          </w:p>
        </w:tc>
      </w:tr>
      <w:tr w:rsidR="00B06EEC" w:rsidRPr="008B0293" w14:paraId="0B5CD6DF" w14:textId="77777777" w:rsidTr="00EF6899">
        <w:trPr>
          <w:trHeight w:val="40"/>
          <w:jc w:val="center"/>
        </w:trPr>
        <w:tc>
          <w:tcPr>
            <w:tcW w:w="630" w:type="dxa"/>
            <w:shd w:val="clear" w:color="auto" w:fill="auto"/>
            <w:noWrap/>
          </w:tcPr>
          <w:p w14:paraId="1F0A06FD" w14:textId="7AF2ED71" w:rsidR="00B06EEC" w:rsidRPr="00981D58"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20013</w:t>
            </w:r>
          </w:p>
        </w:tc>
        <w:tc>
          <w:tcPr>
            <w:tcW w:w="1080" w:type="dxa"/>
          </w:tcPr>
          <w:p w14:paraId="5EBAEB61" w14:textId="548BF6B8" w:rsidR="00B06EEC" w:rsidRPr="00981D58"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Abhishek Patil</w:t>
            </w:r>
          </w:p>
        </w:tc>
        <w:tc>
          <w:tcPr>
            <w:tcW w:w="715" w:type="dxa"/>
            <w:shd w:val="clear" w:color="auto" w:fill="auto"/>
            <w:noWrap/>
          </w:tcPr>
          <w:p w14:paraId="43E4CF6A" w14:textId="1884D5A0" w:rsidR="00B06EEC" w:rsidRPr="00981D58"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123.28</w:t>
            </w:r>
          </w:p>
        </w:tc>
        <w:tc>
          <w:tcPr>
            <w:tcW w:w="720" w:type="dxa"/>
          </w:tcPr>
          <w:p w14:paraId="3BF5F3EB" w14:textId="3B041A5D" w:rsidR="00B06EEC" w:rsidRPr="00B06EEC"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9.4.1.9</w:t>
            </w:r>
          </w:p>
        </w:tc>
        <w:tc>
          <w:tcPr>
            <w:tcW w:w="2880" w:type="dxa"/>
            <w:shd w:val="clear" w:color="auto" w:fill="auto"/>
            <w:noWrap/>
          </w:tcPr>
          <w:p w14:paraId="659B531D" w14:textId="27744751" w:rsidR="00B06EEC" w:rsidRPr="00981D58"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The current spec allows an AP to disassociate a STA for any reason. It would be beneficial if a 6GHz AP provides specific reasons for disassociation. For example, if the STA is too aggressive in using EDCA or not respecting the EDCA parameters provided by the AP</w:t>
            </w:r>
          </w:p>
        </w:tc>
        <w:tc>
          <w:tcPr>
            <w:tcW w:w="2070" w:type="dxa"/>
            <w:shd w:val="clear" w:color="auto" w:fill="auto"/>
            <w:noWrap/>
          </w:tcPr>
          <w:p w14:paraId="12D06A16" w14:textId="32E0A6A0" w:rsidR="00B06EEC" w:rsidRPr="00981D58" w:rsidRDefault="00B06EEC" w:rsidP="00B06EEC">
            <w:pPr>
              <w:jc w:val="both"/>
              <w:rPr>
                <w:rFonts w:eastAsia="Times New Roman"/>
                <w:bCs/>
                <w:color w:val="000000"/>
                <w:sz w:val="16"/>
                <w:szCs w:val="16"/>
                <w:lang w:val="en-US"/>
              </w:rPr>
            </w:pPr>
            <w:r w:rsidRPr="00B06EEC">
              <w:rPr>
                <w:rFonts w:eastAsia="Times New Roman"/>
                <w:bCs/>
                <w:color w:val="000000"/>
                <w:sz w:val="16"/>
                <w:szCs w:val="16"/>
                <w:lang w:val="en-US"/>
              </w:rPr>
              <w:t>Add appropriate status codes to indicate such association rejection in 6GHz</w:t>
            </w:r>
          </w:p>
        </w:tc>
        <w:tc>
          <w:tcPr>
            <w:tcW w:w="2795" w:type="dxa"/>
            <w:shd w:val="clear" w:color="auto" w:fill="auto"/>
          </w:tcPr>
          <w:p w14:paraId="618E51C4" w14:textId="77777777" w:rsidR="00B06EEC" w:rsidRPr="00D83068" w:rsidRDefault="005155B3" w:rsidP="00B06EEC">
            <w:pPr>
              <w:jc w:val="both"/>
              <w:rPr>
                <w:rFonts w:eastAsia="Times New Roman"/>
                <w:b/>
                <w:bCs/>
                <w:color w:val="000000"/>
                <w:sz w:val="16"/>
                <w:szCs w:val="16"/>
                <w:lang w:val="en-US"/>
              </w:rPr>
            </w:pPr>
            <w:r w:rsidRPr="00D83068">
              <w:rPr>
                <w:rFonts w:eastAsia="Times New Roman"/>
                <w:b/>
                <w:bCs/>
                <w:color w:val="000000"/>
                <w:sz w:val="16"/>
                <w:szCs w:val="16"/>
                <w:lang w:val="en-US"/>
              </w:rPr>
              <w:t>Revised</w:t>
            </w:r>
          </w:p>
          <w:p w14:paraId="5AF7DC8A" w14:textId="1A117CDB" w:rsidR="005155B3" w:rsidRPr="00D83068" w:rsidRDefault="00D83068" w:rsidP="00D83068">
            <w:pPr>
              <w:suppressAutoHyphens/>
              <w:rPr>
                <w:bCs/>
                <w:sz w:val="16"/>
                <w:szCs w:val="16"/>
              </w:rPr>
            </w:pPr>
            <w:r w:rsidRPr="00D83068">
              <w:rPr>
                <w:bCs/>
                <w:sz w:val="16"/>
                <w:szCs w:val="16"/>
              </w:rPr>
              <w:t>A new reason code for disassociation is added. New rule added to 26.17.2.1 requiring an AP to specify the reason code when disassociating a STA if it frequently violates EDCA or make frequent request to disable UL MU.</w:t>
            </w:r>
          </w:p>
          <w:p w14:paraId="60828CB5" w14:textId="71D493BD" w:rsidR="005155B3" w:rsidRPr="00D83068" w:rsidRDefault="005155B3" w:rsidP="00B06EEC">
            <w:pPr>
              <w:jc w:val="both"/>
              <w:rPr>
                <w:rFonts w:eastAsia="Times New Roman"/>
                <w:b/>
                <w:bCs/>
                <w:color w:val="000000"/>
                <w:sz w:val="16"/>
                <w:szCs w:val="16"/>
                <w:lang w:val="en-US"/>
              </w:rPr>
            </w:pPr>
            <w:proofErr w:type="spellStart"/>
            <w:r w:rsidRPr="00D83068">
              <w:rPr>
                <w:b/>
                <w:sz w:val="16"/>
                <w:szCs w:val="16"/>
              </w:rPr>
              <w:t>TGax</w:t>
            </w:r>
            <w:proofErr w:type="spellEnd"/>
            <w:r w:rsidRPr="00D83068">
              <w:rPr>
                <w:b/>
                <w:sz w:val="16"/>
                <w:szCs w:val="16"/>
              </w:rPr>
              <w:t xml:space="preserve"> editor, please implement changes shown in doc 11-19/1149r0</w:t>
            </w:r>
          </w:p>
        </w:tc>
      </w:tr>
    </w:tbl>
    <w:p w14:paraId="2F14E4E8" w14:textId="77777777" w:rsidR="00384D2F" w:rsidRDefault="00384D2F" w:rsidP="00F2637D"/>
    <w:p w14:paraId="24107A06" w14:textId="014F0E46" w:rsidR="00DA5493" w:rsidRDefault="00DA5493">
      <w:r>
        <w:br w:type="page"/>
      </w:r>
    </w:p>
    <w:p w14:paraId="680409CD" w14:textId="438B7CAD" w:rsidR="00BD0800" w:rsidRDefault="00BD0800" w:rsidP="00B404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sidRPr="00BD0800">
        <w:rPr>
          <w:b/>
          <w:bCs/>
          <w:sz w:val="20"/>
        </w:rPr>
        <w:lastRenderedPageBreak/>
        <w:t>9.4.1.7 Reason Code field</w:t>
      </w:r>
      <w:r w:rsidR="00660426" w:rsidRPr="00DD6CBB">
        <w:rPr>
          <w:rFonts w:eastAsia="Times New Roman"/>
          <w:bCs/>
          <w:sz w:val="16"/>
          <w:highlight w:val="yellow"/>
        </w:rPr>
        <w:t>[</w:t>
      </w:r>
      <w:r w:rsidR="00660426">
        <w:rPr>
          <w:rFonts w:eastAsia="Times New Roman"/>
          <w:bCs/>
          <w:sz w:val="16"/>
          <w:highlight w:val="yellow"/>
        </w:rPr>
        <w:t>21172, 20013</w:t>
      </w:r>
      <w:r w:rsidR="00660426" w:rsidRPr="00DD6CBB">
        <w:rPr>
          <w:rFonts w:eastAsia="Times New Roman"/>
          <w:bCs/>
          <w:sz w:val="16"/>
          <w:highlight w:val="yellow"/>
        </w:rPr>
        <w:t>]</w:t>
      </w:r>
    </w:p>
    <w:p w14:paraId="5C3C6B2A" w14:textId="4F5406F6" w:rsidR="00BD0800" w:rsidRDefault="00BD0800" w:rsidP="00BD0800">
      <w:pPr>
        <w:autoSpaceDE w:val="0"/>
        <w:autoSpaceDN w:val="0"/>
        <w:adjustRightInd w:val="0"/>
        <w:rPr>
          <w:b/>
          <w:bCs/>
          <w:i/>
          <w:iCs/>
          <w:sz w:val="20"/>
        </w:rPr>
      </w:pPr>
      <w:proofErr w:type="spellStart"/>
      <w:r>
        <w:rPr>
          <w:rFonts w:eastAsia="Times New Roman"/>
          <w:b/>
          <w:i/>
          <w:color w:val="000000"/>
          <w:sz w:val="20"/>
          <w:highlight w:val="yellow"/>
          <w:lang w:val="en-US"/>
        </w:rPr>
        <w:t>TGax</w:t>
      </w:r>
      <w:proofErr w:type="spellEnd"/>
      <w:r>
        <w:rPr>
          <w:rFonts w:eastAsia="Times New Roman"/>
          <w:b/>
          <w:i/>
          <w:color w:val="000000"/>
          <w:sz w:val="20"/>
          <w:highlight w:val="yellow"/>
          <w:lang w:val="en-US"/>
        </w:rPr>
        <w:t xml:space="preserve"> Editor: </w:t>
      </w:r>
      <w:r>
        <w:rPr>
          <w:b/>
          <w:bCs/>
          <w:i/>
          <w:iCs/>
          <w:sz w:val="20"/>
          <w:highlight w:val="yellow"/>
        </w:rPr>
        <w:t>Insert a new row in Table 9-51 as follows and update the reserved row:</w:t>
      </w:r>
    </w:p>
    <w:tbl>
      <w:tblPr>
        <w:tblW w:w="9180" w:type="dxa"/>
        <w:jc w:val="center"/>
        <w:tblLayout w:type="fixed"/>
        <w:tblCellMar>
          <w:top w:w="100" w:type="dxa"/>
          <w:left w:w="120" w:type="dxa"/>
          <w:bottom w:w="50" w:type="dxa"/>
          <w:right w:w="120" w:type="dxa"/>
        </w:tblCellMar>
        <w:tblLook w:val="04A0" w:firstRow="1" w:lastRow="0" w:firstColumn="1" w:lastColumn="0" w:noHBand="0" w:noVBand="1"/>
      </w:tblPr>
      <w:tblGrid>
        <w:gridCol w:w="1350"/>
        <w:gridCol w:w="3690"/>
        <w:gridCol w:w="4140"/>
      </w:tblGrid>
      <w:tr w:rsidR="00BD0800" w14:paraId="274D7E16" w14:textId="77777777" w:rsidTr="00B419E5">
        <w:trPr>
          <w:jc w:val="center"/>
        </w:trPr>
        <w:tc>
          <w:tcPr>
            <w:tcW w:w="9180" w:type="dxa"/>
            <w:gridSpan w:val="3"/>
            <w:vAlign w:val="center"/>
            <w:hideMark/>
          </w:tcPr>
          <w:p w14:paraId="14E81A81" w14:textId="48BDC2F5" w:rsidR="00BD0800" w:rsidRDefault="00BD0800" w:rsidP="00811940">
            <w:pPr>
              <w:pStyle w:val="TableTitle"/>
              <w:rPr>
                <w:rFonts w:ascii="Times New Roman" w:hAnsi="Times New Roman" w:cs="Times New Roman"/>
                <w:lang w:eastAsia="ko-KR"/>
              </w:rPr>
            </w:pPr>
            <w:r>
              <w:rPr>
                <w:rFonts w:ascii="Times New Roman" w:hAnsi="Times New Roman" w:cs="Times New Roman"/>
                <w:w w:val="100"/>
                <w:lang w:eastAsia="ko-KR"/>
              </w:rPr>
              <w:t>Table 9-51 – Reason codes</w:t>
            </w:r>
          </w:p>
        </w:tc>
      </w:tr>
      <w:tr w:rsidR="00BD0800" w14:paraId="4C98412D" w14:textId="77777777" w:rsidTr="00B419E5">
        <w:trPr>
          <w:trHeight w:val="21"/>
          <w:jc w:val="center"/>
        </w:trPr>
        <w:tc>
          <w:tcPr>
            <w:tcW w:w="135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2EAE6CF" w14:textId="3D7BC37C" w:rsidR="00BD0800" w:rsidRDefault="001B487E" w:rsidP="00811940">
            <w:pPr>
              <w:pStyle w:val="CellHeading"/>
              <w:rPr>
                <w:sz w:val="20"/>
                <w:szCs w:val="20"/>
                <w:lang w:eastAsia="ko-KR"/>
              </w:rPr>
            </w:pPr>
            <w:r>
              <w:rPr>
                <w:w w:val="100"/>
                <w:sz w:val="20"/>
                <w:szCs w:val="20"/>
                <w:lang w:eastAsia="ko-KR"/>
              </w:rPr>
              <w:t>Reason</w:t>
            </w:r>
            <w:r w:rsidR="00BD0800">
              <w:rPr>
                <w:w w:val="100"/>
                <w:sz w:val="20"/>
                <w:szCs w:val="20"/>
                <w:lang w:eastAsia="ko-KR"/>
              </w:rPr>
              <w:t xml:space="preserve"> code</w:t>
            </w:r>
          </w:p>
        </w:tc>
        <w:tc>
          <w:tcPr>
            <w:tcW w:w="369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8A584B7" w14:textId="77777777" w:rsidR="00BD0800" w:rsidRDefault="00BD0800" w:rsidP="00811940">
            <w:pPr>
              <w:pStyle w:val="CellHeading"/>
              <w:rPr>
                <w:sz w:val="20"/>
                <w:szCs w:val="20"/>
                <w:lang w:eastAsia="ko-KR"/>
              </w:rPr>
            </w:pPr>
            <w:r>
              <w:rPr>
                <w:w w:val="100"/>
                <w:sz w:val="20"/>
                <w:szCs w:val="20"/>
                <w:lang w:eastAsia="ko-KR"/>
              </w:rPr>
              <w:t>Name</w:t>
            </w:r>
          </w:p>
        </w:tc>
        <w:tc>
          <w:tcPr>
            <w:tcW w:w="41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30E14170" w14:textId="77777777" w:rsidR="00BD0800" w:rsidRDefault="00BD0800" w:rsidP="00811940">
            <w:pPr>
              <w:pStyle w:val="CellHeading"/>
              <w:rPr>
                <w:sz w:val="20"/>
                <w:szCs w:val="20"/>
                <w:lang w:eastAsia="ko-KR"/>
              </w:rPr>
            </w:pPr>
            <w:r>
              <w:rPr>
                <w:w w:val="100"/>
                <w:sz w:val="20"/>
                <w:szCs w:val="20"/>
                <w:lang w:eastAsia="ko-KR"/>
              </w:rPr>
              <w:t>Meaning</w:t>
            </w:r>
          </w:p>
        </w:tc>
      </w:tr>
      <w:tr w:rsidR="00BD0800" w14:paraId="5861FF08" w14:textId="77777777" w:rsidTr="00B419E5">
        <w:trPr>
          <w:trHeight w:val="17"/>
          <w:jc w:val="center"/>
        </w:trPr>
        <w:tc>
          <w:tcPr>
            <w:tcW w:w="1350" w:type="dxa"/>
            <w:tcBorders>
              <w:top w:val="single" w:sz="2" w:space="0" w:color="000000"/>
              <w:left w:val="single" w:sz="12" w:space="0" w:color="000000"/>
              <w:bottom w:val="single" w:sz="4" w:space="0" w:color="auto"/>
              <w:right w:val="single" w:sz="4" w:space="0" w:color="auto"/>
            </w:tcBorders>
            <w:hideMark/>
          </w:tcPr>
          <w:p w14:paraId="08092CE0" w14:textId="77777777" w:rsidR="00BD0800" w:rsidRPr="004D6932" w:rsidRDefault="00BD0800" w:rsidP="00811940">
            <w:pPr>
              <w:pStyle w:val="CellBody"/>
              <w:suppressAutoHyphens/>
              <w:jc w:val="center"/>
              <w:rPr>
                <w:w w:val="100"/>
                <w:lang w:eastAsia="ko-KR"/>
              </w:rPr>
            </w:pPr>
            <w:r w:rsidRPr="004D6932">
              <w:rPr>
                <w:w w:val="100"/>
                <w:lang w:eastAsia="ko-KR"/>
              </w:rPr>
              <w:t>…</w:t>
            </w:r>
          </w:p>
        </w:tc>
        <w:tc>
          <w:tcPr>
            <w:tcW w:w="3690" w:type="dxa"/>
            <w:tcBorders>
              <w:top w:val="single" w:sz="2" w:space="0" w:color="000000"/>
              <w:left w:val="single" w:sz="4" w:space="0" w:color="auto"/>
              <w:bottom w:val="single" w:sz="4" w:space="0" w:color="auto"/>
              <w:right w:val="single" w:sz="4" w:space="0" w:color="auto"/>
            </w:tcBorders>
            <w:hideMark/>
          </w:tcPr>
          <w:p w14:paraId="630B3276" w14:textId="77777777" w:rsidR="00BD0800" w:rsidRPr="004D6932" w:rsidRDefault="00BD0800" w:rsidP="00811940">
            <w:pPr>
              <w:rPr>
                <w:szCs w:val="18"/>
                <w:lang w:eastAsia="ko-KR"/>
              </w:rPr>
            </w:pPr>
          </w:p>
        </w:tc>
        <w:tc>
          <w:tcPr>
            <w:tcW w:w="4140" w:type="dxa"/>
            <w:tcBorders>
              <w:top w:val="single" w:sz="2" w:space="0" w:color="000000"/>
              <w:left w:val="single" w:sz="4" w:space="0" w:color="auto"/>
              <w:bottom w:val="single" w:sz="4" w:space="0" w:color="auto"/>
              <w:right w:val="single" w:sz="12" w:space="0" w:color="000000"/>
            </w:tcBorders>
          </w:tcPr>
          <w:p w14:paraId="3F9BD5B3" w14:textId="77777777" w:rsidR="00BD0800" w:rsidRPr="004D6932" w:rsidRDefault="00BD0800" w:rsidP="00811940">
            <w:pPr>
              <w:pStyle w:val="CellBody"/>
              <w:suppressAutoHyphens/>
              <w:jc w:val="center"/>
              <w:rPr>
                <w:w w:val="100"/>
                <w:lang w:eastAsia="ko-KR"/>
              </w:rPr>
            </w:pPr>
          </w:p>
        </w:tc>
      </w:tr>
      <w:tr w:rsidR="00BD0800" w14:paraId="164F5FE2" w14:textId="77777777" w:rsidTr="00B419E5">
        <w:trPr>
          <w:trHeight w:val="17"/>
          <w:jc w:val="center"/>
        </w:trPr>
        <w:tc>
          <w:tcPr>
            <w:tcW w:w="1350" w:type="dxa"/>
            <w:tcBorders>
              <w:top w:val="single" w:sz="2" w:space="0" w:color="000000"/>
              <w:left w:val="single" w:sz="12" w:space="0" w:color="000000"/>
              <w:bottom w:val="single" w:sz="2" w:space="0" w:color="000000"/>
              <w:right w:val="single" w:sz="4" w:space="0" w:color="auto"/>
            </w:tcBorders>
          </w:tcPr>
          <w:p w14:paraId="4281A8ED" w14:textId="5A92B302" w:rsidR="00BD0800" w:rsidRPr="004D6932" w:rsidRDefault="007A3113" w:rsidP="005C6187">
            <w:pPr>
              <w:pStyle w:val="CellBody"/>
              <w:suppressAutoHyphens/>
              <w:jc w:val="both"/>
              <w:rPr>
                <w:w w:val="100"/>
                <w:lang w:eastAsia="ko-KR"/>
              </w:rPr>
            </w:pPr>
            <w:r w:rsidRPr="00A00BFA">
              <w:rPr>
                <w:w w:val="100"/>
                <w:highlight w:val="yellow"/>
                <w:lang w:eastAsia="ko-KR"/>
              </w:rPr>
              <w:t>&lt;ANA&gt;</w:t>
            </w:r>
          </w:p>
        </w:tc>
        <w:tc>
          <w:tcPr>
            <w:tcW w:w="3690" w:type="dxa"/>
            <w:tcBorders>
              <w:top w:val="single" w:sz="2" w:space="0" w:color="000000"/>
              <w:left w:val="single" w:sz="4" w:space="0" w:color="auto"/>
              <w:bottom w:val="single" w:sz="2" w:space="0" w:color="000000"/>
              <w:right w:val="single" w:sz="4" w:space="0" w:color="auto"/>
            </w:tcBorders>
          </w:tcPr>
          <w:p w14:paraId="033A6FD5" w14:textId="21D84F84" w:rsidR="00BD0800" w:rsidRPr="004D6932" w:rsidRDefault="00B419E5" w:rsidP="005C6187">
            <w:pPr>
              <w:pStyle w:val="CellBody"/>
              <w:suppressAutoHyphens/>
              <w:jc w:val="both"/>
              <w:rPr>
                <w:w w:val="100"/>
                <w:lang w:eastAsia="ko-KR"/>
              </w:rPr>
            </w:pPr>
            <w:r>
              <w:rPr>
                <w:w w:val="100"/>
                <w:lang w:eastAsia="ko-KR"/>
              </w:rPr>
              <w:t>EXCESSIVE_OMI_OR_VIOLATING_EDCA</w:t>
            </w:r>
          </w:p>
        </w:tc>
        <w:tc>
          <w:tcPr>
            <w:tcW w:w="4140" w:type="dxa"/>
            <w:tcBorders>
              <w:top w:val="single" w:sz="2" w:space="0" w:color="000000"/>
              <w:left w:val="single" w:sz="4" w:space="0" w:color="auto"/>
              <w:bottom w:val="single" w:sz="2" w:space="0" w:color="000000"/>
              <w:right w:val="single" w:sz="12" w:space="0" w:color="000000"/>
            </w:tcBorders>
          </w:tcPr>
          <w:p w14:paraId="73E0E8C9" w14:textId="7A447633" w:rsidR="00BD0800" w:rsidRPr="004D6932" w:rsidRDefault="00BD0800" w:rsidP="00972628">
            <w:pPr>
              <w:pStyle w:val="CellBody"/>
              <w:suppressAutoHyphens/>
              <w:jc w:val="both"/>
              <w:rPr>
                <w:w w:val="100"/>
                <w:lang w:eastAsia="ko-KR"/>
              </w:rPr>
            </w:pPr>
            <w:r>
              <w:rPr>
                <w:w w:val="100"/>
                <w:lang w:eastAsia="ko-KR"/>
              </w:rPr>
              <w:t>Disassociated</w:t>
            </w:r>
            <w:r w:rsidRPr="004D6932">
              <w:rPr>
                <w:w w:val="100"/>
                <w:lang w:eastAsia="ko-KR"/>
              </w:rPr>
              <w:t xml:space="preserve"> </w:t>
            </w:r>
            <w:r w:rsidR="00972628" w:rsidRPr="00972628">
              <w:rPr>
                <w:w w:val="100"/>
                <w:lang w:eastAsia="ko-KR"/>
              </w:rPr>
              <w:t xml:space="preserve">due to excessive </w:t>
            </w:r>
            <w:r w:rsidR="005C3DCC">
              <w:rPr>
                <w:w w:val="100"/>
                <w:lang w:eastAsia="ko-KR"/>
              </w:rPr>
              <w:t>disablement of UL MU</w:t>
            </w:r>
            <w:r w:rsidR="00972628" w:rsidRPr="00972628">
              <w:rPr>
                <w:w w:val="100"/>
                <w:lang w:eastAsia="ko-KR"/>
              </w:rPr>
              <w:t xml:space="preserve"> and/or </w:t>
            </w:r>
            <w:r w:rsidR="00B419E5">
              <w:rPr>
                <w:w w:val="100"/>
                <w:lang w:eastAsia="ko-KR"/>
              </w:rPr>
              <w:t>frequent violation of EDCA parameters</w:t>
            </w:r>
            <w:r w:rsidR="00972628" w:rsidRPr="00972628">
              <w:rPr>
                <w:w w:val="100"/>
                <w:lang w:eastAsia="ko-KR"/>
              </w:rPr>
              <w:t>.</w:t>
            </w:r>
            <w:r w:rsidR="00FA6E75" w:rsidRPr="00DD6CBB">
              <w:rPr>
                <w:rFonts w:eastAsia="Times New Roman"/>
                <w:bCs/>
                <w:sz w:val="16"/>
                <w:szCs w:val="20"/>
                <w:highlight w:val="yellow"/>
              </w:rPr>
              <w:t>[</w:t>
            </w:r>
            <w:r w:rsidR="00B419E5">
              <w:rPr>
                <w:rFonts w:eastAsia="Times New Roman"/>
                <w:bCs/>
                <w:sz w:val="16"/>
                <w:szCs w:val="20"/>
                <w:highlight w:val="yellow"/>
              </w:rPr>
              <w:t>21172, 20013</w:t>
            </w:r>
            <w:r w:rsidR="00FA6E75" w:rsidRPr="00DD6CBB">
              <w:rPr>
                <w:rFonts w:eastAsia="Times New Roman"/>
                <w:bCs/>
                <w:sz w:val="16"/>
                <w:szCs w:val="20"/>
                <w:highlight w:val="yellow"/>
              </w:rPr>
              <w:t>]</w:t>
            </w:r>
          </w:p>
        </w:tc>
      </w:tr>
    </w:tbl>
    <w:p w14:paraId="0B0032C9" w14:textId="39214F98" w:rsidR="00384D2F" w:rsidRDefault="00384D2F" w:rsidP="00FA6E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b/>
          <w:bCs/>
          <w:sz w:val="20"/>
        </w:rPr>
      </w:pPr>
    </w:p>
    <w:p w14:paraId="167D0E2A" w14:textId="77777777" w:rsidR="00DA5493" w:rsidRDefault="00DA5493" w:rsidP="00FA6E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40" w:lineRule="atLeast"/>
        <w:jc w:val="both"/>
        <w:rPr>
          <w:b/>
          <w:bCs/>
          <w:sz w:val="20"/>
        </w:rPr>
      </w:pPr>
    </w:p>
    <w:p w14:paraId="1236FEB0" w14:textId="7CE647F1" w:rsidR="004D6932" w:rsidRDefault="004D6932" w:rsidP="00FA6E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 xml:space="preserve">26.17.2 HE BSS operation in the 6 GHz band </w:t>
      </w:r>
    </w:p>
    <w:p w14:paraId="30076FD5" w14:textId="07C6906F" w:rsidR="004D6932" w:rsidRDefault="004D6932" w:rsidP="00B404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b/>
          <w:bCs/>
          <w:sz w:val="20"/>
        </w:rPr>
      </w:pPr>
      <w:r>
        <w:rPr>
          <w:b/>
          <w:bCs/>
          <w:sz w:val="20"/>
        </w:rPr>
        <w:t>26.17.2.1 General</w:t>
      </w:r>
      <w:r w:rsidR="00C8282F" w:rsidRPr="00DD6CBB">
        <w:rPr>
          <w:rFonts w:eastAsia="Times New Roman"/>
          <w:bCs/>
          <w:sz w:val="16"/>
          <w:highlight w:val="yellow"/>
        </w:rPr>
        <w:t>[</w:t>
      </w:r>
      <w:r w:rsidR="00C8282F">
        <w:rPr>
          <w:rFonts w:eastAsia="Times New Roman"/>
          <w:bCs/>
          <w:sz w:val="16"/>
          <w:highlight w:val="yellow"/>
        </w:rPr>
        <w:t>21172, 20013</w:t>
      </w:r>
      <w:r w:rsidR="00C8282F" w:rsidRPr="00DD6CBB">
        <w:rPr>
          <w:rFonts w:eastAsia="Times New Roman"/>
          <w:bCs/>
          <w:sz w:val="16"/>
          <w:highlight w:val="yellow"/>
        </w:rPr>
        <w:t>]</w:t>
      </w:r>
    </w:p>
    <w:p w14:paraId="670BCB0F" w14:textId="61225366" w:rsidR="00BC01D1" w:rsidRPr="00FC65DD" w:rsidRDefault="00BC01D1" w:rsidP="00BC01D1">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 xml:space="preserve">Insert </w:t>
      </w:r>
      <w:r w:rsidR="00E5395F">
        <w:rPr>
          <w:b/>
          <w:bCs/>
          <w:i/>
          <w:iCs/>
          <w:sz w:val="20"/>
          <w:highlight w:val="yellow"/>
        </w:rPr>
        <w:t xml:space="preserve">the following paragraphs at the end of </w:t>
      </w:r>
      <w:r w:rsidR="00C06BD0">
        <w:rPr>
          <w:b/>
          <w:bCs/>
          <w:i/>
          <w:iCs/>
          <w:sz w:val="20"/>
          <w:highlight w:val="yellow"/>
        </w:rPr>
        <w:t xml:space="preserve">this </w:t>
      </w:r>
      <w:r>
        <w:rPr>
          <w:b/>
          <w:bCs/>
          <w:i/>
          <w:iCs/>
          <w:sz w:val="20"/>
          <w:highlight w:val="yellow"/>
        </w:rPr>
        <w:t>subclause as follows</w:t>
      </w:r>
      <w:r w:rsidRPr="00FC65DD">
        <w:rPr>
          <w:b/>
          <w:bCs/>
          <w:i/>
          <w:iCs/>
          <w:sz w:val="20"/>
          <w:highlight w:val="yellow"/>
        </w:rPr>
        <w:t>:</w:t>
      </w:r>
    </w:p>
    <w:p w14:paraId="327F0A80" w14:textId="332311BD" w:rsidR="00C8282F" w:rsidRPr="00C8282F" w:rsidRDefault="004740CD" w:rsidP="00C828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lang w:eastAsia="ko-KR"/>
        </w:rPr>
      </w:pPr>
      <w:r w:rsidRPr="00C8282F">
        <w:rPr>
          <w:lang w:eastAsia="ko-KR"/>
        </w:rPr>
        <w:t>A 6</w:t>
      </w:r>
      <w:r w:rsidR="007A3113" w:rsidRPr="00C8282F">
        <w:rPr>
          <w:lang w:eastAsia="ko-KR"/>
        </w:rPr>
        <w:t xml:space="preserve"> </w:t>
      </w:r>
      <w:r w:rsidRPr="00C8282F">
        <w:rPr>
          <w:lang w:eastAsia="ko-KR"/>
        </w:rPr>
        <w:t xml:space="preserve">GHz HE AP may send a Disassociation frame </w:t>
      </w:r>
      <w:r w:rsidR="007A3113" w:rsidRPr="00C8282F">
        <w:rPr>
          <w:lang w:eastAsia="ko-KR"/>
        </w:rPr>
        <w:t xml:space="preserve">with Reason code field set to </w:t>
      </w:r>
      <w:r w:rsidR="0058113F" w:rsidRPr="00A00BFA">
        <w:rPr>
          <w:highlight w:val="yellow"/>
          <w:lang w:eastAsia="ko-KR"/>
        </w:rPr>
        <w:t>&lt;ANA&gt;</w:t>
      </w:r>
      <w:r w:rsidR="007A3113" w:rsidRPr="00C8282F">
        <w:rPr>
          <w:lang w:eastAsia="ko-KR"/>
        </w:rPr>
        <w:t xml:space="preserve"> (</w:t>
      </w:r>
      <w:r w:rsidR="00C8282F">
        <w:rPr>
          <w:lang w:eastAsia="ko-KR"/>
        </w:rPr>
        <w:t>EXCESSIVE_OMI_OR_VIOLATING_EDCA</w:t>
      </w:r>
      <w:r w:rsidR="007A3113" w:rsidRPr="00C8282F">
        <w:rPr>
          <w:lang w:eastAsia="ko-KR"/>
        </w:rPr>
        <w:t xml:space="preserve">) </w:t>
      </w:r>
      <w:r w:rsidRPr="00C8282F">
        <w:rPr>
          <w:lang w:eastAsia="ko-KR"/>
        </w:rPr>
        <w:t xml:space="preserve">to an associated </w:t>
      </w:r>
      <w:r w:rsidR="007A3113" w:rsidRPr="00C8282F">
        <w:rPr>
          <w:lang w:eastAsia="ko-KR"/>
        </w:rPr>
        <w:t xml:space="preserve">non-AP </w:t>
      </w:r>
      <w:r w:rsidRPr="00C8282F">
        <w:rPr>
          <w:lang w:eastAsia="ko-KR"/>
        </w:rPr>
        <w:t xml:space="preserve">STA if it receives </w:t>
      </w:r>
      <w:r w:rsidR="00C8282F" w:rsidRPr="00C8282F">
        <w:rPr>
          <w:lang w:eastAsia="ko-KR"/>
        </w:rPr>
        <w:t xml:space="preserve">frequent OMI requests from the </w:t>
      </w:r>
      <w:r w:rsidR="007A3113" w:rsidRPr="00C8282F">
        <w:rPr>
          <w:lang w:eastAsia="ko-KR"/>
        </w:rPr>
        <w:t xml:space="preserve">STA </w:t>
      </w:r>
      <w:r w:rsidR="005C3DCC">
        <w:rPr>
          <w:lang w:eastAsia="ko-KR"/>
        </w:rPr>
        <w:t xml:space="preserve">for disabling UL MU </w:t>
      </w:r>
      <w:r w:rsidR="00C8282F" w:rsidRPr="00C8282F">
        <w:rPr>
          <w:lang w:eastAsia="ko-KR"/>
        </w:rPr>
        <w:t xml:space="preserve">or if the AP </w:t>
      </w:r>
      <w:r w:rsidR="007D0F8E">
        <w:rPr>
          <w:lang w:eastAsia="ko-KR"/>
        </w:rPr>
        <w:t xml:space="preserve">has </w:t>
      </w:r>
      <w:r w:rsidR="00C8282F" w:rsidRPr="00C8282F">
        <w:rPr>
          <w:lang w:eastAsia="ko-KR"/>
        </w:rPr>
        <w:t>determine</w:t>
      </w:r>
      <w:r w:rsidR="007D0F8E">
        <w:rPr>
          <w:lang w:eastAsia="ko-KR"/>
        </w:rPr>
        <w:t>d</w:t>
      </w:r>
      <w:r w:rsidR="00C8282F" w:rsidRPr="00C8282F">
        <w:rPr>
          <w:lang w:eastAsia="ko-KR"/>
        </w:rPr>
        <w:t xml:space="preserve"> that the STA is frequently violating the EDCA parameters advertised by the AP.</w:t>
      </w:r>
    </w:p>
    <w:p w14:paraId="74E17C3E" w14:textId="43F50550" w:rsidR="004E615F" w:rsidRPr="006B0EC5" w:rsidRDefault="004E615F" w:rsidP="00384D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60" w:line="240" w:lineRule="atLeast"/>
        <w:jc w:val="both"/>
        <w:rPr>
          <w:color w:val="FF0000"/>
          <w:sz w:val="20"/>
        </w:rPr>
      </w:pPr>
    </w:p>
    <w:sectPr w:rsidR="004E615F" w:rsidRPr="006B0EC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DDE4" w14:textId="77777777" w:rsidR="005F62C5" w:rsidRDefault="005F62C5">
      <w:r>
        <w:separator/>
      </w:r>
    </w:p>
  </w:endnote>
  <w:endnote w:type="continuationSeparator" w:id="0">
    <w:p w14:paraId="03FB0D58" w14:textId="77777777" w:rsidR="005F62C5" w:rsidRDefault="005F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1F9DE46F" w:rsidR="007D0F8E" w:rsidRDefault="005F62C5">
    <w:pPr>
      <w:pStyle w:val="Footer"/>
      <w:tabs>
        <w:tab w:val="clear" w:pos="6480"/>
        <w:tab w:val="center" w:pos="4680"/>
        <w:tab w:val="right" w:pos="9360"/>
      </w:tabs>
    </w:pPr>
    <w:r>
      <w:fldChar w:fldCharType="begin"/>
    </w:r>
    <w:r>
      <w:instrText xml:space="preserve"> SUBJECT  \* MERGEFORMAT </w:instrText>
    </w:r>
    <w:r>
      <w:fldChar w:fldCharType="separate"/>
    </w:r>
    <w:r w:rsidR="007D0F8E">
      <w:t>Submission</w:t>
    </w:r>
    <w:r>
      <w:fldChar w:fldCharType="end"/>
    </w:r>
    <w:r w:rsidR="007D0F8E">
      <w:tab/>
      <w:t xml:space="preserve">page </w:t>
    </w:r>
    <w:r w:rsidR="007D0F8E">
      <w:fldChar w:fldCharType="begin"/>
    </w:r>
    <w:r w:rsidR="007D0F8E">
      <w:instrText xml:space="preserve">page </w:instrText>
    </w:r>
    <w:r w:rsidR="007D0F8E">
      <w:fldChar w:fldCharType="separate"/>
    </w:r>
    <w:r w:rsidR="007D0F8E">
      <w:rPr>
        <w:noProof/>
      </w:rPr>
      <w:t>4</w:t>
    </w:r>
    <w:r w:rsidR="007D0F8E">
      <w:rPr>
        <w:noProof/>
      </w:rPr>
      <w:fldChar w:fldCharType="end"/>
    </w:r>
    <w:r w:rsidR="007D0F8E">
      <w:tab/>
    </w:r>
    <w:r w:rsidR="007D0F8E">
      <w:rPr>
        <w:lang w:eastAsia="ko-KR"/>
      </w:rPr>
      <w:t>Abhishek Patil</w:t>
    </w:r>
    <w:r w:rsidR="007D0F8E">
      <w:t>, Qualcomm Inc.</w:t>
    </w:r>
  </w:p>
  <w:p w14:paraId="433CD0E0" w14:textId="77777777" w:rsidR="007D0F8E" w:rsidRDefault="007D0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09D6" w14:textId="77777777" w:rsidR="005F62C5" w:rsidRDefault="005F62C5">
      <w:r>
        <w:separator/>
      </w:r>
    </w:p>
  </w:footnote>
  <w:footnote w:type="continuationSeparator" w:id="0">
    <w:p w14:paraId="7A501124" w14:textId="77777777" w:rsidR="005F62C5" w:rsidRDefault="005F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DD7B093" w:rsidR="007D0F8E" w:rsidRDefault="007D0F8E">
    <w:pPr>
      <w:pStyle w:val="Header"/>
      <w:tabs>
        <w:tab w:val="clear" w:pos="6480"/>
        <w:tab w:val="center" w:pos="4680"/>
        <w:tab w:val="right" w:pos="9360"/>
      </w:tabs>
    </w:pPr>
    <w:r>
      <w:rPr>
        <w:lang w:eastAsia="ko-KR"/>
      </w:rPr>
      <w:t>July 2019</w:t>
    </w:r>
    <w:r>
      <w:tab/>
    </w:r>
    <w:r>
      <w:tab/>
    </w:r>
    <w:r>
      <w:fldChar w:fldCharType="begin"/>
    </w:r>
    <w:r>
      <w:instrText xml:space="preserve"> TITLE  \* MERGEFORMAT </w:instrText>
    </w:r>
    <w:r>
      <w:fldChar w:fldCharType="end"/>
    </w:r>
    <w:r w:rsidR="005F62C5">
      <w:fldChar w:fldCharType="begin"/>
    </w:r>
    <w:r w:rsidR="005F62C5">
      <w:instrText xml:space="preserve"> TITLE  \* MERGEFORMAT </w:instrText>
    </w:r>
    <w:r w:rsidR="005F62C5">
      <w:fldChar w:fldCharType="separate"/>
    </w:r>
    <w:r>
      <w:t>doc.: IEEE 802.11-19/</w:t>
    </w:r>
    <w:r>
      <w:rPr>
        <w:lang w:eastAsia="ko-KR"/>
      </w:rPr>
      <w:t>01149r</w:t>
    </w:r>
    <w:r w:rsidR="005F62C5">
      <w:rPr>
        <w:lang w:eastAsia="ko-KR"/>
      </w:rPr>
      <w:fldChar w:fldCharType="end"/>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7"/>
    <w:multiLevelType w:val="multilevel"/>
    <w:tmpl w:val="6BC4AD1A"/>
    <w:lvl w:ilvl="0">
      <w:start w:val="1"/>
      <w:numFmt w:val="bullet"/>
      <w:pStyle w:val="BodyBullet1"/>
      <w:lvlText w:val=""/>
      <w:lvlJc w:val="left"/>
      <w:pPr>
        <w:snapToGrid w:val="0"/>
        <w:ind w:left="936" w:hanging="360"/>
      </w:pPr>
      <w:rPr>
        <w:rFonts w:ascii="Symbol" w:hAnsi="Symbo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6"/>
      <w:numFmt w:val="decimal"/>
      <w:isLgl/>
      <w:lvlText w:val="%1.%2"/>
      <w:lvlJc w:val="left"/>
      <w:pPr>
        <w:ind w:left="1656" w:hanging="720"/>
      </w:pPr>
    </w:lvl>
    <w:lvl w:ilvl="2">
      <w:start w:val="1"/>
      <w:numFmt w:val="decimal"/>
      <w:isLgl/>
      <w:lvlText w:val="%1.%2.%3"/>
      <w:lvlJc w:val="left"/>
      <w:pPr>
        <w:ind w:left="1872" w:hanging="720"/>
      </w:pPr>
    </w:lvl>
    <w:lvl w:ilvl="3">
      <w:start w:val="1"/>
      <w:numFmt w:val="decimal"/>
      <w:isLgl/>
      <w:lvlText w:val="%1.%2.%3.%4"/>
      <w:lvlJc w:val="left"/>
      <w:pPr>
        <w:ind w:left="2448" w:hanging="1080"/>
      </w:pPr>
    </w:lvl>
    <w:lvl w:ilvl="4">
      <w:start w:val="1"/>
      <w:numFmt w:val="decimal"/>
      <w:isLgl/>
      <w:lvlText w:val="%1.%2.%3.%4.%5"/>
      <w:lvlJc w:val="left"/>
      <w:pPr>
        <w:ind w:left="3024" w:hanging="1440"/>
      </w:pPr>
    </w:lvl>
    <w:lvl w:ilvl="5">
      <w:start w:val="1"/>
      <w:numFmt w:val="decimal"/>
      <w:isLgl/>
      <w:lvlText w:val="%1.%2.%3.%4.%5.%6"/>
      <w:lvlJc w:val="left"/>
      <w:pPr>
        <w:ind w:left="3240" w:hanging="1440"/>
      </w:pPr>
    </w:lvl>
    <w:lvl w:ilvl="6">
      <w:start w:val="1"/>
      <w:numFmt w:val="decimal"/>
      <w:isLgl/>
      <w:lvlText w:val="%1.%2.%3.%4.%5.%6.%7"/>
      <w:lvlJc w:val="left"/>
      <w:pPr>
        <w:ind w:left="3816" w:hanging="1800"/>
      </w:pPr>
    </w:lvl>
    <w:lvl w:ilvl="7">
      <w:start w:val="1"/>
      <w:numFmt w:val="decimal"/>
      <w:isLgl/>
      <w:lvlText w:val="%1.%2.%3.%4.%5.%6.%7.%8"/>
      <w:lvlJc w:val="left"/>
      <w:pPr>
        <w:ind w:left="4032" w:hanging="1800"/>
      </w:pPr>
    </w:lvl>
    <w:lvl w:ilvl="8">
      <w:start w:val="1"/>
      <w:numFmt w:val="decimal"/>
      <w:isLgl/>
      <w:lvlText w:val="%1.%2.%3.%4.%5.%6.%7.%8.%9"/>
      <w:lvlJc w:val="left"/>
      <w:pPr>
        <w:ind w:left="4608" w:hanging="2160"/>
      </w:pPr>
    </w:lvl>
  </w:abstractNum>
  <w:abstractNum w:abstractNumId="2" w15:restartNumberingAfterBreak="0">
    <w:nsid w:val="00212647"/>
    <w:multiLevelType w:val="hybridMultilevel"/>
    <w:tmpl w:val="89A87044"/>
    <w:lvl w:ilvl="0" w:tplc="63B47E30">
      <w:start w:val="1"/>
      <w:numFmt w:val="bullet"/>
      <w:pStyle w:val="BodyBullet2"/>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B0A04"/>
    <w:multiLevelType w:val="hybridMultilevel"/>
    <w:tmpl w:val="80BAD4A2"/>
    <w:lvl w:ilvl="0" w:tplc="9D3E02F6">
      <w:start w:val="1"/>
      <w:numFmt w:val="bullet"/>
      <w:lvlText w:val=""/>
      <w:lvlJc w:val="left"/>
      <w:pPr>
        <w:ind w:left="360" w:hanging="360"/>
      </w:pPr>
      <w:rPr>
        <w:rFonts w:ascii="Symbol" w:hAnsi="Symbol" w:hint="default"/>
      </w:rPr>
    </w:lvl>
    <w:lvl w:ilvl="1" w:tplc="9D3E02F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0E4D5F"/>
    <w:multiLevelType w:val="multilevel"/>
    <w:tmpl w:val="8ABA7EF8"/>
    <w:styleLink w:val="WFAHeadings"/>
    <w:lvl w:ilvl="0">
      <w:start w:val="1"/>
      <w:numFmt w:val="decimal"/>
      <w:pStyle w:val="Head1"/>
      <w:lvlText w:val="%1"/>
      <w:lvlJc w:val="left"/>
      <w:pPr>
        <w:tabs>
          <w:tab w:val="num" w:pos="576"/>
        </w:tabs>
        <w:ind w:left="0" w:firstLine="0"/>
      </w:pPr>
      <w:rPr>
        <w:rFonts w:ascii="Arial" w:hAnsi="Arial" w:cs="Times New Roman" w:hint="default"/>
        <w:b/>
        <w:sz w:val="32"/>
      </w:rPr>
    </w:lvl>
    <w:lvl w:ilvl="1">
      <w:start w:val="1"/>
      <w:numFmt w:val="decimal"/>
      <w:pStyle w:val="Head2"/>
      <w:lvlText w:val="%1.%2"/>
      <w:lvlJc w:val="left"/>
      <w:pPr>
        <w:tabs>
          <w:tab w:val="num" w:pos="720"/>
        </w:tabs>
        <w:ind w:left="0" w:firstLine="0"/>
      </w:pPr>
      <w:rPr>
        <w:rFonts w:ascii="Arial" w:hAnsi="Arial" w:cs="Times New Roman" w:hint="default"/>
        <w:b/>
        <w:sz w:val="28"/>
      </w:rPr>
    </w:lvl>
    <w:lvl w:ilvl="2">
      <w:start w:val="1"/>
      <w:numFmt w:val="decimal"/>
      <w:pStyle w:val="Head3"/>
      <w:lvlText w:val="%1.%2.%3"/>
      <w:lvlJc w:val="left"/>
      <w:pPr>
        <w:tabs>
          <w:tab w:val="num" w:pos="864"/>
        </w:tabs>
        <w:ind w:left="0" w:firstLine="0"/>
      </w:pPr>
      <w:rPr>
        <w:rFonts w:ascii="Arial" w:hAnsi="Arial" w:cs="Times New Roman" w:hint="default"/>
        <w:b/>
        <w:sz w:val="24"/>
      </w:rPr>
    </w:lvl>
    <w:lvl w:ilvl="3">
      <w:start w:val="1"/>
      <w:numFmt w:val="decimal"/>
      <w:pStyle w:val="Head4"/>
      <w:lvlText w:val="%1.%2.%3.%4"/>
      <w:lvlJc w:val="left"/>
      <w:pPr>
        <w:tabs>
          <w:tab w:val="num" w:pos="1008"/>
        </w:tabs>
        <w:ind w:left="0" w:firstLine="0"/>
      </w:pPr>
      <w:rPr>
        <w:rFonts w:ascii="Arial" w:hAnsi="Arial" w:cs="Times New Roman" w:hint="default"/>
        <w:b/>
        <w:color w:val="auto"/>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40D86AD9"/>
    <w:multiLevelType w:val="hybridMultilevel"/>
    <w:tmpl w:val="634242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E0A7B"/>
    <w:multiLevelType w:val="hybridMultilevel"/>
    <w:tmpl w:val="D2B4F792"/>
    <w:lvl w:ilvl="0" w:tplc="99F24FF4">
      <w:start w:val="1"/>
      <w:numFmt w:val="bullet"/>
      <w:lvlText w:val="-"/>
      <w:lvlJc w:val="left"/>
      <w:pPr>
        <w:ind w:left="720" w:hanging="360"/>
      </w:pPr>
      <w:rPr>
        <w:rFonts w:ascii="Times New Roman" w:eastAsia="Malgun Gothic" w:hAnsi="Times New Roman" w:cs="Times New Roman" w:hint="default"/>
      </w:rPr>
    </w:lvl>
    <w:lvl w:ilvl="1" w:tplc="2D0C919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C6143E"/>
    <w:multiLevelType w:val="hybridMultilevel"/>
    <w:tmpl w:val="87FEA8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11"/>
  </w:num>
  <w:num w:numId="3">
    <w:abstractNumId w:val="13"/>
  </w:num>
  <w:num w:numId="4">
    <w:abstractNumId w:val="10"/>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4"/>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7"/>
  </w:num>
  <w:num w:numId="19">
    <w:abstractNumId w:val="16"/>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9"/>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
  </w:num>
  <w:num w:numId="26">
    <w:abstractNumId w:val="12"/>
  </w:num>
  <w:num w:numId="27">
    <w:abstractNumId w:val="18"/>
  </w:num>
  <w:num w:numId="28">
    <w:abstractNumId w:val="8"/>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
  </w:num>
  <w:num w:numId="31">
    <w:abstractNumId w:val="0"/>
    <w:lvlOverride w:ilvl="0">
      <w:lvl w:ilvl="0">
        <w:numFmt w:val="decimal"/>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5"/>
  </w:num>
  <w:num w:numId="34">
    <w:abstractNumId w:val="14"/>
  </w:num>
  <w:num w:numId="35">
    <w:abstractNumId w:val="6"/>
  </w:num>
  <w:num w:numId="36">
    <w:abstractNumId w:val="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1">
    <w:abstractNumId w:val="0"/>
    <w:lvlOverride w:ilvl="0">
      <w:lvl w:ilvl="0">
        <w:start w:val="1"/>
        <w:numFmt w:val="bullet"/>
        <w:lvlText w:val="Table 9-52—"/>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3FA"/>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558"/>
    <w:rsid w:val="00090640"/>
    <w:rsid w:val="00091349"/>
    <w:rsid w:val="00092971"/>
    <w:rsid w:val="00092AC6"/>
    <w:rsid w:val="00092CAE"/>
    <w:rsid w:val="00093AD2"/>
    <w:rsid w:val="00094FFA"/>
    <w:rsid w:val="0009661D"/>
    <w:rsid w:val="0009713F"/>
    <w:rsid w:val="00097398"/>
    <w:rsid w:val="000A1834"/>
    <w:rsid w:val="000A1C31"/>
    <w:rsid w:val="000A1ECD"/>
    <w:rsid w:val="000A1F25"/>
    <w:rsid w:val="000A3567"/>
    <w:rsid w:val="000A6232"/>
    <w:rsid w:val="000A671D"/>
    <w:rsid w:val="000A7680"/>
    <w:rsid w:val="000B041A"/>
    <w:rsid w:val="000B083E"/>
    <w:rsid w:val="000B0DAF"/>
    <w:rsid w:val="000B59FE"/>
    <w:rsid w:val="000B5D19"/>
    <w:rsid w:val="000B689A"/>
    <w:rsid w:val="000B6F6A"/>
    <w:rsid w:val="000C27D0"/>
    <w:rsid w:val="000C2EFD"/>
    <w:rsid w:val="000C345D"/>
    <w:rsid w:val="000C3C16"/>
    <w:rsid w:val="000C4755"/>
    <w:rsid w:val="000C54F3"/>
    <w:rsid w:val="000C5C64"/>
    <w:rsid w:val="000C6032"/>
    <w:rsid w:val="000C6A2F"/>
    <w:rsid w:val="000D079F"/>
    <w:rsid w:val="000D174A"/>
    <w:rsid w:val="000D1AD4"/>
    <w:rsid w:val="000D251B"/>
    <w:rsid w:val="000D276A"/>
    <w:rsid w:val="000D2F1B"/>
    <w:rsid w:val="000D4A8F"/>
    <w:rsid w:val="000D5D89"/>
    <w:rsid w:val="000D5EBD"/>
    <w:rsid w:val="000D674F"/>
    <w:rsid w:val="000E0494"/>
    <w:rsid w:val="000E1C37"/>
    <w:rsid w:val="000E1D7B"/>
    <w:rsid w:val="000E4B82"/>
    <w:rsid w:val="000E53D1"/>
    <w:rsid w:val="000E5BC9"/>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19F1"/>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456"/>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6676D"/>
    <w:rsid w:val="00170015"/>
    <w:rsid w:val="00172489"/>
    <w:rsid w:val="00172DD9"/>
    <w:rsid w:val="001738FD"/>
    <w:rsid w:val="00175CDF"/>
    <w:rsid w:val="00175E28"/>
    <w:rsid w:val="0017659B"/>
    <w:rsid w:val="00177BCE"/>
    <w:rsid w:val="001811D4"/>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487E"/>
    <w:rsid w:val="001B63BC"/>
    <w:rsid w:val="001B6B30"/>
    <w:rsid w:val="001C1A35"/>
    <w:rsid w:val="001C3FCE"/>
    <w:rsid w:val="001C4460"/>
    <w:rsid w:val="001C501D"/>
    <w:rsid w:val="001C5F38"/>
    <w:rsid w:val="001C7CCE"/>
    <w:rsid w:val="001D15ED"/>
    <w:rsid w:val="001D20CB"/>
    <w:rsid w:val="001D2A6C"/>
    <w:rsid w:val="001D328B"/>
    <w:rsid w:val="001D3CA6"/>
    <w:rsid w:val="001D4A93"/>
    <w:rsid w:val="001D5F28"/>
    <w:rsid w:val="001D62F5"/>
    <w:rsid w:val="001D7529"/>
    <w:rsid w:val="001D7948"/>
    <w:rsid w:val="001E0946"/>
    <w:rsid w:val="001E0DC2"/>
    <w:rsid w:val="001E1001"/>
    <w:rsid w:val="001E13D1"/>
    <w:rsid w:val="001E15F8"/>
    <w:rsid w:val="001E1E5C"/>
    <w:rsid w:val="001E349E"/>
    <w:rsid w:val="001E52BC"/>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4E6D"/>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B90"/>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5144"/>
    <w:rsid w:val="00245D05"/>
    <w:rsid w:val="002470AC"/>
    <w:rsid w:val="0024720B"/>
    <w:rsid w:val="002515C7"/>
    <w:rsid w:val="00252D47"/>
    <w:rsid w:val="002539AB"/>
    <w:rsid w:val="002545F7"/>
    <w:rsid w:val="00255A8B"/>
    <w:rsid w:val="00261CE5"/>
    <w:rsid w:val="00262331"/>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BDD"/>
    <w:rsid w:val="002C271D"/>
    <w:rsid w:val="002C2A2B"/>
    <w:rsid w:val="002C2C67"/>
    <w:rsid w:val="002C2DD6"/>
    <w:rsid w:val="002C3ECD"/>
    <w:rsid w:val="002C46CB"/>
    <w:rsid w:val="002C49D8"/>
    <w:rsid w:val="002C4A2E"/>
    <w:rsid w:val="002C61F7"/>
    <w:rsid w:val="002C6B4F"/>
    <w:rsid w:val="002C6CFB"/>
    <w:rsid w:val="002C72E1"/>
    <w:rsid w:val="002C7AF2"/>
    <w:rsid w:val="002D001B"/>
    <w:rsid w:val="002D1D40"/>
    <w:rsid w:val="002D1EBA"/>
    <w:rsid w:val="002D3073"/>
    <w:rsid w:val="002D3DEF"/>
    <w:rsid w:val="002D3DF3"/>
    <w:rsid w:val="002D4F69"/>
    <w:rsid w:val="002D518F"/>
    <w:rsid w:val="002D5D5C"/>
    <w:rsid w:val="002D6F6A"/>
    <w:rsid w:val="002D71C5"/>
    <w:rsid w:val="002D77BF"/>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32A"/>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AC6"/>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1412"/>
    <w:rsid w:val="00342C7D"/>
    <w:rsid w:val="00343554"/>
    <w:rsid w:val="003449F9"/>
    <w:rsid w:val="00344DA5"/>
    <w:rsid w:val="0034581F"/>
    <w:rsid w:val="0034592B"/>
    <w:rsid w:val="003479E4"/>
    <w:rsid w:val="00347C43"/>
    <w:rsid w:val="00350CA7"/>
    <w:rsid w:val="0035213C"/>
    <w:rsid w:val="00352C83"/>
    <w:rsid w:val="00352DC1"/>
    <w:rsid w:val="003539C5"/>
    <w:rsid w:val="00355254"/>
    <w:rsid w:val="0035591D"/>
    <w:rsid w:val="00356265"/>
    <w:rsid w:val="0035662A"/>
    <w:rsid w:val="00357F36"/>
    <w:rsid w:val="00360C87"/>
    <w:rsid w:val="00361798"/>
    <w:rsid w:val="00361C21"/>
    <w:rsid w:val="003622ED"/>
    <w:rsid w:val="00362C5B"/>
    <w:rsid w:val="00363F49"/>
    <w:rsid w:val="0036424C"/>
    <w:rsid w:val="00366AF0"/>
    <w:rsid w:val="00366B5F"/>
    <w:rsid w:val="003713CA"/>
    <w:rsid w:val="0037201A"/>
    <w:rsid w:val="003729FC"/>
    <w:rsid w:val="00372FCA"/>
    <w:rsid w:val="00374C87"/>
    <w:rsid w:val="00374CBC"/>
    <w:rsid w:val="003759F9"/>
    <w:rsid w:val="003766B9"/>
    <w:rsid w:val="00380F85"/>
    <w:rsid w:val="00381F98"/>
    <w:rsid w:val="0038258D"/>
    <w:rsid w:val="00382861"/>
    <w:rsid w:val="00382C54"/>
    <w:rsid w:val="00383766"/>
    <w:rsid w:val="00383C03"/>
    <w:rsid w:val="00383C85"/>
    <w:rsid w:val="00384D2F"/>
    <w:rsid w:val="0038516A"/>
    <w:rsid w:val="00385654"/>
    <w:rsid w:val="00385FD6"/>
    <w:rsid w:val="0038601E"/>
    <w:rsid w:val="003906A1"/>
    <w:rsid w:val="00390DCB"/>
    <w:rsid w:val="00391845"/>
    <w:rsid w:val="003924F8"/>
    <w:rsid w:val="003945E3"/>
    <w:rsid w:val="00395A50"/>
    <w:rsid w:val="0039787F"/>
    <w:rsid w:val="003A161F"/>
    <w:rsid w:val="003A1693"/>
    <w:rsid w:val="003A18FB"/>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B77FB"/>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16A"/>
    <w:rsid w:val="003D4734"/>
    <w:rsid w:val="003D5013"/>
    <w:rsid w:val="003D559C"/>
    <w:rsid w:val="003D5F14"/>
    <w:rsid w:val="003D664E"/>
    <w:rsid w:val="003D7652"/>
    <w:rsid w:val="003D77A3"/>
    <w:rsid w:val="003D78F7"/>
    <w:rsid w:val="003D79C9"/>
    <w:rsid w:val="003D7CBC"/>
    <w:rsid w:val="003E03AD"/>
    <w:rsid w:val="003E32DF"/>
    <w:rsid w:val="003E3FAD"/>
    <w:rsid w:val="003E416D"/>
    <w:rsid w:val="003E4403"/>
    <w:rsid w:val="003E5916"/>
    <w:rsid w:val="003E5CD9"/>
    <w:rsid w:val="003E5DE7"/>
    <w:rsid w:val="003E667C"/>
    <w:rsid w:val="003E7414"/>
    <w:rsid w:val="003E7F99"/>
    <w:rsid w:val="003F1281"/>
    <w:rsid w:val="003F1B36"/>
    <w:rsid w:val="003F2006"/>
    <w:rsid w:val="003F2B96"/>
    <w:rsid w:val="003F2D6C"/>
    <w:rsid w:val="003F48E1"/>
    <w:rsid w:val="003F6B76"/>
    <w:rsid w:val="004010D0"/>
    <w:rsid w:val="004014AE"/>
    <w:rsid w:val="00401E3C"/>
    <w:rsid w:val="00402221"/>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6658"/>
    <w:rsid w:val="0042002A"/>
    <w:rsid w:val="004209D5"/>
    <w:rsid w:val="00421159"/>
    <w:rsid w:val="00421A46"/>
    <w:rsid w:val="00422546"/>
    <w:rsid w:val="00422D5C"/>
    <w:rsid w:val="00423116"/>
    <w:rsid w:val="0042346F"/>
    <w:rsid w:val="00423634"/>
    <w:rsid w:val="00424344"/>
    <w:rsid w:val="0042720A"/>
    <w:rsid w:val="0042794A"/>
    <w:rsid w:val="00430648"/>
    <w:rsid w:val="00430E74"/>
    <w:rsid w:val="00431EBF"/>
    <w:rsid w:val="00432069"/>
    <w:rsid w:val="004339CB"/>
    <w:rsid w:val="00435208"/>
    <w:rsid w:val="0043677F"/>
    <w:rsid w:val="0043699F"/>
    <w:rsid w:val="00437814"/>
    <w:rsid w:val="004402C9"/>
    <w:rsid w:val="00440FF1"/>
    <w:rsid w:val="004417F2"/>
    <w:rsid w:val="00441C39"/>
    <w:rsid w:val="00441EC5"/>
    <w:rsid w:val="00442799"/>
    <w:rsid w:val="00443777"/>
    <w:rsid w:val="00443FBF"/>
    <w:rsid w:val="004452DF"/>
    <w:rsid w:val="004507E7"/>
    <w:rsid w:val="00450CC0"/>
    <w:rsid w:val="0045288D"/>
    <w:rsid w:val="00453A44"/>
    <w:rsid w:val="00453E8C"/>
    <w:rsid w:val="00457028"/>
    <w:rsid w:val="00457E3B"/>
    <w:rsid w:val="00457FA3"/>
    <w:rsid w:val="004615D0"/>
    <w:rsid w:val="00461C2E"/>
    <w:rsid w:val="00462172"/>
    <w:rsid w:val="00466B33"/>
    <w:rsid w:val="00466EEB"/>
    <w:rsid w:val="0046757A"/>
    <w:rsid w:val="004721EF"/>
    <w:rsid w:val="0047267B"/>
    <w:rsid w:val="00472EA0"/>
    <w:rsid w:val="004740CD"/>
    <w:rsid w:val="00475A71"/>
    <w:rsid w:val="00475D9E"/>
    <w:rsid w:val="00476F40"/>
    <w:rsid w:val="00477FFE"/>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866"/>
    <w:rsid w:val="004A0AF4"/>
    <w:rsid w:val="004A0FC9"/>
    <w:rsid w:val="004A5537"/>
    <w:rsid w:val="004A6A98"/>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DB"/>
    <w:rsid w:val="004C7CE0"/>
    <w:rsid w:val="004D03A1"/>
    <w:rsid w:val="004D071D"/>
    <w:rsid w:val="004D0F1C"/>
    <w:rsid w:val="004D149B"/>
    <w:rsid w:val="004D1E49"/>
    <w:rsid w:val="004D1E7D"/>
    <w:rsid w:val="004D2D75"/>
    <w:rsid w:val="004D5F1F"/>
    <w:rsid w:val="004D6932"/>
    <w:rsid w:val="004D6AB7"/>
    <w:rsid w:val="004D6BE8"/>
    <w:rsid w:val="004D7188"/>
    <w:rsid w:val="004D7AC1"/>
    <w:rsid w:val="004E0097"/>
    <w:rsid w:val="004E0209"/>
    <w:rsid w:val="004E040B"/>
    <w:rsid w:val="004E19B8"/>
    <w:rsid w:val="004E2A0B"/>
    <w:rsid w:val="004E4538"/>
    <w:rsid w:val="004E46DF"/>
    <w:rsid w:val="004E4B5B"/>
    <w:rsid w:val="004E5638"/>
    <w:rsid w:val="004E615F"/>
    <w:rsid w:val="004E66C3"/>
    <w:rsid w:val="004E6AC0"/>
    <w:rsid w:val="004E7E34"/>
    <w:rsid w:val="004F05D3"/>
    <w:rsid w:val="004F0CB7"/>
    <w:rsid w:val="004F1730"/>
    <w:rsid w:val="004F3535"/>
    <w:rsid w:val="004F4564"/>
    <w:rsid w:val="004F4BBB"/>
    <w:rsid w:val="004F504A"/>
    <w:rsid w:val="004F5A90"/>
    <w:rsid w:val="004F74F8"/>
    <w:rsid w:val="005004EC"/>
    <w:rsid w:val="00500824"/>
    <w:rsid w:val="0050128F"/>
    <w:rsid w:val="00501E52"/>
    <w:rsid w:val="005023E3"/>
    <w:rsid w:val="00502907"/>
    <w:rsid w:val="00503796"/>
    <w:rsid w:val="00503BF1"/>
    <w:rsid w:val="00503E70"/>
    <w:rsid w:val="00504958"/>
    <w:rsid w:val="00504AA2"/>
    <w:rsid w:val="00505468"/>
    <w:rsid w:val="0050600D"/>
    <w:rsid w:val="005065EB"/>
    <w:rsid w:val="00506863"/>
    <w:rsid w:val="005072B6"/>
    <w:rsid w:val="00507500"/>
    <w:rsid w:val="0050752C"/>
    <w:rsid w:val="00507B1D"/>
    <w:rsid w:val="0051035D"/>
    <w:rsid w:val="00512107"/>
    <w:rsid w:val="00512749"/>
    <w:rsid w:val="00513528"/>
    <w:rsid w:val="005155B3"/>
    <w:rsid w:val="0051588E"/>
    <w:rsid w:val="00516357"/>
    <w:rsid w:val="00517ED6"/>
    <w:rsid w:val="00520B8C"/>
    <w:rsid w:val="0052151C"/>
    <w:rsid w:val="00522A49"/>
    <w:rsid w:val="00522BE3"/>
    <w:rsid w:val="005235B6"/>
    <w:rsid w:val="005243B4"/>
    <w:rsid w:val="00527489"/>
    <w:rsid w:val="00527BB3"/>
    <w:rsid w:val="00531734"/>
    <w:rsid w:val="0053254A"/>
    <w:rsid w:val="0053382C"/>
    <w:rsid w:val="0053566B"/>
    <w:rsid w:val="00535EBE"/>
    <w:rsid w:val="00535EEA"/>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113F"/>
    <w:rsid w:val="00582823"/>
    <w:rsid w:val="00583212"/>
    <w:rsid w:val="00585410"/>
    <w:rsid w:val="00585D8F"/>
    <w:rsid w:val="00586072"/>
    <w:rsid w:val="0058644C"/>
    <w:rsid w:val="005868C2"/>
    <w:rsid w:val="00587F10"/>
    <w:rsid w:val="00591351"/>
    <w:rsid w:val="00591B84"/>
    <w:rsid w:val="00596243"/>
    <w:rsid w:val="00596413"/>
    <w:rsid w:val="00596B6A"/>
    <w:rsid w:val="005A16CF"/>
    <w:rsid w:val="005A1A3D"/>
    <w:rsid w:val="005A23DB"/>
    <w:rsid w:val="005A2BB7"/>
    <w:rsid w:val="005A2ECA"/>
    <w:rsid w:val="005A34F2"/>
    <w:rsid w:val="005A4504"/>
    <w:rsid w:val="005A6BC3"/>
    <w:rsid w:val="005B151D"/>
    <w:rsid w:val="005B2B4E"/>
    <w:rsid w:val="005B2BA0"/>
    <w:rsid w:val="005B31EA"/>
    <w:rsid w:val="005B34A6"/>
    <w:rsid w:val="005B39DD"/>
    <w:rsid w:val="005B4ABD"/>
    <w:rsid w:val="005B53A0"/>
    <w:rsid w:val="005B55BC"/>
    <w:rsid w:val="005B55FB"/>
    <w:rsid w:val="005B6C67"/>
    <w:rsid w:val="005B727A"/>
    <w:rsid w:val="005C0CBC"/>
    <w:rsid w:val="005C3DCC"/>
    <w:rsid w:val="005C4204"/>
    <w:rsid w:val="005C45E7"/>
    <w:rsid w:val="005C5357"/>
    <w:rsid w:val="005C6187"/>
    <w:rsid w:val="005C6389"/>
    <w:rsid w:val="005C6823"/>
    <w:rsid w:val="005C6E9D"/>
    <w:rsid w:val="005D0C43"/>
    <w:rsid w:val="005D126D"/>
    <w:rsid w:val="005D1461"/>
    <w:rsid w:val="005D2805"/>
    <w:rsid w:val="005D33B5"/>
    <w:rsid w:val="005D397D"/>
    <w:rsid w:val="005D3F28"/>
    <w:rsid w:val="005D5C6E"/>
    <w:rsid w:val="005D6240"/>
    <w:rsid w:val="005D6BF5"/>
    <w:rsid w:val="005D74B0"/>
    <w:rsid w:val="005D7951"/>
    <w:rsid w:val="005E0179"/>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2C5"/>
    <w:rsid w:val="005F695C"/>
    <w:rsid w:val="005F71B8"/>
    <w:rsid w:val="005F7C51"/>
    <w:rsid w:val="00600A10"/>
    <w:rsid w:val="00600C3B"/>
    <w:rsid w:val="00601ED3"/>
    <w:rsid w:val="006036D9"/>
    <w:rsid w:val="00603D6E"/>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DDE"/>
    <w:rsid w:val="00624F1A"/>
    <w:rsid w:val="006254B0"/>
    <w:rsid w:val="00625C33"/>
    <w:rsid w:val="00626D26"/>
    <w:rsid w:val="00626E5B"/>
    <w:rsid w:val="00627964"/>
    <w:rsid w:val="00630058"/>
    <w:rsid w:val="006302F7"/>
    <w:rsid w:val="00631D8F"/>
    <w:rsid w:val="00631EB7"/>
    <w:rsid w:val="00632982"/>
    <w:rsid w:val="00633A8F"/>
    <w:rsid w:val="006346CB"/>
    <w:rsid w:val="00635200"/>
    <w:rsid w:val="006362D2"/>
    <w:rsid w:val="00636633"/>
    <w:rsid w:val="00637017"/>
    <w:rsid w:val="006372B9"/>
    <w:rsid w:val="006374C2"/>
    <w:rsid w:val="00637D47"/>
    <w:rsid w:val="006416FF"/>
    <w:rsid w:val="0064319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426"/>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5ED3"/>
    <w:rsid w:val="006976B8"/>
    <w:rsid w:val="00697AF5"/>
    <w:rsid w:val="006A3117"/>
    <w:rsid w:val="006A3A0E"/>
    <w:rsid w:val="006A3EB3"/>
    <w:rsid w:val="006A4F60"/>
    <w:rsid w:val="006A503E"/>
    <w:rsid w:val="006A59BC"/>
    <w:rsid w:val="006A67EB"/>
    <w:rsid w:val="006A6A83"/>
    <w:rsid w:val="006A7A77"/>
    <w:rsid w:val="006A7F86"/>
    <w:rsid w:val="006B0EC5"/>
    <w:rsid w:val="006C0178"/>
    <w:rsid w:val="006C063A"/>
    <w:rsid w:val="006C1785"/>
    <w:rsid w:val="006C1FA8"/>
    <w:rsid w:val="006C2C97"/>
    <w:rsid w:val="006C3C41"/>
    <w:rsid w:val="006C419C"/>
    <w:rsid w:val="006C483F"/>
    <w:rsid w:val="006C4FDD"/>
    <w:rsid w:val="006C5695"/>
    <w:rsid w:val="006D3213"/>
    <w:rsid w:val="006D3377"/>
    <w:rsid w:val="006D3E5E"/>
    <w:rsid w:val="006D4C00"/>
    <w:rsid w:val="006D5362"/>
    <w:rsid w:val="006D59FD"/>
    <w:rsid w:val="006D6DCA"/>
    <w:rsid w:val="006D7048"/>
    <w:rsid w:val="006E181A"/>
    <w:rsid w:val="006E21CA"/>
    <w:rsid w:val="006E254D"/>
    <w:rsid w:val="006E2A5A"/>
    <w:rsid w:val="006E2D44"/>
    <w:rsid w:val="006E3494"/>
    <w:rsid w:val="006E47CA"/>
    <w:rsid w:val="006E50C1"/>
    <w:rsid w:val="006E753D"/>
    <w:rsid w:val="006F1015"/>
    <w:rsid w:val="006F14CD"/>
    <w:rsid w:val="006F36A8"/>
    <w:rsid w:val="006F3DD4"/>
    <w:rsid w:val="006F6E4C"/>
    <w:rsid w:val="006F7ED7"/>
    <w:rsid w:val="00700354"/>
    <w:rsid w:val="007027DC"/>
    <w:rsid w:val="00702CA2"/>
    <w:rsid w:val="00703C51"/>
    <w:rsid w:val="007045BD"/>
    <w:rsid w:val="00706960"/>
    <w:rsid w:val="007073E5"/>
    <w:rsid w:val="007113EB"/>
    <w:rsid w:val="00711472"/>
    <w:rsid w:val="00711E05"/>
    <w:rsid w:val="007121E9"/>
    <w:rsid w:val="00714DE0"/>
    <w:rsid w:val="007164A7"/>
    <w:rsid w:val="00716DFF"/>
    <w:rsid w:val="00720C99"/>
    <w:rsid w:val="00721A60"/>
    <w:rsid w:val="007220CF"/>
    <w:rsid w:val="00723821"/>
    <w:rsid w:val="00724942"/>
    <w:rsid w:val="00726D91"/>
    <w:rsid w:val="00727341"/>
    <w:rsid w:val="00727E1D"/>
    <w:rsid w:val="00734730"/>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91E"/>
    <w:rsid w:val="00762C0B"/>
    <w:rsid w:val="00763C7C"/>
    <w:rsid w:val="00766B1A"/>
    <w:rsid w:val="00766DFE"/>
    <w:rsid w:val="00772027"/>
    <w:rsid w:val="0077249C"/>
    <w:rsid w:val="0077584D"/>
    <w:rsid w:val="0077797F"/>
    <w:rsid w:val="00780B30"/>
    <w:rsid w:val="0078313D"/>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95DBB"/>
    <w:rsid w:val="007A098E"/>
    <w:rsid w:val="007A149D"/>
    <w:rsid w:val="007A2D81"/>
    <w:rsid w:val="007A3113"/>
    <w:rsid w:val="007A5765"/>
    <w:rsid w:val="007A5B89"/>
    <w:rsid w:val="007A6DF6"/>
    <w:rsid w:val="007A77FC"/>
    <w:rsid w:val="007B058E"/>
    <w:rsid w:val="007B0864"/>
    <w:rsid w:val="007B0E05"/>
    <w:rsid w:val="007B2BDF"/>
    <w:rsid w:val="007B5DB4"/>
    <w:rsid w:val="007B6D1D"/>
    <w:rsid w:val="007C0795"/>
    <w:rsid w:val="007C13AC"/>
    <w:rsid w:val="007C14AD"/>
    <w:rsid w:val="007C272E"/>
    <w:rsid w:val="007C4DAB"/>
    <w:rsid w:val="007C681F"/>
    <w:rsid w:val="007C6C61"/>
    <w:rsid w:val="007D083C"/>
    <w:rsid w:val="007D08BB"/>
    <w:rsid w:val="007D09C8"/>
    <w:rsid w:val="007D0F8E"/>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4B6"/>
    <w:rsid w:val="008077DC"/>
    <w:rsid w:val="00807B3A"/>
    <w:rsid w:val="0081078F"/>
    <w:rsid w:val="008117FD"/>
    <w:rsid w:val="00811940"/>
    <w:rsid w:val="00812782"/>
    <w:rsid w:val="008138C1"/>
    <w:rsid w:val="008143CA"/>
    <w:rsid w:val="0081504E"/>
    <w:rsid w:val="00815DA5"/>
    <w:rsid w:val="00815ED0"/>
    <w:rsid w:val="00816255"/>
    <w:rsid w:val="00816B48"/>
    <w:rsid w:val="00816D7F"/>
    <w:rsid w:val="008204A2"/>
    <w:rsid w:val="008208CB"/>
    <w:rsid w:val="00820B60"/>
    <w:rsid w:val="00821363"/>
    <w:rsid w:val="00822070"/>
    <w:rsid w:val="00822142"/>
    <w:rsid w:val="00822EA3"/>
    <w:rsid w:val="00823EB1"/>
    <w:rsid w:val="0082437A"/>
    <w:rsid w:val="00825FED"/>
    <w:rsid w:val="00826F59"/>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FF2"/>
    <w:rsid w:val="0088012D"/>
    <w:rsid w:val="00880225"/>
    <w:rsid w:val="00880858"/>
    <w:rsid w:val="00881C47"/>
    <w:rsid w:val="008831D9"/>
    <w:rsid w:val="00883E1F"/>
    <w:rsid w:val="00884237"/>
    <w:rsid w:val="00884409"/>
    <w:rsid w:val="0088663D"/>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3DB1"/>
    <w:rsid w:val="008D4957"/>
    <w:rsid w:val="008D668D"/>
    <w:rsid w:val="008D71CE"/>
    <w:rsid w:val="008E0E94"/>
    <w:rsid w:val="008E1234"/>
    <w:rsid w:val="008E197A"/>
    <w:rsid w:val="008E235C"/>
    <w:rsid w:val="008E444B"/>
    <w:rsid w:val="008E5787"/>
    <w:rsid w:val="008E7204"/>
    <w:rsid w:val="008F039B"/>
    <w:rsid w:val="008F1B52"/>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1737A"/>
    <w:rsid w:val="00917E1B"/>
    <w:rsid w:val="00920771"/>
    <w:rsid w:val="00920C8A"/>
    <w:rsid w:val="00921E02"/>
    <w:rsid w:val="009225A7"/>
    <w:rsid w:val="009235F0"/>
    <w:rsid w:val="00924D61"/>
    <w:rsid w:val="009278D5"/>
    <w:rsid w:val="00927BE9"/>
    <w:rsid w:val="00927FEB"/>
    <w:rsid w:val="00932F94"/>
    <w:rsid w:val="00934BB2"/>
    <w:rsid w:val="009362D1"/>
    <w:rsid w:val="00936800"/>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0B71"/>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628"/>
    <w:rsid w:val="00972E97"/>
    <w:rsid w:val="00973614"/>
    <w:rsid w:val="00973CC2"/>
    <w:rsid w:val="009742AB"/>
    <w:rsid w:val="009749B1"/>
    <w:rsid w:val="0097724C"/>
    <w:rsid w:val="00980866"/>
    <w:rsid w:val="00980D24"/>
    <w:rsid w:val="00981D58"/>
    <w:rsid w:val="00982037"/>
    <w:rsid w:val="009824DF"/>
    <w:rsid w:val="00982F0D"/>
    <w:rsid w:val="0098358E"/>
    <w:rsid w:val="0098405A"/>
    <w:rsid w:val="0098426F"/>
    <w:rsid w:val="009877D2"/>
    <w:rsid w:val="00987845"/>
    <w:rsid w:val="00991A93"/>
    <w:rsid w:val="009948C1"/>
    <w:rsid w:val="00996772"/>
    <w:rsid w:val="00996A7B"/>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B6CE6"/>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9C9"/>
    <w:rsid w:val="009E3CFD"/>
    <w:rsid w:val="009E48CC"/>
    <w:rsid w:val="009E5870"/>
    <w:rsid w:val="009F00EE"/>
    <w:rsid w:val="009F08F6"/>
    <w:rsid w:val="009F0CDB"/>
    <w:rsid w:val="009F39CB"/>
    <w:rsid w:val="009F3F07"/>
    <w:rsid w:val="00A00BFA"/>
    <w:rsid w:val="00A00EE5"/>
    <w:rsid w:val="00A03E68"/>
    <w:rsid w:val="00A049E2"/>
    <w:rsid w:val="00A06AE1"/>
    <w:rsid w:val="00A070C0"/>
    <w:rsid w:val="00A077D4"/>
    <w:rsid w:val="00A13337"/>
    <w:rsid w:val="00A1344B"/>
    <w:rsid w:val="00A13519"/>
    <w:rsid w:val="00A13908"/>
    <w:rsid w:val="00A170C6"/>
    <w:rsid w:val="00A17B98"/>
    <w:rsid w:val="00A20076"/>
    <w:rsid w:val="00A219E7"/>
    <w:rsid w:val="00A2290B"/>
    <w:rsid w:val="00A229E4"/>
    <w:rsid w:val="00A23AC0"/>
    <w:rsid w:val="00A2417A"/>
    <w:rsid w:val="00A246C2"/>
    <w:rsid w:val="00A256BB"/>
    <w:rsid w:val="00A25822"/>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893"/>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CBF"/>
    <w:rsid w:val="00A74E09"/>
    <w:rsid w:val="00A75655"/>
    <w:rsid w:val="00A75807"/>
    <w:rsid w:val="00A809AC"/>
    <w:rsid w:val="00A80E2F"/>
    <w:rsid w:val="00A81018"/>
    <w:rsid w:val="00A841CC"/>
    <w:rsid w:val="00A844CE"/>
    <w:rsid w:val="00A84FE2"/>
    <w:rsid w:val="00A86499"/>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CDD"/>
    <w:rsid w:val="00AA3F98"/>
    <w:rsid w:val="00AA486A"/>
    <w:rsid w:val="00AA53B0"/>
    <w:rsid w:val="00AA63A9"/>
    <w:rsid w:val="00AA6F19"/>
    <w:rsid w:val="00AA7E07"/>
    <w:rsid w:val="00AB0B3D"/>
    <w:rsid w:val="00AB0FBA"/>
    <w:rsid w:val="00AB1112"/>
    <w:rsid w:val="00AB1607"/>
    <w:rsid w:val="00AB17F6"/>
    <w:rsid w:val="00AB4292"/>
    <w:rsid w:val="00AB4E03"/>
    <w:rsid w:val="00AB5C47"/>
    <w:rsid w:val="00AC0237"/>
    <w:rsid w:val="00AC14B8"/>
    <w:rsid w:val="00AC1B7C"/>
    <w:rsid w:val="00AC1E3E"/>
    <w:rsid w:val="00AC3A4B"/>
    <w:rsid w:val="00AC3A66"/>
    <w:rsid w:val="00AC3BF9"/>
    <w:rsid w:val="00AC4CE3"/>
    <w:rsid w:val="00AC60C2"/>
    <w:rsid w:val="00AC76C6"/>
    <w:rsid w:val="00AC76FD"/>
    <w:rsid w:val="00AD268D"/>
    <w:rsid w:val="00AD3749"/>
    <w:rsid w:val="00AD3F85"/>
    <w:rsid w:val="00AD61BB"/>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0CDD"/>
    <w:rsid w:val="00B02952"/>
    <w:rsid w:val="00B03DB7"/>
    <w:rsid w:val="00B04957"/>
    <w:rsid w:val="00B04CB8"/>
    <w:rsid w:val="00B05405"/>
    <w:rsid w:val="00B05435"/>
    <w:rsid w:val="00B05658"/>
    <w:rsid w:val="00B05C4E"/>
    <w:rsid w:val="00B06EEC"/>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4162"/>
    <w:rsid w:val="00B24807"/>
    <w:rsid w:val="00B26572"/>
    <w:rsid w:val="00B2692B"/>
    <w:rsid w:val="00B2718B"/>
    <w:rsid w:val="00B3040A"/>
    <w:rsid w:val="00B32D23"/>
    <w:rsid w:val="00B348D8"/>
    <w:rsid w:val="00B350FD"/>
    <w:rsid w:val="00B35ECD"/>
    <w:rsid w:val="00B400C2"/>
    <w:rsid w:val="00B40221"/>
    <w:rsid w:val="00B40468"/>
    <w:rsid w:val="00B419E5"/>
    <w:rsid w:val="00B41ADF"/>
    <w:rsid w:val="00B41C74"/>
    <w:rsid w:val="00B41FC5"/>
    <w:rsid w:val="00B422A1"/>
    <w:rsid w:val="00B447D8"/>
    <w:rsid w:val="00B449EF"/>
    <w:rsid w:val="00B45A5E"/>
    <w:rsid w:val="00B45FC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4F2F"/>
    <w:rsid w:val="00B753D1"/>
    <w:rsid w:val="00B77BB8"/>
    <w:rsid w:val="00B80779"/>
    <w:rsid w:val="00B81146"/>
    <w:rsid w:val="00B8242B"/>
    <w:rsid w:val="00B83455"/>
    <w:rsid w:val="00B844E8"/>
    <w:rsid w:val="00B84D0E"/>
    <w:rsid w:val="00B8559C"/>
    <w:rsid w:val="00B86E78"/>
    <w:rsid w:val="00B905D1"/>
    <w:rsid w:val="00B92315"/>
    <w:rsid w:val="00B9272C"/>
    <w:rsid w:val="00B936F0"/>
    <w:rsid w:val="00B94B98"/>
    <w:rsid w:val="00B94CAC"/>
    <w:rsid w:val="00B96C04"/>
    <w:rsid w:val="00BA06B3"/>
    <w:rsid w:val="00BA32BA"/>
    <w:rsid w:val="00BA32CA"/>
    <w:rsid w:val="00BA3F61"/>
    <w:rsid w:val="00BA477A"/>
    <w:rsid w:val="00BA6C7C"/>
    <w:rsid w:val="00BA7016"/>
    <w:rsid w:val="00BA787B"/>
    <w:rsid w:val="00BB20F2"/>
    <w:rsid w:val="00BB41B1"/>
    <w:rsid w:val="00BB46AE"/>
    <w:rsid w:val="00BB5178"/>
    <w:rsid w:val="00BB67AE"/>
    <w:rsid w:val="00BB7074"/>
    <w:rsid w:val="00BB728B"/>
    <w:rsid w:val="00BB7702"/>
    <w:rsid w:val="00BB7718"/>
    <w:rsid w:val="00BC01D1"/>
    <w:rsid w:val="00BC049F"/>
    <w:rsid w:val="00BC3609"/>
    <w:rsid w:val="00BC465F"/>
    <w:rsid w:val="00BC5869"/>
    <w:rsid w:val="00BC62F7"/>
    <w:rsid w:val="00BC6B01"/>
    <w:rsid w:val="00BC757F"/>
    <w:rsid w:val="00BD003A"/>
    <w:rsid w:val="00BD0800"/>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D9D"/>
    <w:rsid w:val="00BF2436"/>
    <w:rsid w:val="00BF2F67"/>
    <w:rsid w:val="00BF321B"/>
    <w:rsid w:val="00BF36A4"/>
    <w:rsid w:val="00BF3773"/>
    <w:rsid w:val="00BF3E14"/>
    <w:rsid w:val="00BF4644"/>
    <w:rsid w:val="00BF5324"/>
    <w:rsid w:val="00BF6269"/>
    <w:rsid w:val="00BF63AA"/>
    <w:rsid w:val="00C00D18"/>
    <w:rsid w:val="00C03B8D"/>
    <w:rsid w:val="00C0428C"/>
    <w:rsid w:val="00C04532"/>
    <w:rsid w:val="00C06BD0"/>
    <w:rsid w:val="00C06D1A"/>
    <w:rsid w:val="00C078F3"/>
    <w:rsid w:val="00C102AA"/>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4EE"/>
    <w:rsid w:val="00C60A9B"/>
    <w:rsid w:val="00C60F8E"/>
    <w:rsid w:val="00C6108B"/>
    <w:rsid w:val="00C62F58"/>
    <w:rsid w:val="00C633AB"/>
    <w:rsid w:val="00C6522B"/>
    <w:rsid w:val="00C66B2F"/>
    <w:rsid w:val="00C710D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282F"/>
    <w:rsid w:val="00C83608"/>
    <w:rsid w:val="00C8466E"/>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35FC"/>
    <w:rsid w:val="00CA569D"/>
    <w:rsid w:val="00CA6689"/>
    <w:rsid w:val="00CA7E6D"/>
    <w:rsid w:val="00CB147A"/>
    <w:rsid w:val="00CB285C"/>
    <w:rsid w:val="00CB2C85"/>
    <w:rsid w:val="00CB6234"/>
    <w:rsid w:val="00CB62CB"/>
    <w:rsid w:val="00CB7A46"/>
    <w:rsid w:val="00CB7E07"/>
    <w:rsid w:val="00CC251D"/>
    <w:rsid w:val="00CC3806"/>
    <w:rsid w:val="00CC4281"/>
    <w:rsid w:val="00CC59D7"/>
    <w:rsid w:val="00CC648A"/>
    <w:rsid w:val="00CC76CE"/>
    <w:rsid w:val="00CD0767"/>
    <w:rsid w:val="00CD0910"/>
    <w:rsid w:val="00CD0ABD"/>
    <w:rsid w:val="00CD259C"/>
    <w:rsid w:val="00CD4A93"/>
    <w:rsid w:val="00CD6F45"/>
    <w:rsid w:val="00CE09AE"/>
    <w:rsid w:val="00CE136C"/>
    <w:rsid w:val="00CE3B09"/>
    <w:rsid w:val="00CE3DDC"/>
    <w:rsid w:val="00CE3F65"/>
    <w:rsid w:val="00CE3FFA"/>
    <w:rsid w:val="00CE48B4"/>
    <w:rsid w:val="00CE4BAA"/>
    <w:rsid w:val="00CE52CD"/>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45AC"/>
    <w:rsid w:val="00D152E1"/>
    <w:rsid w:val="00D15DEC"/>
    <w:rsid w:val="00D17833"/>
    <w:rsid w:val="00D202C0"/>
    <w:rsid w:val="00D22352"/>
    <w:rsid w:val="00D239A0"/>
    <w:rsid w:val="00D24D7D"/>
    <w:rsid w:val="00D2694A"/>
    <w:rsid w:val="00D277CF"/>
    <w:rsid w:val="00D27EDE"/>
    <w:rsid w:val="00D30761"/>
    <w:rsid w:val="00D307A6"/>
    <w:rsid w:val="00D312F2"/>
    <w:rsid w:val="00D3254D"/>
    <w:rsid w:val="00D33C85"/>
    <w:rsid w:val="00D36C35"/>
    <w:rsid w:val="00D4106A"/>
    <w:rsid w:val="00D41C47"/>
    <w:rsid w:val="00D42073"/>
    <w:rsid w:val="00D43767"/>
    <w:rsid w:val="00D472B8"/>
    <w:rsid w:val="00D50C35"/>
    <w:rsid w:val="00D518B2"/>
    <w:rsid w:val="00D51ABF"/>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3068"/>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5493"/>
    <w:rsid w:val="00DA63CC"/>
    <w:rsid w:val="00DA7631"/>
    <w:rsid w:val="00DA7A97"/>
    <w:rsid w:val="00DA7F0D"/>
    <w:rsid w:val="00DB222D"/>
    <w:rsid w:val="00DB4791"/>
    <w:rsid w:val="00DB4DB4"/>
    <w:rsid w:val="00DB5542"/>
    <w:rsid w:val="00DB5AD9"/>
    <w:rsid w:val="00DB68BE"/>
    <w:rsid w:val="00DB6AF7"/>
    <w:rsid w:val="00DB6B0C"/>
    <w:rsid w:val="00DB7227"/>
    <w:rsid w:val="00DB7D1B"/>
    <w:rsid w:val="00DC0CA2"/>
    <w:rsid w:val="00DC176F"/>
    <w:rsid w:val="00DC1C04"/>
    <w:rsid w:val="00DC2192"/>
    <w:rsid w:val="00DC2B1D"/>
    <w:rsid w:val="00DC40E8"/>
    <w:rsid w:val="00DC7028"/>
    <w:rsid w:val="00DC77AA"/>
    <w:rsid w:val="00DC7A49"/>
    <w:rsid w:val="00DD0980"/>
    <w:rsid w:val="00DD2F07"/>
    <w:rsid w:val="00DD32A6"/>
    <w:rsid w:val="00DD369B"/>
    <w:rsid w:val="00DD3AE9"/>
    <w:rsid w:val="00DD3BD5"/>
    <w:rsid w:val="00DD4535"/>
    <w:rsid w:val="00DD6295"/>
    <w:rsid w:val="00DD64AA"/>
    <w:rsid w:val="00DD6EB7"/>
    <w:rsid w:val="00DD70FA"/>
    <w:rsid w:val="00DE2E19"/>
    <w:rsid w:val="00DE3143"/>
    <w:rsid w:val="00DE35F8"/>
    <w:rsid w:val="00DE385C"/>
    <w:rsid w:val="00DE584F"/>
    <w:rsid w:val="00DE6B23"/>
    <w:rsid w:val="00DE6B30"/>
    <w:rsid w:val="00DE710B"/>
    <w:rsid w:val="00DE724B"/>
    <w:rsid w:val="00DE780F"/>
    <w:rsid w:val="00DF15D7"/>
    <w:rsid w:val="00DF3527"/>
    <w:rsid w:val="00DF3E12"/>
    <w:rsid w:val="00DF69A3"/>
    <w:rsid w:val="00DF6CC2"/>
    <w:rsid w:val="00E00367"/>
    <w:rsid w:val="00E006CB"/>
    <w:rsid w:val="00E006E4"/>
    <w:rsid w:val="00E02800"/>
    <w:rsid w:val="00E02AAD"/>
    <w:rsid w:val="00E02D4E"/>
    <w:rsid w:val="00E03A4B"/>
    <w:rsid w:val="00E03C85"/>
    <w:rsid w:val="00E04621"/>
    <w:rsid w:val="00E051FD"/>
    <w:rsid w:val="00E0769B"/>
    <w:rsid w:val="00E07E4A"/>
    <w:rsid w:val="00E10812"/>
    <w:rsid w:val="00E11083"/>
    <w:rsid w:val="00E11463"/>
    <w:rsid w:val="00E11C34"/>
    <w:rsid w:val="00E13AD0"/>
    <w:rsid w:val="00E14AFB"/>
    <w:rsid w:val="00E16539"/>
    <w:rsid w:val="00E16650"/>
    <w:rsid w:val="00E17492"/>
    <w:rsid w:val="00E20D41"/>
    <w:rsid w:val="00E21A5A"/>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73A"/>
    <w:rsid w:val="00E46D15"/>
    <w:rsid w:val="00E5395F"/>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EC8"/>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B71"/>
    <w:rsid w:val="00EB41AE"/>
    <w:rsid w:val="00EB5ADB"/>
    <w:rsid w:val="00EB5D6D"/>
    <w:rsid w:val="00EB6218"/>
    <w:rsid w:val="00EB69EF"/>
    <w:rsid w:val="00EB7706"/>
    <w:rsid w:val="00EB780F"/>
    <w:rsid w:val="00EB7F6F"/>
    <w:rsid w:val="00EC08AE"/>
    <w:rsid w:val="00EC220A"/>
    <w:rsid w:val="00EC4F39"/>
    <w:rsid w:val="00EC5043"/>
    <w:rsid w:val="00EC535E"/>
    <w:rsid w:val="00EC6020"/>
    <w:rsid w:val="00EC6022"/>
    <w:rsid w:val="00EC70E0"/>
    <w:rsid w:val="00EC7772"/>
    <w:rsid w:val="00EC79C5"/>
    <w:rsid w:val="00ED2F4C"/>
    <w:rsid w:val="00ED3E1B"/>
    <w:rsid w:val="00ED52FE"/>
    <w:rsid w:val="00ED5F52"/>
    <w:rsid w:val="00ED6892"/>
    <w:rsid w:val="00ED6FC5"/>
    <w:rsid w:val="00EE13AE"/>
    <w:rsid w:val="00EE1F12"/>
    <w:rsid w:val="00EE22E2"/>
    <w:rsid w:val="00EE25EA"/>
    <w:rsid w:val="00EE276D"/>
    <w:rsid w:val="00EE2AF3"/>
    <w:rsid w:val="00EE34B6"/>
    <w:rsid w:val="00EE55B2"/>
    <w:rsid w:val="00EE6B3C"/>
    <w:rsid w:val="00EE7DA9"/>
    <w:rsid w:val="00EF214A"/>
    <w:rsid w:val="00EF34D3"/>
    <w:rsid w:val="00EF38CF"/>
    <w:rsid w:val="00EF3C89"/>
    <w:rsid w:val="00EF51EA"/>
    <w:rsid w:val="00EF689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2FA9"/>
    <w:rsid w:val="00F33998"/>
    <w:rsid w:val="00F342FD"/>
    <w:rsid w:val="00F34644"/>
    <w:rsid w:val="00F34E9E"/>
    <w:rsid w:val="00F36D46"/>
    <w:rsid w:val="00F36DC0"/>
    <w:rsid w:val="00F37ECD"/>
    <w:rsid w:val="00F400A1"/>
    <w:rsid w:val="00F41684"/>
    <w:rsid w:val="00F418ED"/>
    <w:rsid w:val="00F41B1A"/>
    <w:rsid w:val="00F42EFD"/>
    <w:rsid w:val="00F4373A"/>
    <w:rsid w:val="00F444EC"/>
    <w:rsid w:val="00F44755"/>
    <w:rsid w:val="00F451CD"/>
    <w:rsid w:val="00F455E0"/>
    <w:rsid w:val="00F45822"/>
    <w:rsid w:val="00F45E7C"/>
    <w:rsid w:val="00F51EF4"/>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99F"/>
    <w:rsid w:val="00F72A19"/>
    <w:rsid w:val="00F73385"/>
    <w:rsid w:val="00F7677E"/>
    <w:rsid w:val="00F76F3C"/>
    <w:rsid w:val="00F808C5"/>
    <w:rsid w:val="00F81D0E"/>
    <w:rsid w:val="00F832E1"/>
    <w:rsid w:val="00F83C25"/>
    <w:rsid w:val="00F85369"/>
    <w:rsid w:val="00F858DD"/>
    <w:rsid w:val="00F85BE4"/>
    <w:rsid w:val="00F86B51"/>
    <w:rsid w:val="00F93DC9"/>
    <w:rsid w:val="00F94872"/>
    <w:rsid w:val="00F9547F"/>
    <w:rsid w:val="00F967E0"/>
    <w:rsid w:val="00F96A6A"/>
    <w:rsid w:val="00F97C20"/>
    <w:rsid w:val="00FA0362"/>
    <w:rsid w:val="00FA08AC"/>
    <w:rsid w:val="00FA156D"/>
    <w:rsid w:val="00FA43B6"/>
    <w:rsid w:val="00FA4C14"/>
    <w:rsid w:val="00FA5D88"/>
    <w:rsid w:val="00FA6D0A"/>
    <w:rsid w:val="00FA6E75"/>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365"/>
    <w:rsid w:val="00FC5CFA"/>
    <w:rsid w:val="00FC64E4"/>
    <w:rsid w:val="00FC65DD"/>
    <w:rsid w:val="00FD554D"/>
    <w:rsid w:val="00FD5B24"/>
    <w:rsid w:val="00FE04C8"/>
    <w:rsid w:val="00FE05E8"/>
    <w:rsid w:val="00FE1231"/>
    <w:rsid w:val="00FE30C5"/>
    <w:rsid w:val="00FE31E9"/>
    <w:rsid w:val="00FE362B"/>
    <w:rsid w:val="00FE3783"/>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Head1">
    <w:name w:val="Head 1"/>
    <w:basedOn w:val="Normal"/>
    <w:rsid w:val="000B6F6A"/>
    <w:pPr>
      <w:pageBreakBefore/>
      <w:numPr>
        <w:numId w:val="35"/>
      </w:numPr>
      <w:spacing w:before="240" w:after="240" w:line="220" w:lineRule="atLeast"/>
    </w:pPr>
    <w:rPr>
      <w:rFonts w:ascii="Arial" w:eastAsiaTheme="minorHAnsi" w:hAnsi="Arial" w:cs="Arial"/>
      <w:b/>
      <w:bCs/>
      <w:sz w:val="32"/>
      <w:szCs w:val="32"/>
      <w:lang w:val="en-US"/>
    </w:rPr>
  </w:style>
  <w:style w:type="paragraph" w:customStyle="1" w:styleId="Head2">
    <w:name w:val="Head 2"/>
    <w:basedOn w:val="Normal"/>
    <w:rsid w:val="000B6F6A"/>
    <w:pPr>
      <w:keepNext/>
      <w:numPr>
        <w:ilvl w:val="1"/>
        <w:numId w:val="35"/>
      </w:numPr>
      <w:spacing w:before="240" w:after="240" w:line="220" w:lineRule="atLeast"/>
    </w:pPr>
    <w:rPr>
      <w:rFonts w:ascii="Arial" w:eastAsiaTheme="minorHAnsi" w:hAnsi="Arial" w:cs="Arial"/>
      <w:b/>
      <w:bCs/>
      <w:sz w:val="28"/>
      <w:szCs w:val="28"/>
      <w:lang w:val="en-US"/>
    </w:rPr>
  </w:style>
  <w:style w:type="paragraph" w:customStyle="1" w:styleId="Head3">
    <w:name w:val="Head 3"/>
    <w:basedOn w:val="Normal"/>
    <w:rsid w:val="000B6F6A"/>
    <w:pPr>
      <w:keepNext/>
      <w:numPr>
        <w:ilvl w:val="2"/>
        <w:numId w:val="35"/>
      </w:numPr>
      <w:spacing w:before="240" w:after="240" w:line="220" w:lineRule="atLeast"/>
    </w:pPr>
    <w:rPr>
      <w:rFonts w:ascii="Arial" w:eastAsiaTheme="minorHAnsi" w:hAnsi="Arial" w:cs="Arial"/>
      <w:b/>
      <w:bCs/>
      <w:sz w:val="24"/>
      <w:szCs w:val="24"/>
      <w:lang w:val="en-US"/>
    </w:rPr>
  </w:style>
  <w:style w:type="paragraph" w:customStyle="1" w:styleId="Head4">
    <w:name w:val="Head 4"/>
    <w:basedOn w:val="Normal"/>
    <w:rsid w:val="000B6F6A"/>
    <w:pPr>
      <w:keepNext/>
      <w:numPr>
        <w:ilvl w:val="3"/>
        <w:numId w:val="35"/>
      </w:numPr>
      <w:spacing w:before="240" w:after="240" w:line="220" w:lineRule="atLeast"/>
    </w:pPr>
    <w:rPr>
      <w:rFonts w:ascii="Arial" w:eastAsiaTheme="minorHAnsi" w:hAnsi="Arial" w:cs="Arial"/>
      <w:b/>
      <w:bCs/>
      <w:sz w:val="20"/>
      <w:lang w:val="en-US"/>
    </w:rPr>
  </w:style>
  <w:style w:type="paragraph" w:customStyle="1" w:styleId="BodyBullet1">
    <w:name w:val="Body Bullet 1"/>
    <w:basedOn w:val="Normal"/>
    <w:uiPriority w:val="1"/>
    <w:rsid w:val="000B6F6A"/>
    <w:pPr>
      <w:numPr>
        <w:numId w:val="36"/>
      </w:numPr>
      <w:spacing w:after="120" w:line="220" w:lineRule="atLeast"/>
      <w:ind w:left="720"/>
      <w:contextualSpacing/>
    </w:pPr>
    <w:rPr>
      <w:rFonts w:ascii="Arial" w:eastAsiaTheme="minorHAnsi" w:hAnsi="Arial" w:cs="Arial"/>
      <w:sz w:val="20"/>
      <w:lang w:val="en-US"/>
    </w:rPr>
  </w:style>
  <w:style w:type="paragraph" w:customStyle="1" w:styleId="BodyBullet2">
    <w:name w:val="Body Bullet 2"/>
    <w:basedOn w:val="Normal"/>
    <w:uiPriority w:val="1"/>
    <w:rsid w:val="000B6F6A"/>
    <w:pPr>
      <w:numPr>
        <w:numId w:val="37"/>
      </w:numPr>
      <w:spacing w:after="120" w:line="220" w:lineRule="atLeast"/>
      <w:ind w:left="1080"/>
      <w:contextualSpacing/>
    </w:pPr>
    <w:rPr>
      <w:rFonts w:ascii="Arial" w:eastAsiaTheme="minorHAnsi" w:hAnsi="Arial" w:cs="Arial"/>
      <w:sz w:val="20"/>
      <w:lang w:val="en-US"/>
    </w:rPr>
  </w:style>
  <w:style w:type="numbering" w:customStyle="1" w:styleId="WFAHeadings">
    <w:name w:val="WFA Headings"/>
    <w:uiPriority w:val="99"/>
    <w:rsid w:val="000B6F6A"/>
    <w:pPr>
      <w:numPr>
        <w:numId w:val="35"/>
      </w:numPr>
    </w:pPr>
  </w:style>
  <w:style w:type="paragraph" w:customStyle="1" w:styleId="Code">
    <w:name w:val="Code"/>
    <w:uiPriority w:val="99"/>
    <w:rsid w:val="00D3254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81392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2200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0956977">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273763">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4637168">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42866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0269-E499-4E3C-884A-35968B20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802.11-19/0552r0</vt:lpstr>
    </vt:vector>
  </TitlesOfParts>
  <Company>Qualcomm Inc.</Company>
  <LinksUpToDate>false</LinksUpToDate>
  <CharactersWithSpaces>4092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802.11-19/0552r0</dc:title>
  <dc:subject>Submission</dc:subject>
  <dc:creator>appatil@qti.qualcomm.com</dc:creator>
  <cp:lastModifiedBy>Abhishek Patil</cp:lastModifiedBy>
  <cp:revision>29</cp:revision>
  <cp:lastPrinted>2010-05-04T03:47:00Z</cp:lastPrinted>
  <dcterms:created xsi:type="dcterms:W3CDTF">2019-05-05T01:12:00Z</dcterms:created>
  <dcterms:modified xsi:type="dcterms:W3CDTF">2019-07-12T07:16:00Z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