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rsidTr="00CE557F">
        <w:trPr>
          <w:trHeight w:val="485"/>
          <w:jc w:val="center"/>
        </w:trPr>
        <w:tc>
          <w:tcPr>
            <w:tcW w:w="9576" w:type="dxa"/>
            <w:gridSpan w:val="5"/>
            <w:vAlign w:val="center"/>
          </w:tcPr>
          <w:p w:rsidR="00CA09B2" w:rsidRDefault="00582B05" w:rsidP="00582B05">
            <w:pPr>
              <w:pStyle w:val="T2"/>
            </w:pPr>
            <w:r>
              <w:t>EDCA-</w:t>
            </w:r>
            <w:r w:rsidR="00B17B89" w:rsidRPr="00B17B89">
              <w:t>F</w:t>
            </w:r>
            <w:r>
              <w:t>TM Negotiation</w:t>
            </w:r>
            <w:r w:rsidR="00CE557F">
              <w:t>s</w:t>
            </w:r>
          </w:p>
        </w:tc>
      </w:tr>
      <w:tr w:rsidR="00CA09B2" w:rsidTr="00CE557F">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9F56CF">
              <w:rPr>
                <w:b w:val="0"/>
                <w:sz w:val="20"/>
              </w:rPr>
              <w:t>2019-06-28</w:t>
            </w:r>
          </w:p>
        </w:tc>
      </w:tr>
      <w:tr w:rsidR="00CA09B2" w:rsidTr="00CE557F">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E557F">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071" w:type="dxa"/>
            <w:vAlign w:val="center"/>
          </w:tcPr>
          <w:p w:rsidR="00CA09B2" w:rsidRDefault="00CA09B2">
            <w:pPr>
              <w:pStyle w:val="T2"/>
              <w:spacing w:after="0"/>
              <w:ind w:left="0" w:right="0"/>
              <w:jc w:val="left"/>
              <w:rPr>
                <w:sz w:val="20"/>
              </w:rPr>
            </w:pPr>
            <w:r>
              <w:rPr>
                <w:sz w:val="20"/>
              </w:rPr>
              <w:t>Phone</w:t>
            </w:r>
          </w:p>
        </w:tc>
        <w:tc>
          <w:tcPr>
            <w:tcW w:w="2291" w:type="dxa"/>
            <w:vAlign w:val="center"/>
          </w:tcPr>
          <w:p w:rsidR="00CA09B2" w:rsidRDefault="00B17B89">
            <w:pPr>
              <w:pStyle w:val="T2"/>
              <w:spacing w:after="0"/>
              <w:ind w:left="0" w:right="0"/>
              <w:jc w:val="left"/>
              <w:rPr>
                <w:sz w:val="20"/>
              </w:rPr>
            </w:pPr>
            <w:r>
              <w:rPr>
                <w:sz w:val="20"/>
              </w:rPr>
              <w:t>E</w:t>
            </w:r>
            <w:r w:rsidR="00CA09B2">
              <w:rPr>
                <w:sz w:val="20"/>
              </w:rPr>
              <w:t>mail</w:t>
            </w:r>
          </w:p>
        </w:tc>
      </w:tr>
      <w:tr w:rsidR="00CE557F" w:rsidTr="00CE557F">
        <w:trPr>
          <w:jc w:val="center"/>
        </w:trPr>
        <w:tc>
          <w:tcPr>
            <w:tcW w:w="1336" w:type="dxa"/>
            <w:vAlign w:val="center"/>
          </w:tcPr>
          <w:p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rsidR="00CE557F" w:rsidRDefault="00CE557F" w:rsidP="00CE557F">
            <w:pPr>
              <w:pStyle w:val="T2"/>
              <w:spacing w:after="0"/>
              <w:ind w:left="0" w:right="0"/>
              <w:rPr>
                <w:b w:val="0"/>
                <w:sz w:val="20"/>
              </w:rPr>
            </w:pPr>
          </w:p>
        </w:tc>
        <w:tc>
          <w:tcPr>
            <w:tcW w:w="1071" w:type="dxa"/>
            <w:vAlign w:val="center"/>
          </w:tcPr>
          <w:p w:rsidR="00CE557F" w:rsidRDefault="00CE557F" w:rsidP="00CE557F">
            <w:pPr>
              <w:pStyle w:val="T2"/>
              <w:spacing w:after="0"/>
              <w:ind w:left="0" w:right="0"/>
              <w:rPr>
                <w:b w:val="0"/>
                <w:sz w:val="20"/>
              </w:rPr>
            </w:pPr>
          </w:p>
        </w:tc>
        <w:tc>
          <w:tcPr>
            <w:tcW w:w="2291" w:type="dxa"/>
            <w:vAlign w:val="center"/>
          </w:tcPr>
          <w:p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r w:rsidR="00CE557F" w:rsidTr="00CE557F">
        <w:trPr>
          <w:jc w:val="center"/>
        </w:trPr>
        <w:tc>
          <w:tcPr>
            <w:tcW w:w="1336" w:type="dxa"/>
            <w:vAlign w:val="center"/>
          </w:tcPr>
          <w:p w:rsidR="00CE557F" w:rsidRDefault="00CE557F" w:rsidP="00CE557F">
            <w:pPr>
              <w:pStyle w:val="T2"/>
              <w:spacing w:after="0"/>
              <w:ind w:left="0" w:right="0"/>
              <w:rPr>
                <w:b w:val="0"/>
                <w:sz w:val="20"/>
              </w:rPr>
            </w:pPr>
          </w:p>
        </w:tc>
        <w:tc>
          <w:tcPr>
            <w:tcW w:w="2064" w:type="dxa"/>
            <w:vAlign w:val="center"/>
          </w:tcPr>
          <w:p w:rsidR="00CE557F" w:rsidRDefault="00CE557F" w:rsidP="00CE557F">
            <w:pPr>
              <w:pStyle w:val="T2"/>
              <w:spacing w:after="0"/>
              <w:ind w:left="0" w:right="0"/>
              <w:rPr>
                <w:b w:val="0"/>
                <w:sz w:val="20"/>
              </w:rPr>
            </w:pPr>
          </w:p>
        </w:tc>
        <w:tc>
          <w:tcPr>
            <w:tcW w:w="2814" w:type="dxa"/>
            <w:vAlign w:val="center"/>
          </w:tcPr>
          <w:p w:rsidR="00CE557F" w:rsidRDefault="00CE557F" w:rsidP="00CE557F">
            <w:pPr>
              <w:pStyle w:val="T2"/>
              <w:spacing w:after="0"/>
              <w:ind w:left="0" w:right="0"/>
              <w:rPr>
                <w:b w:val="0"/>
                <w:sz w:val="20"/>
              </w:rPr>
            </w:pPr>
          </w:p>
        </w:tc>
        <w:tc>
          <w:tcPr>
            <w:tcW w:w="1071" w:type="dxa"/>
            <w:vAlign w:val="center"/>
          </w:tcPr>
          <w:p w:rsidR="00CE557F" w:rsidRDefault="00CE557F" w:rsidP="00CE557F">
            <w:pPr>
              <w:pStyle w:val="T2"/>
              <w:spacing w:after="0"/>
              <w:ind w:left="0" w:right="0"/>
              <w:rPr>
                <w:b w:val="0"/>
                <w:sz w:val="20"/>
              </w:rPr>
            </w:pPr>
          </w:p>
        </w:tc>
        <w:tc>
          <w:tcPr>
            <w:tcW w:w="2291" w:type="dxa"/>
            <w:vAlign w:val="center"/>
          </w:tcPr>
          <w:p w:rsidR="00CE557F" w:rsidRDefault="00CE557F" w:rsidP="00CE557F">
            <w:pPr>
              <w:pStyle w:val="T2"/>
              <w:spacing w:after="0"/>
              <w:ind w:left="0" w:right="0"/>
              <w:rPr>
                <w:b w:val="0"/>
                <w:sz w:val="16"/>
              </w:rPr>
            </w:pPr>
          </w:p>
        </w:tc>
      </w:tr>
    </w:tbl>
    <w:p w:rsidR="00CA09B2" w:rsidRDefault="00405B98">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037216">
                            <w:pPr>
                              <w:jc w:val="both"/>
                            </w:pPr>
                            <w:r>
                              <w:t>This document proposes resolutions to c</w:t>
                            </w:r>
                            <w:r w:rsidR="00C51798">
                              <w:t>omments related to EDCA-</w:t>
                            </w:r>
                            <w:r w:rsidR="00C51798" w:rsidRPr="00B17B89">
                              <w:t>F</w:t>
                            </w:r>
                            <w:r w:rsidR="00C51798">
                              <w:t>TM</w:t>
                            </w:r>
                            <w:r>
                              <w:t>.</w:t>
                            </w:r>
                          </w:p>
                          <w:p w:rsidR="002C0ED1" w:rsidRDefault="002C0ED1">
                            <w:pPr>
                              <w:jc w:val="both"/>
                            </w:pPr>
                          </w:p>
                          <w:p w:rsidR="002C0ED1" w:rsidRDefault="002C0ED1">
                            <w:pPr>
                              <w:jc w:val="both"/>
                            </w:pPr>
                            <w:proofErr w:type="spellStart"/>
                            <w:r>
                              <w:t>TGaz</w:t>
                            </w:r>
                            <w:proofErr w:type="spellEnd"/>
                            <w:r>
                              <w:t xml:space="preserve"> LB240 CIDs</w:t>
                            </w:r>
                            <w:r w:rsidR="009F56CF">
                              <w:t xml:space="preserve"> addressed: 1516</w:t>
                            </w:r>
                            <w:r w:rsidR="0012660C">
                              <w:t>.</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037216">
                      <w:pPr>
                        <w:jc w:val="both"/>
                      </w:pPr>
                      <w:r>
                        <w:t>This document proposes resolutions to c</w:t>
                      </w:r>
                      <w:r w:rsidR="00C51798">
                        <w:t xml:space="preserve">omments related to </w:t>
                      </w:r>
                      <w:r w:rsidR="00C51798">
                        <w:t>EDCA-</w:t>
                      </w:r>
                      <w:r w:rsidR="00C51798" w:rsidRPr="00B17B89">
                        <w:t>F</w:t>
                      </w:r>
                      <w:r w:rsidR="00C51798">
                        <w:t>TM</w:t>
                      </w:r>
                      <w:r>
                        <w:t>.</w:t>
                      </w:r>
                    </w:p>
                    <w:p w:rsidR="002C0ED1" w:rsidRDefault="002C0ED1">
                      <w:pPr>
                        <w:jc w:val="both"/>
                      </w:pPr>
                    </w:p>
                    <w:p w:rsidR="002C0ED1" w:rsidRDefault="002C0ED1">
                      <w:pPr>
                        <w:jc w:val="both"/>
                      </w:pPr>
                      <w:proofErr w:type="spellStart"/>
                      <w:r>
                        <w:t>TGaz</w:t>
                      </w:r>
                      <w:proofErr w:type="spellEnd"/>
                      <w:r>
                        <w:t xml:space="preserve"> LB240 CIDs</w:t>
                      </w:r>
                      <w:r w:rsidR="009F56CF">
                        <w:t xml:space="preserve"> addressed: 1516</w:t>
                      </w:r>
                      <w:r w:rsidR="0012660C">
                        <w:t>.</w:t>
                      </w:r>
                      <w:r>
                        <w:t xml:space="preserve"> </w:t>
                      </w:r>
                    </w:p>
                  </w:txbxContent>
                </v:textbox>
              </v:shape>
            </w:pict>
          </mc:Fallback>
        </mc:AlternateContent>
      </w:r>
    </w:p>
    <w:p w:rsidR="00037216" w:rsidRDefault="00CA09B2" w:rsidP="00037216">
      <w:r>
        <w:br w:type="page"/>
      </w:r>
    </w:p>
    <w:tbl>
      <w:tblPr>
        <w:tblStyle w:val="TableGrid"/>
        <w:tblW w:w="0" w:type="auto"/>
        <w:tblLook w:val="04A0" w:firstRow="1" w:lastRow="0" w:firstColumn="1" w:lastColumn="0" w:noHBand="0" w:noVBand="1"/>
      </w:tblPr>
      <w:tblGrid>
        <w:gridCol w:w="657"/>
        <w:gridCol w:w="856"/>
        <w:gridCol w:w="1221"/>
        <w:gridCol w:w="2361"/>
        <w:gridCol w:w="2309"/>
        <w:gridCol w:w="1946"/>
      </w:tblGrid>
      <w:tr w:rsidR="00C37180" w:rsidRPr="00037216" w:rsidTr="00C37180">
        <w:trPr>
          <w:trHeight w:val="440"/>
        </w:trPr>
        <w:tc>
          <w:tcPr>
            <w:tcW w:w="657" w:type="dxa"/>
          </w:tcPr>
          <w:p w:rsidR="00C37180" w:rsidRPr="00C37180" w:rsidRDefault="00C37180" w:rsidP="00037216">
            <w:pPr>
              <w:rPr>
                <w:b/>
                <w:bCs/>
                <w:lang w:val="en-US"/>
              </w:rPr>
            </w:pPr>
            <w:r w:rsidRPr="00C37180">
              <w:rPr>
                <w:b/>
                <w:bCs/>
                <w:lang w:val="en-US"/>
              </w:rPr>
              <w:lastRenderedPageBreak/>
              <w:t>CID</w:t>
            </w:r>
          </w:p>
        </w:tc>
        <w:tc>
          <w:tcPr>
            <w:tcW w:w="856" w:type="dxa"/>
          </w:tcPr>
          <w:p w:rsidR="00C37180" w:rsidRPr="00C37180" w:rsidRDefault="00C37180" w:rsidP="00037216">
            <w:pPr>
              <w:rPr>
                <w:b/>
                <w:bCs/>
              </w:rPr>
            </w:pPr>
            <w:r w:rsidRPr="00C37180">
              <w:rPr>
                <w:b/>
                <w:bCs/>
              </w:rPr>
              <w:t>P.L</w:t>
            </w:r>
          </w:p>
        </w:tc>
        <w:tc>
          <w:tcPr>
            <w:tcW w:w="1221" w:type="dxa"/>
          </w:tcPr>
          <w:p w:rsidR="00C37180" w:rsidRPr="00C37180" w:rsidRDefault="00C37180" w:rsidP="00037216">
            <w:pPr>
              <w:rPr>
                <w:b/>
                <w:bCs/>
              </w:rPr>
            </w:pPr>
            <w:r w:rsidRPr="00C37180">
              <w:rPr>
                <w:b/>
                <w:bCs/>
              </w:rPr>
              <w:t>Clause</w:t>
            </w:r>
          </w:p>
        </w:tc>
        <w:tc>
          <w:tcPr>
            <w:tcW w:w="2361" w:type="dxa"/>
          </w:tcPr>
          <w:p w:rsidR="00C37180" w:rsidRPr="00C37180" w:rsidRDefault="00C37180" w:rsidP="009F56CF">
            <w:pPr>
              <w:rPr>
                <w:b/>
                <w:bCs/>
              </w:rPr>
            </w:pPr>
            <w:r w:rsidRPr="00C37180">
              <w:rPr>
                <w:b/>
                <w:bCs/>
              </w:rPr>
              <w:t>Comment</w:t>
            </w:r>
          </w:p>
        </w:tc>
        <w:tc>
          <w:tcPr>
            <w:tcW w:w="2309" w:type="dxa"/>
          </w:tcPr>
          <w:p w:rsidR="00C37180" w:rsidRPr="00C37180" w:rsidRDefault="00C37180" w:rsidP="00037216">
            <w:pPr>
              <w:rPr>
                <w:b/>
                <w:bCs/>
              </w:rPr>
            </w:pPr>
            <w:r w:rsidRPr="00C37180">
              <w:rPr>
                <w:b/>
                <w:bCs/>
              </w:rPr>
              <w:t>Proposed Change</w:t>
            </w:r>
          </w:p>
        </w:tc>
        <w:tc>
          <w:tcPr>
            <w:tcW w:w="1946" w:type="dxa"/>
          </w:tcPr>
          <w:p w:rsidR="00C37180" w:rsidRPr="00C37180" w:rsidRDefault="00C37180" w:rsidP="00037216">
            <w:pPr>
              <w:rPr>
                <w:b/>
                <w:bCs/>
              </w:rPr>
            </w:pPr>
            <w:r w:rsidRPr="00C37180">
              <w:rPr>
                <w:b/>
                <w:bCs/>
              </w:rPr>
              <w:t>Resolution</w:t>
            </w:r>
          </w:p>
        </w:tc>
      </w:tr>
      <w:tr w:rsidR="00C37180" w:rsidRPr="00037216" w:rsidTr="00C37180">
        <w:trPr>
          <w:trHeight w:val="900"/>
        </w:trPr>
        <w:tc>
          <w:tcPr>
            <w:tcW w:w="657" w:type="dxa"/>
            <w:hideMark/>
          </w:tcPr>
          <w:p w:rsidR="00C37180" w:rsidRPr="00037216" w:rsidRDefault="00C37180" w:rsidP="00037216">
            <w:pPr>
              <w:rPr>
                <w:bCs/>
                <w:lang w:val="en-US"/>
              </w:rPr>
            </w:pPr>
            <w:r>
              <w:rPr>
                <w:bCs/>
                <w:lang w:val="en-US"/>
              </w:rPr>
              <w:t>1516</w:t>
            </w:r>
          </w:p>
        </w:tc>
        <w:tc>
          <w:tcPr>
            <w:tcW w:w="856" w:type="dxa"/>
            <w:hideMark/>
          </w:tcPr>
          <w:p w:rsidR="00C37180" w:rsidRPr="00037216" w:rsidRDefault="00C37180" w:rsidP="00037216">
            <w:pPr>
              <w:rPr>
                <w:bCs/>
              </w:rPr>
            </w:pPr>
            <w:r>
              <w:rPr>
                <w:bCs/>
              </w:rPr>
              <w:t>39.01</w:t>
            </w:r>
          </w:p>
        </w:tc>
        <w:tc>
          <w:tcPr>
            <w:tcW w:w="1221" w:type="dxa"/>
            <w:hideMark/>
          </w:tcPr>
          <w:p w:rsidR="00C37180" w:rsidRPr="00037216" w:rsidRDefault="00C37180" w:rsidP="00037216">
            <w:pPr>
              <w:rPr>
                <w:bCs/>
              </w:rPr>
            </w:pPr>
            <w:r>
              <w:rPr>
                <w:bCs/>
              </w:rPr>
              <w:t>9.4</w:t>
            </w:r>
            <w:r w:rsidRPr="00037216">
              <w:rPr>
                <w:bCs/>
              </w:rPr>
              <w:t>.</w:t>
            </w:r>
            <w:r>
              <w:rPr>
                <w:bCs/>
              </w:rPr>
              <w:t>2.167</w:t>
            </w:r>
          </w:p>
        </w:tc>
        <w:tc>
          <w:tcPr>
            <w:tcW w:w="2361" w:type="dxa"/>
            <w:hideMark/>
          </w:tcPr>
          <w:p w:rsidR="00C37180" w:rsidRPr="009F56CF" w:rsidRDefault="00C37180" w:rsidP="009F56CF">
            <w:pPr>
              <w:rPr>
                <w:bCs/>
              </w:rPr>
            </w:pPr>
            <w:r w:rsidRPr="009F56CF">
              <w:rPr>
                <w:bCs/>
              </w:rPr>
              <w:t>The ACK to a Fine Timing Measurement frame should according to the current standard be sent in a non-HT duplicate PPDU, i.e. with the 20 MHz</w:t>
            </w:r>
          </w:p>
          <w:p w:rsidR="00C37180" w:rsidRPr="009F56CF" w:rsidRDefault="00C37180" w:rsidP="009F56CF">
            <w:pPr>
              <w:rPr>
                <w:bCs/>
              </w:rPr>
            </w:pPr>
            <w:proofErr w:type="gramStart"/>
            <w:r w:rsidRPr="009F56CF">
              <w:rPr>
                <w:bCs/>
              </w:rPr>
              <w:t>legacy</w:t>
            </w:r>
            <w:proofErr w:type="gramEnd"/>
            <w:r w:rsidRPr="009F56CF">
              <w:rPr>
                <w:bCs/>
              </w:rPr>
              <w:t xml:space="preserve"> part of PPDU duplicated to the bandwidth of the ACK, e.g. 40 or 80 MHz. The phase relations between these 20 MHz segments are</w:t>
            </w:r>
          </w:p>
          <w:p w:rsidR="00C37180" w:rsidRPr="009F56CF" w:rsidRDefault="00C37180" w:rsidP="009F56CF">
            <w:pPr>
              <w:rPr>
                <w:bCs/>
              </w:rPr>
            </w:pPr>
            <w:r w:rsidRPr="009F56CF">
              <w:rPr>
                <w:bCs/>
              </w:rPr>
              <w:t>specified in the standard but these specified phase relations may not be adhered to and there appear currently not to be any tests that ensure</w:t>
            </w:r>
          </w:p>
          <w:p w:rsidR="00C37180" w:rsidRPr="009F56CF" w:rsidRDefault="00C37180" w:rsidP="009F56CF">
            <w:pPr>
              <w:rPr>
                <w:bCs/>
              </w:rPr>
            </w:pPr>
            <w:proofErr w:type="gramStart"/>
            <w:r w:rsidRPr="009F56CF">
              <w:rPr>
                <w:bCs/>
              </w:rPr>
              <w:t>that</w:t>
            </w:r>
            <w:proofErr w:type="gramEnd"/>
            <w:r w:rsidRPr="009F56CF">
              <w:rPr>
                <w:bCs/>
              </w:rPr>
              <w:t xml:space="preserve"> these phase relations are correct in released products. For regular communication these phase relations don't matter much but to for FTM</w:t>
            </w:r>
          </w:p>
          <w:p w:rsidR="00C37180" w:rsidRPr="00037216" w:rsidRDefault="00C37180" w:rsidP="009F56CF">
            <w:pPr>
              <w:rPr>
                <w:bCs/>
              </w:rPr>
            </w:pPr>
            <w:r w:rsidRPr="009F56CF">
              <w:rPr>
                <w:bCs/>
              </w:rPr>
              <w:t>TOA estimation on, say, the L-LTF part of the PPDU they are crucial. By adding a way for an ISTA and an RSTA to negotiate how the TOA should be measured, the problem with TOA measurements on the non-HT duplicate PPDU can be solved.</w:t>
            </w:r>
          </w:p>
        </w:tc>
        <w:tc>
          <w:tcPr>
            <w:tcW w:w="2309" w:type="dxa"/>
            <w:hideMark/>
          </w:tcPr>
          <w:p w:rsidR="00C37180" w:rsidRPr="00037216" w:rsidRDefault="00C37180" w:rsidP="00037216">
            <w:pPr>
              <w:rPr>
                <w:bCs/>
              </w:rPr>
            </w:pPr>
            <w:r w:rsidRPr="009F56CF">
              <w:rPr>
                <w:bCs/>
              </w:rPr>
              <w:t xml:space="preserve">Make use of one of the reserved bits in the 'Fine Timing Measurement Parameters field' to be used by an FTM initiator to request that the responder computes a TOA estimate for the FTM ACK based on the assumption that the 20 MHz </w:t>
            </w:r>
            <w:proofErr w:type="gramStart"/>
            <w:r w:rsidRPr="009F56CF">
              <w:rPr>
                <w:bCs/>
              </w:rPr>
              <w:t>segments  in</w:t>
            </w:r>
            <w:proofErr w:type="gramEnd"/>
            <w:r w:rsidRPr="009F56CF">
              <w:rPr>
                <w:bCs/>
              </w:rPr>
              <w:t xml:space="preserve"> the L-LTF part of the FTM ACK in non-HT PPDU format have standards  compliant phase relations between its 20 MHz segments. If the responder can </w:t>
            </w:r>
            <w:proofErr w:type="spellStart"/>
            <w:r w:rsidRPr="009F56CF">
              <w:rPr>
                <w:bCs/>
              </w:rPr>
              <w:t>fulfill</w:t>
            </w:r>
            <w:proofErr w:type="spellEnd"/>
            <w:r w:rsidRPr="009F56CF">
              <w:rPr>
                <w:bCs/>
              </w:rPr>
              <w:t xml:space="preserve"> this requirement it replies with the same bit set in the 'Fine Timing Measurement Parameters field'.</w:t>
            </w:r>
          </w:p>
        </w:tc>
        <w:tc>
          <w:tcPr>
            <w:tcW w:w="1946" w:type="dxa"/>
          </w:tcPr>
          <w:p w:rsidR="00C37180" w:rsidRPr="009F56CF" w:rsidRDefault="00C37180" w:rsidP="00037216">
            <w:pPr>
              <w:rPr>
                <w:bCs/>
              </w:rPr>
            </w:pPr>
            <w:r>
              <w:rPr>
                <w:bCs/>
              </w:rPr>
              <w:t>Revised. See changes to amendment text in this submission.</w:t>
            </w:r>
          </w:p>
        </w:tc>
      </w:tr>
    </w:tbl>
    <w:p w:rsidR="00CA09B2" w:rsidRDefault="00037216" w:rsidP="00037216">
      <w:pPr>
        <w:rPr>
          <w:b/>
          <w:bCs/>
        </w:rPr>
      </w:pPr>
      <w:r>
        <w:t xml:space="preserve">Proposed Resolution: </w:t>
      </w:r>
      <w:r>
        <w:rPr>
          <w:b/>
          <w:bCs/>
        </w:rPr>
        <w:t>Revise</w:t>
      </w:r>
    </w:p>
    <w:p w:rsidR="007928F2" w:rsidRDefault="007928F2">
      <w:pPr>
        <w:rPr>
          <w:b/>
          <w:bCs/>
        </w:rPr>
      </w:pPr>
      <w:r>
        <w:rPr>
          <w:b/>
          <w:bCs/>
        </w:rPr>
        <w:br w:type="page"/>
      </w:r>
    </w:p>
    <w:p w:rsidR="00037216" w:rsidRDefault="00037216" w:rsidP="00037216">
      <w:pPr>
        <w:rPr>
          <w:b/>
          <w:bCs/>
        </w:rPr>
      </w:pPr>
    </w:p>
    <w:p w:rsidR="00FB4CA7" w:rsidRDefault="00FB4CA7">
      <w:pPr>
        <w:rPr>
          <w:b/>
          <w:bCs/>
        </w:rPr>
      </w:pPr>
      <w:r>
        <w:rPr>
          <w:b/>
          <w:bCs/>
        </w:rPr>
        <w:t>Discussion:</w:t>
      </w:r>
    </w:p>
    <w:p w:rsidR="001C705D" w:rsidRDefault="001C705D">
      <w:pPr>
        <w:rPr>
          <w:b/>
          <w:bCs/>
        </w:rPr>
      </w:pPr>
    </w:p>
    <w:p w:rsidR="001C705D" w:rsidRDefault="001C705D" w:rsidP="001C705D">
      <w:pPr>
        <w:rPr>
          <w:bCs/>
        </w:rPr>
      </w:pPr>
      <w:r w:rsidRPr="001C705D">
        <w:rPr>
          <w:bCs/>
        </w:rPr>
        <w:t>It</w:t>
      </w:r>
      <w:r>
        <w:rPr>
          <w:bCs/>
        </w:rPr>
        <w:t xml:space="preserve"> is already specified in [3]:</w:t>
      </w:r>
    </w:p>
    <w:p w:rsidR="001C705D" w:rsidRDefault="001C705D" w:rsidP="001C705D">
      <w:pPr>
        <w:rPr>
          <w:bCs/>
        </w:rPr>
      </w:pPr>
    </w:p>
    <w:p w:rsidR="001C705D" w:rsidRPr="001C705D" w:rsidRDefault="001C705D" w:rsidP="001C705D">
      <w:pPr>
        <w:rPr>
          <w:bCs/>
        </w:rPr>
      </w:pPr>
      <w:r>
        <w:rPr>
          <w:bCs/>
        </w:rPr>
        <w:t>“</w:t>
      </w:r>
      <w:r w:rsidRPr="001C705D">
        <w:rPr>
          <w:bCs/>
        </w:rPr>
        <w:t>The initiating STA shall indicate, in the Format and Bandwidth field, a format and bandwidth that it</w:t>
      </w:r>
    </w:p>
    <w:p w:rsidR="001C705D" w:rsidRDefault="001C705D" w:rsidP="001C705D">
      <w:pPr>
        <w:rPr>
          <w:bCs/>
        </w:rPr>
      </w:pPr>
      <w:proofErr w:type="gramStart"/>
      <w:r w:rsidRPr="001C705D">
        <w:rPr>
          <w:bCs/>
        </w:rPr>
        <w:t>supports(</w:t>
      </w:r>
      <w:proofErr w:type="gramEnd"/>
      <w:r w:rsidRPr="001C705D">
        <w:rPr>
          <w:bCs/>
        </w:rPr>
        <w:t>#1015).</w:t>
      </w:r>
      <w:r>
        <w:rPr>
          <w:bCs/>
        </w:rPr>
        <w:t>”</w:t>
      </w:r>
    </w:p>
    <w:p w:rsidR="001C705D" w:rsidRDefault="001C705D" w:rsidP="001C705D">
      <w:pPr>
        <w:rPr>
          <w:bCs/>
        </w:rPr>
      </w:pPr>
    </w:p>
    <w:p w:rsidR="001C705D" w:rsidRDefault="001C705D" w:rsidP="001C705D">
      <w:pPr>
        <w:rPr>
          <w:bCs/>
        </w:rPr>
      </w:pPr>
      <w:r>
        <w:rPr>
          <w:bCs/>
        </w:rPr>
        <w:t xml:space="preserve">Thus an initiator shall not request FTM ranging with a bandwidth and format that it does not support. </w:t>
      </w:r>
    </w:p>
    <w:p w:rsidR="001C705D" w:rsidRDefault="001C705D" w:rsidP="001C705D">
      <w:pPr>
        <w:rPr>
          <w:bCs/>
        </w:rPr>
      </w:pPr>
    </w:p>
    <w:p w:rsidR="001C705D" w:rsidRDefault="001C705D" w:rsidP="001C705D">
      <w:pPr>
        <w:rPr>
          <w:bCs/>
        </w:rPr>
      </w:pPr>
      <w:r>
        <w:rPr>
          <w:bCs/>
        </w:rPr>
        <w:t xml:space="preserve">For example, if it does not use the correct phase relations between 20 MHz segments in an ‘FTM ACK’ (an </w:t>
      </w:r>
      <w:proofErr w:type="spellStart"/>
      <w:r>
        <w:rPr>
          <w:bCs/>
        </w:rPr>
        <w:t>Ack</w:t>
      </w:r>
      <w:proofErr w:type="spellEnd"/>
      <w:r>
        <w:rPr>
          <w:bCs/>
        </w:rPr>
        <w:t xml:space="preserve"> of an FTM frame) sent in a non-HT duplicate PPDU, and is not able to respond with ‘FTM ACKs’ in HT or VHT PPDU’s, then it shall not request FTM ranging with a bandwidth of more than 20 MHz.</w:t>
      </w:r>
    </w:p>
    <w:p w:rsidR="001C705D" w:rsidRDefault="001C705D" w:rsidP="001C705D">
      <w:pPr>
        <w:rPr>
          <w:bCs/>
        </w:rPr>
      </w:pPr>
    </w:p>
    <w:p w:rsidR="001C705D" w:rsidRDefault="001C705D" w:rsidP="001C705D">
      <w:pPr>
        <w:rPr>
          <w:bCs/>
        </w:rPr>
      </w:pPr>
      <w:r>
        <w:rPr>
          <w:bCs/>
        </w:rPr>
        <w:t xml:space="preserve"> To clarify this the changes to the amendment text below is proposed.</w:t>
      </w:r>
    </w:p>
    <w:p w:rsidR="001C705D" w:rsidRPr="001C705D" w:rsidRDefault="001C705D" w:rsidP="001C705D">
      <w:pPr>
        <w:rPr>
          <w:bCs/>
        </w:rPr>
      </w:pPr>
    </w:p>
    <w:p w:rsidR="00FB4CA7" w:rsidRDefault="00FB4CA7">
      <w:pPr>
        <w:rPr>
          <w:b/>
          <w:bCs/>
        </w:rPr>
      </w:pPr>
    </w:p>
    <w:p w:rsidR="007928F2" w:rsidRPr="001625B7" w:rsidRDefault="001625B7">
      <w:pPr>
        <w:rPr>
          <w:b/>
          <w:bCs/>
          <w:i/>
          <w:iCs/>
        </w:rPr>
      </w:pPr>
      <w:proofErr w:type="spellStart"/>
      <w:r>
        <w:rPr>
          <w:b/>
          <w:bCs/>
          <w:i/>
          <w:iCs/>
        </w:rPr>
        <w:t>TGaz</w:t>
      </w:r>
      <w:proofErr w:type="spellEnd"/>
      <w:r>
        <w:rPr>
          <w:b/>
          <w:bCs/>
          <w:i/>
          <w:iCs/>
        </w:rPr>
        <w:t xml:space="preserve"> Editor: Change the text in </w:t>
      </w:r>
      <w:r w:rsidRPr="001625B7">
        <w:rPr>
          <w:b/>
          <w:bCs/>
          <w:i/>
          <w:iCs/>
        </w:rPr>
        <w:t>Section 11.22.6.3 as follows</w:t>
      </w:r>
      <w:r>
        <w:rPr>
          <w:b/>
          <w:bCs/>
          <w:i/>
          <w:iCs/>
        </w:rPr>
        <w:t>:</w:t>
      </w:r>
    </w:p>
    <w:p w:rsidR="007928F2" w:rsidRDefault="007928F2">
      <w:pPr>
        <w:rPr>
          <w:b/>
          <w:bCs/>
        </w:rPr>
      </w:pPr>
    </w:p>
    <w:p w:rsidR="007928F2" w:rsidRDefault="007928F2">
      <w:pPr>
        <w:rPr>
          <w:b/>
          <w:bCs/>
        </w:rPr>
      </w:pPr>
      <w:r>
        <w:rPr>
          <w:b/>
          <w:bCs/>
          <w:i/>
          <w:iCs/>
          <w:szCs w:val="22"/>
        </w:rPr>
        <w:t>Change the text in Section 11.22.6.3 as follows:</w:t>
      </w:r>
    </w:p>
    <w:p w:rsidR="007928F2" w:rsidRDefault="007928F2" w:rsidP="007928F2">
      <w:pPr>
        <w:pStyle w:val="H4"/>
        <w:numPr>
          <w:ilvl w:val="0"/>
          <w:numId w:val="3"/>
        </w:numPr>
        <w:rPr>
          <w:w w:val="100"/>
        </w:rPr>
      </w:pPr>
      <w:bookmarkStart w:id="1" w:name="RTF38383638343a2048342c312e"/>
      <w:r>
        <w:rPr>
          <w:w w:val="100"/>
        </w:rPr>
        <w:t>Fine timing measurement procedure negotiation</w:t>
      </w:r>
      <w:bookmarkEnd w:id="1"/>
    </w:p>
    <w:p w:rsidR="007928F2" w:rsidRDefault="007928F2" w:rsidP="007928F2">
      <w:pPr>
        <w:pStyle w:val="T"/>
        <w:rPr>
          <w:w w:val="100"/>
        </w:rPr>
      </w:pPr>
      <w:r>
        <w:rPr>
          <w:w w:val="100"/>
        </w:rPr>
        <w:t xml:space="preserve">In order to initiate an </w:t>
      </w:r>
      <w:proofErr w:type="gramStart"/>
      <w:r>
        <w:rPr>
          <w:w w:val="100"/>
        </w:rPr>
        <w:t>FTM(</w:t>
      </w:r>
      <w:proofErr w:type="gramEnd"/>
      <w:r>
        <w:rPr>
          <w:w w:val="100"/>
        </w:rPr>
        <w:t xml:space="preserve">#1022) procedure, a STA that supports the FTM procedure as an initiator (referred to as an </w:t>
      </w:r>
      <w:r>
        <w:rPr>
          <w:i/>
          <w:iCs/>
          <w:w w:val="100"/>
        </w:rPr>
        <w:t>initiating</w:t>
      </w:r>
      <w:r>
        <w:rPr>
          <w:w w:val="100"/>
        </w:rPr>
        <w:t xml:space="preserve"> </w:t>
      </w:r>
      <w:r>
        <w:rPr>
          <w:i/>
          <w:iCs/>
          <w:w w:val="100"/>
        </w:rPr>
        <w:t>STA</w:t>
      </w:r>
      <w:r>
        <w:rPr>
          <w:w w:val="100"/>
        </w:rPr>
        <w:t xml:space="preserve">) shall transmit a Fine Timing Measurement Request frame. This frame is called the </w:t>
      </w:r>
      <w:r>
        <w:rPr>
          <w:i/>
          <w:iCs/>
          <w:w w:val="100"/>
        </w:rPr>
        <w:t xml:space="preserve">initial </w:t>
      </w:r>
      <w:r>
        <w:rPr>
          <w:w w:val="100"/>
        </w:rPr>
        <w:t>Fine Timing Measurement Request frame. After transmission of this frame, the initiating STA shall be ready to receive a Fine Timing Measurement frame.</w:t>
      </w:r>
    </w:p>
    <w:p w:rsidR="007928F2" w:rsidRDefault="007928F2" w:rsidP="007928F2">
      <w:pPr>
        <w:pStyle w:val="T"/>
        <w:rPr>
          <w:w w:val="100"/>
        </w:rPr>
      </w:pPr>
      <w:r>
        <w:rPr>
          <w:w w:val="100"/>
        </w:rPr>
        <w:t xml:space="preserve">A STA that supports the FTM procedure as a responder (referred to as a </w:t>
      </w:r>
      <w:r>
        <w:rPr>
          <w:i/>
          <w:iCs/>
          <w:w w:val="100"/>
        </w:rPr>
        <w:t>responding</w:t>
      </w:r>
      <w:r>
        <w:rPr>
          <w:w w:val="100"/>
        </w:rPr>
        <w:t xml:space="preserve"> </w:t>
      </w:r>
      <w:r>
        <w:rPr>
          <w:i/>
          <w:iCs/>
          <w:w w:val="100"/>
        </w:rPr>
        <w:t>STA</w:t>
      </w:r>
      <w:r>
        <w:rPr>
          <w:w w:val="100"/>
        </w:rPr>
        <w:t>) shall not transmit Fine Timing Measurement frames addressed to a peer STA unless the responding STA has received an initial Fine Timing Measurement Request frame from the peer STA.</w:t>
      </w:r>
    </w:p>
    <w:p w:rsidR="007928F2" w:rsidRDefault="007928F2" w:rsidP="007928F2">
      <w:pPr>
        <w:pStyle w:val="T"/>
        <w:rPr>
          <w:w w:val="100"/>
        </w:rPr>
      </w:pPr>
      <w:r>
        <w:rPr>
          <w:w w:val="100"/>
        </w:rPr>
        <w:t>The initial Fine Timing Measurement Request frame shall have:</w:t>
      </w:r>
    </w:p>
    <w:p w:rsidR="007928F2" w:rsidRDefault="007928F2" w:rsidP="007928F2">
      <w:pPr>
        <w:pStyle w:val="DL"/>
        <w:numPr>
          <w:ilvl w:val="0"/>
          <w:numId w:val="1"/>
        </w:numPr>
        <w:ind w:left="640" w:hanging="440"/>
        <w:rPr>
          <w:w w:val="100"/>
        </w:rPr>
      </w:pPr>
      <w:r>
        <w:rPr>
          <w:w w:val="100"/>
        </w:rPr>
        <w:t xml:space="preserve">the Trigger field set to 1, </w:t>
      </w:r>
    </w:p>
    <w:p w:rsidR="007928F2" w:rsidRDefault="007928F2" w:rsidP="007928F2">
      <w:pPr>
        <w:pStyle w:val="DL"/>
        <w:numPr>
          <w:ilvl w:val="0"/>
          <w:numId w:val="1"/>
        </w:numPr>
        <w:ind w:left="640" w:hanging="440"/>
        <w:rPr>
          <w:w w:val="100"/>
        </w:rPr>
      </w:pPr>
      <w:proofErr w:type="gramStart"/>
      <w:r>
        <w:rPr>
          <w:w w:val="100"/>
        </w:rPr>
        <w:t>a</w:t>
      </w:r>
      <w:proofErr w:type="gramEnd"/>
      <w:r>
        <w:rPr>
          <w:w w:val="100"/>
        </w:rPr>
        <w:t xml:space="preserve"> set of scheduling parameters in a Fine Timing Measurement Parameters element that describe the initiating STA’s availability for measurement exchange.</w:t>
      </w:r>
    </w:p>
    <w:p w:rsidR="007928F2" w:rsidRDefault="007928F2" w:rsidP="007928F2">
      <w:pPr>
        <w:pStyle w:val="T"/>
        <w:rPr>
          <w:w w:val="100"/>
        </w:rPr>
      </w:pPr>
      <w:r>
        <w:rPr>
          <w:w w:val="100"/>
        </w:rPr>
        <w:t>The first Fine Timing Measurement frame in the FTM session is called the</w:t>
      </w:r>
      <w:r>
        <w:rPr>
          <w:i/>
          <w:iCs/>
          <w:w w:val="100"/>
        </w:rPr>
        <w:t xml:space="preserve"> initial</w:t>
      </w:r>
      <w:r>
        <w:rPr>
          <w:w w:val="100"/>
        </w:rPr>
        <w:t xml:space="preserve"> Fine Timing Measurement frame. The responding STA should transmit an initial Fine Timing Measurement frame within 10 ms in response to the initial Fine Timing Measurement Request frame. This initial Fine Timing Measurement frame shall include the Fine Timing Measurement Parameters element. The Status Indication field indicates the outcome of the request</w:t>
      </w:r>
      <w:proofErr w:type="gramStart"/>
      <w:r>
        <w:rPr>
          <w:w w:val="100"/>
        </w:rPr>
        <w:t>.(</w:t>
      </w:r>
      <w:proofErr w:type="gramEnd"/>
      <w:r>
        <w:rPr>
          <w:w w:val="100"/>
        </w:rPr>
        <w:t>MDR2)</w:t>
      </w:r>
    </w:p>
    <w:p w:rsidR="007928F2" w:rsidRDefault="007928F2" w:rsidP="007928F2">
      <w:pPr>
        <w:pStyle w:val="T"/>
        <w:spacing w:before="220" w:line="220" w:lineRule="atLeast"/>
        <w:rPr>
          <w:w w:val="100"/>
          <w:sz w:val="18"/>
          <w:szCs w:val="18"/>
        </w:rPr>
      </w:pPr>
      <w:r>
        <w:rPr>
          <w:w w:val="100"/>
          <w:sz w:val="18"/>
          <w:szCs w:val="18"/>
        </w:rPr>
        <w:t>NOTE—</w:t>
      </w:r>
      <w:proofErr w:type="gramStart"/>
      <w:r>
        <w:rPr>
          <w:w w:val="100"/>
          <w:sz w:val="18"/>
          <w:szCs w:val="18"/>
        </w:rPr>
        <w:t>In</w:t>
      </w:r>
      <w:proofErr w:type="gramEnd"/>
      <w:r>
        <w:rPr>
          <w:w w:val="100"/>
          <w:sz w:val="18"/>
          <w:szCs w:val="18"/>
        </w:rPr>
        <w:t xml:space="preserve"> an initial Fine Timing Measurement frame, the responding STA might indicate that the request for an FTM session is successful, even if the initial Fine Timing Measurement frame includes at least one of </w:t>
      </w:r>
    </w:p>
    <w:p w:rsidR="007928F2" w:rsidRDefault="007928F2" w:rsidP="007928F2">
      <w:pPr>
        <w:pStyle w:val="DL"/>
        <w:numPr>
          <w:ilvl w:val="0"/>
          <w:numId w:val="2"/>
        </w:numPr>
        <w:spacing w:before="0" w:after="0" w:line="220" w:lineRule="atLeast"/>
        <w:ind w:left="640" w:hanging="440"/>
        <w:rPr>
          <w:w w:val="100"/>
          <w:sz w:val="18"/>
          <w:szCs w:val="18"/>
        </w:rPr>
      </w:pPr>
      <w:r>
        <w:rPr>
          <w:w w:val="100"/>
          <w:sz w:val="18"/>
          <w:szCs w:val="18"/>
        </w:rPr>
        <w:t xml:space="preserve">A Measurement Report element that indicates an unknown LCI or </w:t>
      </w:r>
    </w:p>
    <w:p w:rsidR="007928F2" w:rsidRDefault="007928F2" w:rsidP="007928F2">
      <w:pPr>
        <w:pStyle w:val="DL"/>
        <w:numPr>
          <w:ilvl w:val="0"/>
          <w:numId w:val="2"/>
        </w:numPr>
        <w:spacing w:before="0" w:after="240" w:line="220" w:lineRule="atLeast"/>
        <w:ind w:left="640" w:hanging="440"/>
        <w:rPr>
          <w:w w:val="100"/>
          <w:sz w:val="18"/>
          <w:szCs w:val="18"/>
        </w:rPr>
      </w:pPr>
      <w:r>
        <w:rPr>
          <w:w w:val="100"/>
          <w:sz w:val="18"/>
          <w:szCs w:val="18"/>
        </w:rPr>
        <w:t>A Measurement Report element that indicates an unknown civic location.</w:t>
      </w:r>
    </w:p>
    <w:p w:rsidR="007928F2" w:rsidRDefault="007928F2" w:rsidP="007928F2">
      <w:pPr>
        <w:pStyle w:val="T"/>
        <w:rPr>
          <w:w w:val="100"/>
        </w:rPr>
      </w:pPr>
      <w:r>
        <w:rPr>
          <w:w w:val="100"/>
        </w:rPr>
        <w:t xml:space="preserve">In the case of requests for 160 MHz bandwidth, the initiating STA shall indicate in the Format </w:t>
      </w:r>
      <w:proofErr w:type="gramStart"/>
      <w:r>
        <w:rPr>
          <w:w w:val="100"/>
        </w:rPr>
        <w:t>And</w:t>
      </w:r>
      <w:proofErr w:type="gramEnd"/>
      <w:r>
        <w:rPr>
          <w:w w:val="100"/>
        </w:rPr>
        <w:t xml:space="preserve"> Bandwidth field whether it uses a single or two separate RF LOs. In the cases when the responding STA indicates use of 160 MHz bandwidth, the responding STA shall indicate in the Format </w:t>
      </w:r>
      <w:proofErr w:type="gramStart"/>
      <w:r>
        <w:rPr>
          <w:w w:val="100"/>
        </w:rPr>
        <w:t>And</w:t>
      </w:r>
      <w:proofErr w:type="gramEnd"/>
      <w:r>
        <w:rPr>
          <w:w w:val="100"/>
        </w:rPr>
        <w:t xml:space="preserve"> Bandwidth field whether it uses a single or two separate RF LOs.</w:t>
      </w:r>
    </w:p>
    <w:p w:rsidR="00174753" w:rsidRPr="00397ACF" w:rsidRDefault="007928F2" w:rsidP="007928F2">
      <w:pPr>
        <w:pStyle w:val="T"/>
        <w:rPr>
          <w:w w:val="100"/>
        </w:rPr>
      </w:pPr>
      <w:r>
        <w:rPr>
          <w:w w:val="100"/>
        </w:rPr>
        <w:lastRenderedPageBreak/>
        <w:t xml:space="preserve">The initiating STA shall indicate, in the Format and Bandwidth field, a format and bandwidth that it </w:t>
      </w:r>
      <w:proofErr w:type="gramStart"/>
      <w:r>
        <w:rPr>
          <w:w w:val="100"/>
        </w:rPr>
        <w:t>supports(</w:t>
      </w:r>
      <w:proofErr w:type="gramEnd"/>
      <w:r>
        <w:rPr>
          <w:w w:val="100"/>
        </w:rPr>
        <w:t>#1015).</w:t>
      </w:r>
    </w:p>
    <w:p w:rsidR="00174753" w:rsidRPr="00E54B07" w:rsidRDefault="00174753" w:rsidP="007928F2">
      <w:pPr>
        <w:pStyle w:val="T"/>
        <w:rPr>
          <w:color w:val="FF0000"/>
          <w:w w:val="100"/>
          <w:u w:val="single"/>
        </w:rPr>
      </w:pPr>
      <w:r w:rsidRPr="00E54B07">
        <w:rPr>
          <w:color w:val="FF0000"/>
          <w:w w:val="100"/>
          <w:u w:val="single"/>
        </w:rPr>
        <w:t xml:space="preserve">The initiating STA shall not </w:t>
      </w:r>
      <w:r>
        <w:rPr>
          <w:color w:val="FF0000"/>
          <w:w w:val="100"/>
          <w:u w:val="single"/>
        </w:rPr>
        <w:t xml:space="preserve">indicate ‘No preference’ </w:t>
      </w:r>
      <w:r w:rsidRPr="00E54B07">
        <w:rPr>
          <w:color w:val="FF0000"/>
          <w:w w:val="100"/>
          <w:u w:val="single"/>
        </w:rPr>
        <w:t>in</w:t>
      </w:r>
      <w:r>
        <w:rPr>
          <w:color w:val="FF0000"/>
          <w:w w:val="100"/>
          <w:u w:val="single"/>
        </w:rPr>
        <w:t xml:space="preserve"> the Format </w:t>
      </w:r>
      <w:proofErr w:type="gramStart"/>
      <w:r>
        <w:rPr>
          <w:color w:val="FF0000"/>
          <w:w w:val="100"/>
          <w:u w:val="single"/>
        </w:rPr>
        <w:t>And</w:t>
      </w:r>
      <w:proofErr w:type="gramEnd"/>
      <w:r>
        <w:rPr>
          <w:color w:val="FF0000"/>
          <w:w w:val="100"/>
          <w:u w:val="single"/>
        </w:rPr>
        <w:t xml:space="preserve"> Bandwidth field</w:t>
      </w:r>
      <w:r w:rsidRPr="00E54B07">
        <w:rPr>
          <w:color w:val="FF0000"/>
          <w:w w:val="100"/>
          <w:u w:val="single"/>
        </w:rPr>
        <w:t>, unless it supports FTM for all Formats and Bandwidths that the Responder</w:t>
      </w:r>
      <w:r>
        <w:rPr>
          <w:color w:val="FF0000"/>
          <w:w w:val="100"/>
          <w:u w:val="single"/>
        </w:rPr>
        <w:t xml:space="preserve"> may select for the FTM session</w:t>
      </w:r>
      <w:r w:rsidRPr="00E54B07">
        <w:rPr>
          <w:color w:val="FF0000"/>
          <w:w w:val="100"/>
          <w:u w:val="single"/>
        </w:rPr>
        <w:t xml:space="preserve">. </w:t>
      </w:r>
    </w:p>
    <w:p w:rsidR="00E54B07" w:rsidRPr="001625B7" w:rsidRDefault="00E54B07" w:rsidP="007928F2">
      <w:pPr>
        <w:pStyle w:val="T"/>
        <w:rPr>
          <w:color w:val="FF0000"/>
          <w:w w:val="100"/>
          <w:u w:val="single"/>
        </w:rPr>
      </w:pPr>
      <w:r w:rsidRPr="001625B7">
        <w:rPr>
          <w:color w:val="FF0000"/>
          <w:w w:val="100"/>
          <w:u w:val="single"/>
        </w:rPr>
        <w:t xml:space="preserve">Note: -- The </w:t>
      </w:r>
      <w:r>
        <w:rPr>
          <w:color w:val="FF0000"/>
          <w:w w:val="100"/>
          <w:u w:val="single"/>
        </w:rPr>
        <w:t xml:space="preserve">use of </w:t>
      </w:r>
      <w:r w:rsidR="001C705D">
        <w:rPr>
          <w:color w:val="FF0000"/>
          <w:w w:val="100"/>
          <w:u w:val="single"/>
        </w:rPr>
        <w:t xml:space="preserve">transmitted </w:t>
      </w:r>
      <w:r w:rsidRPr="001625B7">
        <w:rPr>
          <w:color w:val="FF0000"/>
          <w:w w:val="100"/>
          <w:u w:val="single"/>
        </w:rPr>
        <w:t>phase relations b</w:t>
      </w:r>
      <w:r>
        <w:rPr>
          <w:color w:val="FF0000"/>
          <w:w w:val="100"/>
          <w:u w:val="single"/>
        </w:rPr>
        <w:t xml:space="preserve">etween the 20 MHz segments in </w:t>
      </w:r>
      <w:r w:rsidRPr="001625B7">
        <w:rPr>
          <w:color w:val="FF0000"/>
          <w:w w:val="100"/>
          <w:u w:val="single"/>
        </w:rPr>
        <w:t>non-HT duplicate PPDU</w:t>
      </w:r>
      <w:r>
        <w:rPr>
          <w:color w:val="FF0000"/>
          <w:w w:val="100"/>
          <w:u w:val="single"/>
        </w:rPr>
        <w:t>s</w:t>
      </w:r>
      <w:r w:rsidRPr="001625B7">
        <w:rPr>
          <w:color w:val="FF0000"/>
          <w:w w:val="100"/>
          <w:u w:val="single"/>
        </w:rPr>
        <w:t xml:space="preserve"> </w:t>
      </w:r>
      <w:r>
        <w:rPr>
          <w:color w:val="FF0000"/>
          <w:w w:val="100"/>
          <w:u w:val="single"/>
        </w:rPr>
        <w:t xml:space="preserve">according to </w:t>
      </w:r>
      <w:r w:rsidR="00093FCA">
        <w:rPr>
          <w:color w:val="FF0000"/>
          <w:w w:val="100"/>
          <w:u w:val="single"/>
        </w:rPr>
        <w:t>sections 19.3.11.11.4 Trans</w:t>
      </w:r>
      <w:r w:rsidRPr="001625B7">
        <w:rPr>
          <w:color w:val="FF0000"/>
          <w:w w:val="100"/>
          <w:u w:val="single"/>
        </w:rPr>
        <w:t>mission of 40 MHz HT format; and 21.3.7.5</w:t>
      </w:r>
      <w:r>
        <w:rPr>
          <w:color w:val="FF0000"/>
          <w:w w:val="100"/>
          <w:u w:val="single"/>
        </w:rPr>
        <w:t xml:space="preserve"> Definition of tone rotation</w:t>
      </w:r>
      <w:r w:rsidR="00405EF0">
        <w:rPr>
          <w:color w:val="FF0000"/>
          <w:w w:val="100"/>
          <w:u w:val="single"/>
        </w:rPr>
        <w:t>,</w:t>
      </w:r>
      <w:r w:rsidRPr="001625B7">
        <w:rPr>
          <w:color w:val="FF0000"/>
          <w:w w:val="100"/>
          <w:u w:val="single"/>
        </w:rPr>
        <w:t xml:space="preserve"> </w:t>
      </w:r>
      <w:r w:rsidR="007B5D13">
        <w:rPr>
          <w:color w:val="FF0000"/>
          <w:w w:val="100"/>
          <w:u w:val="single"/>
        </w:rPr>
        <w:t>are required to</w:t>
      </w:r>
      <w:r w:rsidR="00516B0A">
        <w:rPr>
          <w:color w:val="FF0000"/>
          <w:w w:val="100"/>
          <w:u w:val="single"/>
        </w:rPr>
        <w:t xml:space="preserve"> enable</w:t>
      </w:r>
      <w:r w:rsidR="003B05F6">
        <w:rPr>
          <w:color w:val="FF0000"/>
          <w:w w:val="100"/>
          <w:u w:val="single"/>
        </w:rPr>
        <w:t xml:space="preserve"> </w:t>
      </w:r>
      <w:r w:rsidR="001C705D">
        <w:rPr>
          <w:color w:val="FF0000"/>
          <w:w w:val="100"/>
          <w:u w:val="single"/>
        </w:rPr>
        <w:t xml:space="preserve">peer </w:t>
      </w:r>
      <w:r w:rsidR="007B5D13">
        <w:rPr>
          <w:color w:val="FF0000"/>
          <w:w w:val="100"/>
          <w:u w:val="single"/>
        </w:rPr>
        <w:t xml:space="preserve">TOA estimations on </w:t>
      </w:r>
      <w:r>
        <w:rPr>
          <w:color w:val="FF0000"/>
          <w:w w:val="100"/>
          <w:u w:val="single"/>
        </w:rPr>
        <w:t>FTM exchanges</w:t>
      </w:r>
      <w:r w:rsidR="003B05F6">
        <w:rPr>
          <w:color w:val="FF0000"/>
          <w:w w:val="100"/>
          <w:u w:val="single"/>
        </w:rPr>
        <w:t xml:space="preserve"> </w:t>
      </w:r>
      <w:r w:rsidR="003E71FC">
        <w:rPr>
          <w:color w:val="FF0000"/>
          <w:w w:val="100"/>
          <w:u w:val="single"/>
        </w:rPr>
        <w:t>(</w:t>
      </w:r>
      <w:r w:rsidR="003B05F6">
        <w:rPr>
          <w:color w:val="FF0000"/>
          <w:w w:val="100"/>
          <w:u w:val="single"/>
        </w:rPr>
        <w:t>and thus support it</w:t>
      </w:r>
      <w:r w:rsidR="003E71FC">
        <w:rPr>
          <w:color w:val="FF0000"/>
          <w:w w:val="100"/>
          <w:u w:val="single"/>
        </w:rPr>
        <w:t>)</w:t>
      </w:r>
      <w:r w:rsidR="003B05F6">
        <w:rPr>
          <w:color w:val="FF0000"/>
          <w:w w:val="100"/>
          <w:u w:val="single"/>
        </w:rPr>
        <w:t xml:space="preserve"> </w:t>
      </w:r>
      <w:r>
        <w:rPr>
          <w:color w:val="FF0000"/>
          <w:w w:val="100"/>
          <w:u w:val="single"/>
        </w:rPr>
        <w:t>using non-HT duplicate PPDUs.</w:t>
      </w:r>
      <w:r w:rsidRPr="001625B7">
        <w:rPr>
          <w:color w:val="FF0000"/>
          <w:w w:val="100"/>
          <w:u w:val="single"/>
        </w:rPr>
        <w:t xml:space="preserve"> </w:t>
      </w:r>
    </w:p>
    <w:p w:rsidR="007928F2" w:rsidRDefault="007928F2" w:rsidP="007928F2">
      <w:pPr>
        <w:pStyle w:val="T"/>
        <w:keepNext/>
        <w:rPr>
          <w:w w:val="100"/>
        </w:rPr>
      </w:pPr>
      <w:r>
        <w:rPr>
          <w:w w:val="100"/>
        </w:rPr>
        <w:t>If the request was successful</w:t>
      </w:r>
    </w:p>
    <w:p w:rsidR="007928F2" w:rsidRDefault="007928F2" w:rsidP="007928F2">
      <w:pPr>
        <w:pStyle w:val="DL"/>
        <w:numPr>
          <w:ilvl w:val="0"/>
          <w:numId w:val="1"/>
        </w:numPr>
        <w:ind w:left="640" w:hanging="440"/>
        <w:rPr>
          <w:w w:val="100"/>
        </w:rPr>
      </w:pPr>
      <w:r>
        <w:rPr>
          <w:w w:val="100"/>
        </w:rPr>
        <w:t>(#1015)The responding STA shall indicate, in the Format and Bandwidth field, a format and bandwidth that it supports. The responding STA should indicate the same format and bandwidth in the Format and Bandwidth field as that requested by the initiating STA, if the responding STA supports this. The responding STA shall not indicate a bandwidth wider than requested. The responding STA shall not indicate a VHT format if DMG, HT-mixed or non-HT format was requested. (#1015)The responding STA shall not indicate an HT format if DMG or non-HT format was requested. The responding STA shall not indicate a DMG format if VHT, HT-mixed or non-HT format was requested.</w:t>
      </w:r>
    </w:p>
    <w:p w:rsidR="007928F2" w:rsidRDefault="007928F2" w:rsidP="007928F2">
      <w:pPr>
        <w:pStyle w:val="DL"/>
        <w:numPr>
          <w:ilvl w:val="0"/>
          <w:numId w:val="1"/>
        </w:numPr>
        <w:ind w:left="640" w:hanging="440"/>
        <w:rPr>
          <w:w w:val="100"/>
        </w:rPr>
      </w:pPr>
      <w:r>
        <w:rPr>
          <w:w w:val="100"/>
        </w:rPr>
        <w:t xml:space="preserve">An initiating STA performing an </w:t>
      </w:r>
      <w:proofErr w:type="gramStart"/>
      <w:r>
        <w:rPr>
          <w:w w:val="100"/>
        </w:rPr>
        <w:t>FTM(</w:t>
      </w:r>
      <w:proofErr w:type="gramEnd"/>
      <w:r>
        <w:rPr>
          <w:w w:val="100"/>
        </w:rPr>
        <w:t>#1022) procedure with a responding STA that is an AP shall support non-ASAP operation.</w:t>
      </w:r>
    </w:p>
    <w:p w:rsidR="007928F2" w:rsidRDefault="007928F2" w:rsidP="007928F2">
      <w:pPr>
        <w:pStyle w:val="DL"/>
        <w:numPr>
          <w:ilvl w:val="0"/>
          <w:numId w:val="1"/>
        </w:numPr>
        <w:ind w:left="640" w:hanging="440"/>
        <w:rPr>
          <w:w w:val="100"/>
        </w:rPr>
      </w:pPr>
      <w:r>
        <w:rPr>
          <w:w w:val="100"/>
        </w:rPr>
        <w:t>A responding STA that is an AP shall support and select non-ASAP operation when so requested by an initiating STA.</w:t>
      </w:r>
    </w:p>
    <w:p w:rsidR="007928F2" w:rsidRDefault="007928F2" w:rsidP="007928F2">
      <w:pPr>
        <w:pStyle w:val="DL"/>
        <w:numPr>
          <w:ilvl w:val="0"/>
          <w:numId w:val="1"/>
        </w:numPr>
        <w:ind w:left="640" w:hanging="440"/>
        <w:rPr>
          <w:w w:val="100"/>
        </w:rPr>
      </w:pPr>
      <w:r>
        <w:rPr>
          <w:w w:val="100"/>
        </w:rPr>
        <w:t xml:space="preserve">An initiating STA performing an </w:t>
      </w:r>
      <w:proofErr w:type="gramStart"/>
      <w:r>
        <w:rPr>
          <w:w w:val="100"/>
        </w:rPr>
        <w:t>FTM(</w:t>
      </w:r>
      <w:proofErr w:type="gramEnd"/>
      <w:r>
        <w:rPr>
          <w:w w:val="100"/>
        </w:rPr>
        <w:t>#1022) procedure with a responding STA that is not an AP shall support ASAP operation.</w:t>
      </w:r>
    </w:p>
    <w:p w:rsidR="007928F2" w:rsidRDefault="007928F2" w:rsidP="007928F2">
      <w:pPr>
        <w:pStyle w:val="DL"/>
        <w:numPr>
          <w:ilvl w:val="0"/>
          <w:numId w:val="1"/>
        </w:numPr>
        <w:ind w:left="640" w:hanging="440"/>
        <w:rPr>
          <w:w w:val="100"/>
        </w:rPr>
      </w:pPr>
      <w:r>
        <w:rPr>
          <w:w w:val="100"/>
        </w:rPr>
        <w:t>A responding STA that is not an AP shall support and select ASAP operation when so requested by an initiating STA.</w:t>
      </w:r>
    </w:p>
    <w:p w:rsidR="007928F2" w:rsidRDefault="007928F2" w:rsidP="007928F2">
      <w:pPr>
        <w:pStyle w:val="DL"/>
        <w:numPr>
          <w:ilvl w:val="0"/>
          <w:numId w:val="1"/>
        </w:numPr>
        <w:ind w:left="640" w:hanging="440"/>
        <w:rPr>
          <w:w w:val="100"/>
        </w:rPr>
      </w:pPr>
      <w:r>
        <w:rPr>
          <w:w w:val="100"/>
        </w:rPr>
        <w:t>If the responding STA is ASAP capable, the responding STA’s selection of ASAP should be the same as that requested by the initiating STA.</w:t>
      </w:r>
    </w:p>
    <w:p w:rsidR="007928F2" w:rsidRDefault="007928F2" w:rsidP="007928F2">
      <w:pPr>
        <w:pStyle w:val="DL"/>
        <w:numPr>
          <w:ilvl w:val="0"/>
          <w:numId w:val="1"/>
        </w:numPr>
        <w:ind w:left="640" w:hanging="440"/>
        <w:rPr>
          <w:w w:val="100"/>
        </w:rPr>
      </w:pPr>
      <w:r>
        <w:rPr>
          <w:w w:val="100"/>
        </w:rPr>
        <w:t xml:space="preserve">The responding STA’s selection of the Min Delta FTM field value shall be greater than or equal to the value requested by the initiating STA. </w:t>
      </w:r>
    </w:p>
    <w:p w:rsidR="007928F2" w:rsidRDefault="007928F2" w:rsidP="007928F2">
      <w:pPr>
        <w:pStyle w:val="DL"/>
        <w:numPr>
          <w:ilvl w:val="0"/>
          <w:numId w:val="1"/>
        </w:numPr>
        <w:ind w:left="640" w:hanging="440"/>
        <w:rPr>
          <w:w w:val="100"/>
        </w:rPr>
      </w:pPr>
      <w:r>
        <w:rPr>
          <w:w w:val="100"/>
        </w:rPr>
        <w:t>The responding STA’s selection of the Number of Bursts Exponent field value shall be 0 if the initiating STA requested it to be 0.</w:t>
      </w:r>
    </w:p>
    <w:p w:rsidR="007928F2" w:rsidRDefault="007928F2" w:rsidP="007928F2">
      <w:pPr>
        <w:pStyle w:val="DL"/>
        <w:numPr>
          <w:ilvl w:val="0"/>
          <w:numId w:val="1"/>
        </w:numPr>
        <w:ind w:left="640" w:hanging="440"/>
        <w:rPr>
          <w:w w:val="100"/>
        </w:rPr>
      </w:pPr>
      <w:r>
        <w:rPr>
          <w:w w:val="100"/>
        </w:rPr>
        <w:t>The responding STA’s selection of the Burst Duration field value should be less than or equal to the one requested by the initiating STA if the requested (#1426</w:t>
      </w:r>
      <w:proofErr w:type="gramStart"/>
      <w:r>
        <w:rPr>
          <w:w w:val="100"/>
        </w:rPr>
        <w:t>)FTMs</w:t>
      </w:r>
      <w:proofErr w:type="gramEnd"/>
      <w:r>
        <w:rPr>
          <w:w w:val="100"/>
        </w:rPr>
        <w:t xml:space="preserve"> Per Burst field value is set to a value indicating no preference, (#2344)subject to the recommendations below and the responding STA’s policy on the maximum and minimum Burst Duration field values. </w:t>
      </w:r>
    </w:p>
    <w:p w:rsidR="007928F2" w:rsidRDefault="007928F2" w:rsidP="007928F2">
      <w:pPr>
        <w:pStyle w:val="DL2"/>
        <w:numPr>
          <w:ilvl w:val="0"/>
          <w:numId w:val="1"/>
        </w:numPr>
        <w:ind w:left="1080" w:hanging="440"/>
        <w:rPr>
          <w:w w:val="100"/>
        </w:rPr>
      </w:pPr>
      <w:r>
        <w:rPr>
          <w:w w:val="100"/>
        </w:rPr>
        <w:t xml:space="preserve">If the Number of Bursts Exponent field is set to 0 and the ASAP field is set to 1, the Burst Duration field value should be set to indicate the value </w:t>
      </w:r>
      <w:r>
        <w:rPr>
          <w:i/>
          <w:iCs/>
          <w:w w:val="100"/>
        </w:rPr>
        <w:t>BD</w:t>
      </w:r>
      <w:r>
        <w:rPr>
          <w:rStyle w:val="Subscript"/>
          <w:w w:val="100"/>
        </w:rPr>
        <w:t>1</w:t>
      </w:r>
      <w:r>
        <w:rPr>
          <w:w w:val="100"/>
        </w:rPr>
        <w:t>, defined as follows:</w:t>
      </w:r>
    </w:p>
    <w:p w:rsidR="007928F2" w:rsidRDefault="007928F2" w:rsidP="007928F2">
      <w:pPr>
        <w:pStyle w:val="EU"/>
        <w:spacing w:before="180" w:after="180"/>
        <w:ind w:firstLine="1200"/>
        <w:rPr>
          <w:w w:val="100"/>
        </w:rPr>
      </w:pPr>
      <w:bookmarkStart w:id="2" w:name="RTF31333739353a204571756174"/>
    </w:p>
    <w:bookmarkEnd w:id="2"/>
    <w:p w:rsidR="007928F2" w:rsidRDefault="007928F2" w:rsidP="007928F2">
      <w:pPr>
        <w:pStyle w:val="T"/>
        <w:spacing w:before="180" w:after="180"/>
        <w:ind w:firstLine="1080"/>
        <w:rPr>
          <w:w w:val="100"/>
        </w:rPr>
      </w:pPr>
      <w:r>
        <w:rPr>
          <w:noProof/>
          <w:w w:val="100"/>
        </w:rPr>
        <w:drawing>
          <wp:inline distT="0" distB="0" distL="0" distR="0">
            <wp:extent cx="3797935" cy="1771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97935" cy="177165"/>
                    </a:xfrm>
                    <a:prstGeom prst="rect">
                      <a:avLst/>
                    </a:prstGeom>
                    <a:noFill/>
                    <a:ln>
                      <a:noFill/>
                    </a:ln>
                  </pic:spPr>
                </pic:pic>
              </a:graphicData>
            </a:graphic>
          </wp:inline>
        </w:drawing>
      </w:r>
      <w:proofErr w:type="gramStart"/>
      <w:r>
        <w:rPr>
          <w:w w:val="100"/>
        </w:rPr>
        <w:t>where</w:t>
      </w:r>
      <w:proofErr w:type="gramEnd"/>
      <w:r>
        <w:rPr>
          <w:w w:val="100"/>
        </w:rPr>
        <w:t xml:space="preserve"> </w:t>
      </w:r>
    </w:p>
    <w:p w:rsidR="007928F2" w:rsidRDefault="007928F2" w:rsidP="007928F2">
      <w:pPr>
        <w:pStyle w:val="VariableList"/>
        <w:tabs>
          <w:tab w:val="clear" w:pos="760"/>
          <w:tab w:val="clear" w:pos="1080"/>
          <w:tab w:val="left" w:pos="1980"/>
        </w:tabs>
        <w:ind w:left="1980" w:hanging="780"/>
        <w:rPr>
          <w:w w:val="100"/>
        </w:rPr>
      </w:pPr>
      <w:r>
        <w:rPr>
          <w:i/>
          <w:iCs/>
          <w:w w:val="100"/>
        </w:rPr>
        <w:t>N</w:t>
      </w:r>
      <w:r>
        <w:rPr>
          <w:rStyle w:val="Subscript"/>
          <w:i/>
          <w:iCs/>
          <w:w w:val="100"/>
        </w:rPr>
        <w:t>FTMPB</w:t>
      </w:r>
      <w:r>
        <w:rPr>
          <w:i/>
          <w:iCs/>
          <w:w w:val="100"/>
        </w:rPr>
        <w:tab/>
      </w:r>
      <w:r>
        <w:rPr>
          <w:w w:val="100"/>
        </w:rPr>
        <w:t>is the value of the (#1426</w:t>
      </w:r>
      <w:proofErr w:type="gramStart"/>
      <w:r>
        <w:rPr>
          <w:w w:val="100"/>
        </w:rPr>
        <w:t>)FTMs</w:t>
      </w:r>
      <w:proofErr w:type="gramEnd"/>
      <w:r>
        <w:rPr>
          <w:w w:val="100"/>
        </w:rPr>
        <w:t xml:space="preserve"> Per Burst field</w:t>
      </w:r>
    </w:p>
    <w:p w:rsidR="007928F2" w:rsidRDefault="007928F2" w:rsidP="007928F2">
      <w:pPr>
        <w:pStyle w:val="VariableList"/>
        <w:tabs>
          <w:tab w:val="clear" w:pos="760"/>
          <w:tab w:val="clear" w:pos="1080"/>
          <w:tab w:val="left" w:pos="1980"/>
        </w:tabs>
        <w:ind w:left="1980" w:hanging="780"/>
        <w:rPr>
          <w:w w:val="100"/>
        </w:rPr>
      </w:pPr>
      <w:r>
        <w:rPr>
          <w:i/>
          <w:iCs/>
          <w:w w:val="100"/>
        </w:rPr>
        <w:t>K</w:t>
      </w:r>
      <w:r>
        <w:rPr>
          <w:w w:val="100"/>
        </w:rPr>
        <w:tab/>
        <w:t>is the maximum number of Fine Timing Measurement frame retransmissions the responding STA might attempt</w:t>
      </w:r>
    </w:p>
    <w:p w:rsidR="007928F2" w:rsidRDefault="007928F2" w:rsidP="007928F2">
      <w:pPr>
        <w:pStyle w:val="VariableList"/>
        <w:tabs>
          <w:tab w:val="clear" w:pos="760"/>
          <w:tab w:val="clear" w:pos="1080"/>
          <w:tab w:val="left" w:pos="1980"/>
        </w:tabs>
        <w:ind w:left="1980" w:hanging="780"/>
        <w:rPr>
          <w:w w:val="100"/>
        </w:rPr>
      </w:pPr>
      <w:r>
        <w:rPr>
          <w:i/>
          <w:iCs/>
          <w:w w:val="100"/>
        </w:rPr>
        <w:t>T</w:t>
      </w:r>
      <w:r>
        <w:rPr>
          <w:rStyle w:val="Subscript"/>
          <w:i/>
          <w:iCs/>
          <w:w w:val="100"/>
        </w:rPr>
        <w:t>MDFTM</w:t>
      </w:r>
      <w:r>
        <w:rPr>
          <w:w w:val="100"/>
        </w:rPr>
        <w:tab/>
        <w:t>is the duration indicated by the Min Delta FTM field of the Fine Timing Measurement Parameters field of the initial Fine Timing Measurement frame (FTM_1)</w:t>
      </w:r>
    </w:p>
    <w:p w:rsidR="007928F2" w:rsidRDefault="007928F2" w:rsidP="007928F2">
      <w:pPr>
        <w:pStyle w:val="VariableList"/>
        <w:tabs>
          <w:tab w:val="clear" w:pos="760"/>
          <w:tab w:val="clear" w:pos="1080"/>
          <w:tab w:val="left" w:pos="1980"/>
        </w:tabs>
        <w:ind w:left="1980" w:hanging="780"/>
        <w:rPr>
          <w:w w:val="100"/>
        </w:rPr>
      </w:pPr>
      <w:r>
        <w:rPr>
          <w:i/>
          <w:iCs/>
          <w:w w:val="100"/>
        </w:rPr>
        <w:t>T</w:t>
      </w:r>
      <w:r>
        <w:rPr>
          <w:rStyle w:val="Subscript"/>
          <w:i/>
          <w:iCs/>
          <w:w w:val="100"/>
        </w:rPr>
        <w:t>FTM</w:t>
      </w:r>
      <w:r>
        <w:rPr>
          <w:w w:val="100"/>
        </w:rPr>
        <w:t xml:space="preserve"> </w:t>
      </w:r>
      <w:r>
        <w:rPr>
          <w:w w:val="100"/>
        </w:rPr>
        <w:tab/>
        <w:t>is the duration of the initial Fine Timing Measurement frame if the (#1426</w:t>
      </w:r>
      <w:proofErr w:type="gramStart"/>
      <w:r>
        <w:rPr>
          <w:w w:val="100"/>
        </w:rPr>
        <w:t>)FTMs</w:t>
      </w:r>
      <w:proofErr w:type="gramEnd"/>
      <w:r>
        <w:rPr>
          <w:w w:val="100"/>
        </w:rPr>
        <w:t xml:space="preserve"> Per Burst field of the Fine Timing Measurement Parameters field of FTM_1 is set to 1, and the duration of the </w:t>
      </w:r>
      <w:proofErr w:type="spellStart"/>
      <w:r>
        <w:rPr>
          <w:w w:val="100"/>
        </w:rPr>
        <w:t>non initial</w:t>
      </w:r>
      <w:proofErr w:type="spellEnd"/>
      <w:r>
        <w:rPr>
          <w:w w:val="100"/>
        </w:rPr>
        <w:t xml:space="preserve"> Fine Timing Measurement frame otherwise</w:t>
      </w:r>
    </w:p>
    <w:p w:rsidR="007928F2" w:rsidRDefault="007928F2" w:rsidP="007928F2">
      <w:pPr>
        <w:pStyle w:val="VariableList"/>
        <w:tabs>
          <w:tab w:val="clear" w:pos="760"/>
          <w:tab w:val="clear" w:pos="1080"/>
          <w:tab w:val="left" w:pos="1980"/>
        </w:tabs>
        <w:ind w:left="1980" w:hanging="780"/>
        <w:rPr>
          <w:w w:val="100"/>
        </w:rPr>
      </w:pPr>
      <w:proofErr w:type="spellStart"/>
      <w:r>
        <w:rPr>
          <w:i/>
          <w:iCs/>
          <w:w w:val="100"/>
        </w:rPr>
        <w:t>T</w:t>
      </w:r>
      <w:r>
        <w:rPr>
          <w:rStyle w:val="Subscript"/>
          <w:i/>
          <w:iCs/>
          <w:w w:val="100"/>
        </w:rPr>
        <w:t>Ack</w:t>
      </w:r>
      <w:proofErr w:type="spellEnd"/>
      <w:r>
        <w:rPr>
          <w:w w:val="100"/>
        </w:rPr>
        <w:tab/>
        <w:t xml:space="preserve">is the duration of the </w:t>
      </w:r>
      <w:proofErr w:type="spellStart"/>
      <w:r>
        <w:rPr>
          <w:w w:val="100"/>
        </w:rPr>
        <w:t>Ack</w:t>
      </w:r>
      <w:proofErr w:type="spellEnd"/>
      <w:r>
        <w:rPr>
          <w:w w:val="100"/>
        </w:rPr>
        <w:t xml:space="preserve"> frame expected as a response</w:t>
      </w:r>
    </w:p>
    <w:p w:rsidR="007928F2" w:rsidRDefault="007928F2" w:rsidP="007928F2">
      <w:pPr>
        <w:pStyle w:val="DL2"/>
        <w:numPr>
          <w:ilvl w:val="0"/>
          <w:numId w:val="1"/>
        </w:numPr>
        <w:ind w:left="1080" w:hanging="440"/>
        <w:rPr>
          <w:w w:val="100"/>
        </w:rPr>
      </w:pPr>
      <w:r>
        <w:rPr>
          <w:w w:val="100"/>
        </w:rPr>
        <w:lastRenderedPageBreak/>
        <w:t>Otherwise, the Burst Duration field value should be set to indicate a value greater than or equal to the following value:</w:t>
      </w:r>
    </w:p>
    <w:p w:rsidR="007928F2" w:rsidRDefault="007928F2" w:rsidP="007928F2">
      <w:pPr>
        <w:pStyle w:val="EU"/>
        <w:spacing w:before="180" w:after="180"/>
        <w:ind w:firstLine="1200"/>
        <w:rPr>
          <w:w w:val="100"/>
        </w:rPr>
      </w:pPr>
      <w:r>
        <w:rPr>
          <w:noProof/>
          <w:w w:val="100"/>
        </w:rPr>
        <w:drawing>
          <wp:inline distT="0" distB="0" distL="0" distR="0">
            <wp:extent cx="2536825" cy="1771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6825" cy="177165"/>
                    </a:xfrm>
                    <a:prstGeom prst="rect">
                      <a:avLst/>
                    </a:prstGeom>
                    <a:noFill/>
                    <a:ln>
                      <a:noFill/>
                    </a:ln>
                  </pic:spPr>
                </pic:pic>
              </a:graphicData>
            </a:graphic>
          </wp:inline>
        </w:drawing>
      </w:r>
    </w:p>
    <w:p w:rsidR="007928F2" w:rsidRDefault="007928F2" w:rsidP="007928F2">
      <w:pPr>
        <w:pStyle w:val="T"/>
        <w:spacing w:before="180" w:after="180"/>
        <w:ind w:firstLine="1080"/>
        <w:rPr>
          <w:w w:val="100"/>
        </w:rPr>
      </w:pPr>
      <w:proofErr w:type="gramStart"/>
      <w:r>
        <w:rPr>
          <w:w w:val="100"/>
        </w:rPr>
        <w:t>where</w:t>
      </w:r>
      <w:proofErr w:type="gramEnd"/>
      <w:r>
        <w:rPr>
          <w:w w:val="100"/>
        </w:rPr>
        <w:t xml:space="preserve"> </w:t>
      </w:r>
    </w:p>
    <w:p w:rsidR="007928F2" w:rsidRDefault="007928F2" w:rsidP="007928F2">
      <w:pPr>
        <w:pStyle w:val="VariableList"/>
        <w:tabs>
          <w:tab w:val="clear" w:pos="760"/>
          <w:tab w:val="clear" w:pos="1080"/>
        </w:tabs>
        <w:ind w:left="2160" w:hanging="960"/>
        <w:rPr>
          <w:w w:val="100"/>
        </w:rPr>
      </w:pPr>
      <w:r>
        <w:rPr>
          <w:i/>
          <w:iCs/>
          <w:w w:val="100"/>
        </w:rPr>
        <w:t>T</w:t>
      </w:r>
      <w:r>
        <w:rPr>
          <w:rStyle w:val="Subscript"/>
          <w:i/>
          <w:iCs/>
          <w:w w:val="100"/>
        </w:rPr>
        <w:t>FTMR</w:t>
      </w:r>
      <w:r>
        <w:rPr>
          <w:w w:val="100"/>
        </w:rPr>
        <w:tab/>
        <w:t xml:space="preserve">is the duration of a Fine Timing Measurement Request frame without a Measurement Request element and without a Fine Timing Measurement Parameters element </w:t>
      </w:r>
    </w:p>
    <w:p w:rsidR="007928F2" w:rsidRDefault="007928F2" w:rsidP="007928F2">
      <w:pPr>
        <w:pStyle w:val="VariableList"/>
        <w:tabs>
          <w:tab w:val="clear" w:pos="760"/>
          <w:tab w:val="clear" w:pos="1080"/>
        </w:tabs>
        <w:ind w:left="1980" w:hanging="780"/>
        <w:rPr>
          <w:w w:val="100"/>
        </w:rPr>
      </w:pPr>
      <w:r>
        <w:rPr>
          <w:i/>
          <w:iCs/>
          <w:w w:val="100"/>
        </w:rPr>
        <w:t>T</w:t>
      </w:r>
      <w:r>
        <w:rPr>
          <w:rStyle w:val="Subscript"/>
          <w:i/>
          <w:iCs/>
          <w:w w:val="100"/>
        </w:rPr>
        <w:t>ACCESS_FTM</w:t>
      </w:r>
      <w:r>
        <w:rPr>
          <w:w w:val="100"/>
        </w:rPr>
        <w:t xml:space="preserve"> </w:t>
      </w:r>
      <w:r>
        <w:rPr>
          <w:w w:val="100"/>
        </w:rPr>
        <w:tab/>
        <w:t xml:space="preserve">is the estimated medium access time for the first Fine Timing Measurement </w:t>
      </w:r>
      <w:proofErr w:type="gramStart"/>
      <w:r>
        <w:rPr>
          <w:w w:val="100"/>
        </w:rPr>
        <w:t>frame(</w:t>
      </w:r>
      <w:proofErr w:type="gramEnd"/>
      <w:r>
        <w:rPr>
          <w:w w:val="100"/>
        </w:rPr>
        <w:t>#1353) in a burst</w:t>
      </w:r>
    </w:p>
    <w:p w:rsidR="007928F2" w:rsidRDefault="007928F2" w:rsidP="007928F2">
      <w:pPr>
        <w:pStyle w:val="DL"/>
        <w:numPr>
          <w:ilvl w:val="0"/>
          <w:numId w:val="1"/>
        </w:numPr>
        <w:ind w:left="640" w:hanging="440"/>
        <w:rPr>
          <w:w w:val="100"/>
        </w:rPr>
      </w:pPr>
      <w:r>
        <w:rPr>
          <w:w w:val="100"/>
        </w:rPr>
        <w:t>The responding STA’s selection of the (#1426)FTMs Per Burst field should be the same as the one requested by the initiating STA if the requested the Burst Duration field indicates no preference (see Table 9-280 (Burst Duration field encoding)), subject to the responding STA’s policy on the maximum value of the (#1426)FTMs Per Burst field.(MDR2)</w:t>
      </w:r>
    </w:p>
    <w:p w:rsidR="007928F2" w:rsidRDefault="007928F2" w:rsidP="007928F2">
      <w:pPr>
        <w:pStyle w:val="DL"/>
        <w:numPr>
          <w:ilvl w:val="0"/>
          <w:numId w:val="1"/>
        </w:numPr>
        <w:ind w:left="640" w:hanging="440"/>
        <w:rPr>
          <w:w w:val="100"/>
        </w:rPr>
      </w:pPr>
      <w:r>
        <w:rPr>
          <w:w w:val="100"/>
        </w:rPr>
        <w:t>The responding STA’s selection of Burst Period shall be greater than or equal the responding STA’s selection of Burst Duration.</w:t>
      </w:r>
    </w:p>
    <w:p w:rsidR="007928F2" w:rsidRDefault="007928F2" w:rsidP="007928F2">
      <w:pPr>
        <w:pStyle w:val="Note"/>
        <w:rPr>
          <w:w w:val="100"/>
        </w:rPr>
      </w:pPr>
      <w:r>
        <w:rPr>
          <w:w w:val="100"/>
        </w:rPr>
        <w:t>NOTE—Apart from the Status Indication, Value, ASAP, Number of Bursts Exponent, Min Delta FTM, and Burst Period fields, the other fields in the Fine Timing Measurement Parameters element in the initial Fine Timing Measurement frame have no constraints.</w:t>
      </w:r>
    </w:p>
    <w:p w:rsidR="007928F2" w:rsidRDefault="007928F2" w:rsidP="007928F2">
      <w:pPr>
        <w:pStyle w:val="T"/>
        <w:rPr>
          <w:w w:val="100"/>
        </w:rPr>
      </w:pPr>
      <w:r>
        <w:rPr>
          <w:w w:val="100"/>
        </w:rPr>
        <w:t xml:space="preserve">When the responding STA cannot support the initiator’s Min Delta FTM or Number of Bursts Exponent constraints, the responding STA shall set the Status Indication field to Request incapable and the FTM session ends. When the responding STA is unable to fulfill the request by the initiating STA, the responding STA shall set the Status Indication field to Request failed and the FTM session ends. </w:t>
      </w:r>
    </w:p>
    <w:p w:rsidR="006B1587" w:rsidRDefault="006B1587">
      <w:pPr>
        <w:rPr>
          <w:b/>
          <w:bCs/>
        </w:rPr>
      </w:pPr>
      <w:r>
        <w:rPr>
          <w:b/>
          <w:bCs/>
        </w:rPr>
        <w:br w:type="page"/>
      </w:r>
    </w:p>
    <w:p w:rsidR="006B1587" w:rsidRDefault="006B1587" w:rsidP="00037216">
      <w:pPr>
        <w:rPr>
          <w:b/>
          <w:bCs/>
        </w:rPr>
      </w:pPr>
    </w:p>
    <w:p w:rsidR="00037216" w:rsidRDefault="00037216" w:rsidP="00037216">
      <w:pPr>
        <w:rPr>
          <w:b/>
          <w:bCs/>
          <w:i/>
          <w:iCs/>
        </w:rPr>
      </w:pPr>
      <w:proofErr w:type="spellStart"/>
      <w:r>
        <w:rPr>
          <w:b/>
          <w:bCs/>
          <w:i/>
          <w:iCs/>
        </w:rPr>
        <w:t>TGaz</w:t>
      </w:r>
      <w:proofErr w:type="spellEnd"/>
      <w:r>
        <w:rPr>
          <w:b/>
          <w:bCs/>
          <w:i/>
          <w:iCs/>
        </w:rPr>
        <w:t xml:space="preserve"> Editor: </w:t>
      </w:r>
      <w:r w:rsidR="00B35D91">
        <w:rPr>
          <w:b/>
          <w:bCs/>
          <w:i/>
          <w:iCs/>
        </w:rPr>
        <w:t>Change the text in P38L32</w:t>
      </w:r>
      <w:r>
        <w:rPr>
          <w:b/>
          <w:bCs/>
          <w:i/>
          <w:iCs/>
        </w:rPr>
        <w:t xml:space="preserve"> as follows:</w:t>
      </w:r>
    </w:p>
    <w:p w:rsidR="00B35D91" w:rsidRDefault="00B35D91" w:rsidP="00037216">
      <w:pPr>
        <w:rPr>
          <w:b/>
          <w:bCs/>
          <w:i/>
          <w:iCs/>
          <w:szCs w:val="22"/>
        </w:rPr>
      </w:pPr>
    </w:p>
    <w:p w:rsidR="00CA09B2" w:rsidRDefault="00CA09B2">
      <w:pPr>
        <w:rPr>
          <w:b/>
          <w:sz w:val="24"/>
        </w:rPr>
      </w:pPr>
      <w:r>
        <w:rPr>
          <w:b/>
          <w:sz w:val="24"/>
        </w:rPr>
        <w:t>References:</w:t>
      </w:r>
    </w:p>
    <w:p w:rsidR="0008604B" w:rsidRDefault="0008604B">
      <w:pPr>
        <w:rPr>
          <w:b/>
          <w:sz w:val="24"/>
        </w:rPr>
      </w:pPr>
      <w:r>
        <w:rPr>
          <w:b/>
          <w:sz w:val="24"/>
        </w:rPr>
        <w:t>[1] Draft P802.11az_D1.0</w:t>
      </w:r>
    </w:p>
    <w:p w:rsidR="0008604B" w:rsidRDefault="0008604B">
      <w:pPr>
        <w:rPr>
          <w:b/>
          <w:sz w:val="24"/>
        </w:rPr>
      </w:pPr>
      <w:r>
        <w:rPr>
          <w:b/>
          <w:sz w:val="24"/>
        </w:rPr>
        <w:t>[2] Draft P802.11ay_D3.0</w:t>
      </w:r>
    </w:p>
    <w:p w:rsidR="0008604B" w:rsidRDefault="001C705D">
      <w:pPr>
        <w:rPr>
          <w:b/>
          <w:sz w:val="24"/>
        </w:rPr>
      </w:pPr>
      <w:r>
        <w:rPr>
          <w:b/>
          <w:sz w:val="24"/>
        </w:rPr>
        <w:t>[3] Draft P802.11REVmd_D2.2</w:t>
      </w:r>
    </w:p>
    <w:p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4BE" w:rsidRDefault="00AD34BE">
      <w:r>
        <w:separator/>
      </w:r>
    </w:p>
  </w:endnote>
  <w:endnote w:type="continuationSeparator" w:id="0">
    <w:p w:rsidR="00AD34BE" w:rsidRDefault="00AD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AD34BE">
    <w:pPr>
      <w:pStyle w:val="Footer"/>
      <w:tabs>
        <w:tab w:val="clear" w:pos="6480"/>
        <w:tab w:val="center" w:pos="4680"/>
        <w:tab w:val="right" w:pos="9360"/>
      </w:tabs>
    </w:pPr>
    <w:r>
      <w:fldChar w:fldCharType="begin"/>
    </w:r>
    <w:r>
      <w:instrText xml:space="preserve"> SUBJECT  \* MERGEFORMAT </w:instrText>
    </w:r>
    <w:r>
      <w:fldChar w:fldCharType="separate"/>
    </w:r>
    <w:r w:rsidR="00CE557F">
      <w:t>Submission</w:t>
    </w:r>
    <w:r>
      <w:fldChar w:fldCharType="end"/>
    </w:r>
    <w:r w:rsidR="0029020B">
      <w:tab/>
      <w:t xml:space="preserve">page </w:t>
    </w:r>
    <w:r w:rsidR="0029020B">
      <w:fldChar w:fldCharType="begin"/>
    </w:r>
    <w:r w:rsidR="0029020B">
      <w:instrText xml:space="preserve">page </w:instrText>
    </w:r>
    <w:r w:rsidR="0029020B">
      <w:fldChar w:fldCharType="separate"/>
    </w:r>
    <w:r w:rsidR="000D6AA5">
      <w:rPr>
        <w:noProof/>
      </w:rPr>
      <w:t>6</w:t>
    </w:r>
    <w:r w:rsidR="0029020B">
      <w:fldChar w:fldCharType="end"/>
    </w:r>
    <w:r w:rsidR="0029020B">
      <w:tab/>
    </w:r>
    <w:r>
      <w:fldChar w:fldCharType="begin"/>
    </w:r>
    <w:r>
      <w:instrText xml:space="preserve"> COMMENTS  \* MERGEFORMAT </w:instrText>
    </w:r>
    <w:r>
      <w:fldChar w:fldCharType="separate"/>
    </w:r>
    <w:r w:rsidR="00996A14">
      <w:t xml:space="preserve">Erik </w:t>
    </w:r>
    <w:proofErr w:type="spellStart"/>
    <w:r w:rsidR="00996A14">
      <w:t>Lidnskog</w:t>
    </w:r>
    <w:proofErr w:type="spellEnd"/>
    <w:r w:rsidR="00CE557F">
      <w:t xml:space="preserve">, </w:t>
    </w:r>
    <w:r w:rsidR="00996A14">
      <w:t>Samsung</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4BE" w:rsidRDefault="00AD34BE">
      <w:r>
        <w:separator/>
      </w:r>
    </w:p>
  </w:footnote>
  <w:footnote w:type="continuationSeparator" w:id="0">
    <w:p w:rsidR="00AD34BE" w:rsidRDefault="00AD3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AD34BE">
    <w:pPr>
      <w:pStyle w:val="Header"/>
      <w:tabs>
        <w:tab w:val="clear" w:pos="6480"/>
        <w:tab w:val="center" w:pos="4680"/>
        <w:tab w:val="right" w:pos="9360"/>
      </w:tabs>
    </w:pPr>
    <w:r>
      <w:fldChar w:fldCharType="begin"/>
    </w:r>
    <w:r>
      <w:instrText xml:space="preserve"> KEYWORDS  \* MERGEFORMAT </w:instrText>
    </w:r>
    <w:r>
      <w:fldChar w:fldCharType="separate"/>
    </w:r>
    <w:r w:rsidR="00C51798">
      <w:t>June</w:t>
    </w:r>
    <w:r w:rsidR="00C46F18">
      <w:t>, 2019</w:t>
    </w:r>
    <w:r>
      <w:fldChar w:fldCharType="end"/>
    </w:r>
    <w:r w:rsidR="0029020B">
      <w:tab/>
    </w:r>
    <w:r w:rsidR="0029020B">
      <w:tab/>
    </w:r>
    <w:r>
      <w:fldChar w:fldCharType="begin"/>
    </w:r>
    <w:r>
      <w:instrText xml:space="preserve"> TITLE  \* MERGEFORMAT </w:instrText>
    </w:r>
    <w:r>
      <w:fldChar w:fldCharType="separate"/>
    </w:r>
    <w:r w:rsidR="000D6AA5">
      <w:t>doc.: IEEE 802.11-19/1062r1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1489F2"/>
    <w:lvl w:ilvl="0">
      <w:numFmt w:val="bullet"/>
      <w:lvlText w:val="*"/>
      <w:lvlJc w:val="left"/>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11.22.6.3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302BA"/>
    <w:rsid w:val="00037216"/>
    <w:rsid w:val="00081647"/>
    <w:rsid w:val="0008604B"/>
    <w:rsid w:val="000928C5"/>
    <w:rsid w:val="00093FCA"/>
    <w:rsid w:val="000A1106"/>
    <w:rsid w:val="000A28CB"/>
    <w:rsid w:val="000C7FCA"/>
    <w:rsid w:val="000D6AA5"/>
    <w:rsid w:val="00111350"/>
    <w:rsid w:val="00123BE4"/>
    <w:rsid w:val="0012660C"/>
    <w:rsid w:val="00130F7D"/>
    <w:rsid w:val="001625B7"/>
    <w:rsid w:val="00174753"/>
    <w:rsid w:val="001A7ECD"/>
    <w:rsid w:val="001B3C52"/>
    <w:rsid w:val="001C432B"/>
    <w:rsid w:val="001C705D"/>
    <w:rsid w:val="001D723B"/>
    <w:rsid w:val="00203214"/>
    <w:rsid w:val="00204630"/>
    <w:rsid w:val="00214F9E"/>
    <w:rsid w:val="00246562"/>
    <w:rsid w:val="0029020B"/>
    <w:rsid w:val="002B60AA"/>
    <w:rsid w:val="002C0ED1"/>
    <w:rsid w:val="002D44BE"/>
    <w:rsid w:val="002F19A3"/>
    <w:rsid w:val="002F6900"/>
    <w:rsid w:val="0031312A"/>
    <w:rsid w:val="00360CE9"/>
    <w:rsid w:val="00397ACF"/>
    <w:rsid w:val="003B05F6"/>
    <w:rsid w:val="003E71FC"/>
    <w:rsid w:val="00405B8E"/>
    <w:rsid w:val="00405B98"/>
    <w:rsid w:val="00405EF0"/>
    <w:rsid w:val="00442037"/>
    <w:rsid w:val="004B064B"/>
    <w:rsid w:val="004F61F1"/>
    <w:rsid w:val="00501C46"/>
    <w:rsid w:val="005116F1"/>
    <w:rsid w:val="00516B0A"/>
    <w:rsid w:val="00544967"/>
    <w:rsid w:val="00556B38"/>
    <w:rsid w:val="00582B05"/>
    <w:rsid w:val="005935DC"/>
    <w:rsid w:val="005E7077"/>
    <w:rsid w:val="00611228"/>
    <w:rsid w:val="0062440B"/>
    <w:rsid w:val="00695B43"/>
    <w:rsid w:val="00697B2C"/>
    <w:rsid w:val="006B1587"/>
    <w:rsid w:val="006C0727"/>
    <w:rsid w:val="006E145F"/>
    <w:rsid w:val="00714BE8"/>
    <w:rsid w:val="00770572"/>
    <w:rsid w:val="007928F2"/>
    <w:rsid w:val="007A5BED"/>
    <w:rsid w:val="007B5D13"/>
    <w:rsid w:val="007E2770"/>
    <w:rsid w:val="007E6382"/>
    <w:rsid w:val="008976E9"/>
    <w:rsid w:val="008A7F08"/>
    <w:rsid w:val="008D2E46"/>
    <w:rsid w:val="00917214"/>
    <w:rsid w:val="009338B0"/>
    <w:rsid w:val="00996A14"/>
    <w:rsid w:val="009C6033"/>
    <w:rsid w:val="009F2FBC"/>
    <w:rsid w:val="009F56CF"/>
    <w:rsid w:val="00A034B4"/>
    <w:rsid w:val="00A71716"/>
    <w:rsid w:val="00A930A5"/>
    <w:rsid w:val="00AA427C"/>
    <w:rsid w:val="00AA5FF3"/>
    <w:rsid w:val="00AD34BE"/>
    <w:rsid w:val="00AF6919"/>
    <w:rsid w:val="00B14038"/>
    <w:rsid w:val="00B17B89"/>
    <w:rsid w:val="00B21AE4"/>
    <w:rsid w:val="00B35D91"/>
    <w:rsid w:val="00B37C85"/>
    <w:rsid w:val="00B40E1D"/>
    <w:rsid w:val="00B52520"/>
    <w:rsid w:val="00BB02FB"/>
    <w:rsid w:val="00BB6A2D"/>
    <w:rsid w:val="00BE68C2"/>
    <w:rsid w:val="00BF5923"/>
    <w:rsid w:val="00C14035"/>
    <w:rsid w:val="00C22274"/>
    <w:rsid w:val="00C37180"/>
    <w:rsid w:val="00C46F18"/>
    <w:rsid w:val="00C51798"/>
    <w:rsid w:val="00C964AD"/>
    <w:rsid w:val="00CA09B2"/>
    <w:rsid w:val="00CD10C5"/>
    <w:rsid w:val="00CE557F"/>
    <w:rsid w:val="00D0255D"/>
    <w:rsid w:val="00D061AD"/>
    <w:rsid w:val="00D33F8A"/>
    <w:rsid w:val="00D62526"/>
    <w:rsid w:val="00D72D4C"/>
    <w:rsid w:val="00D90E27"/>
    <w:rsid w:val="00D936C5"/>
    <w:rsid w:val="00DB3D81"/>
    <w:rsid w:val="00DC5A7B"/>
    <w:rsid w:val="00E33E2A"/>
    <w:rsid w:val="00E54B07"/>
    <w:rsid w:val="00E72404"/>
    <w:rsid w:val="00E76251"/>
    <w:rsid w:val="00EC558B"/>
    <w:rsid w:val="00EC640F"/>
    <w:rsid w:val="00EE264C"/>
    <w:rsid w:val="00EE59FA"/>
    <w:rsid w:val="00F876AA"/>
    <w:rsid w:val="00FA6D33"/>
    <w:rsid w:val="00FB4CA7"/>
    <w:rsid w:val="00FF4FFE"/>
    <w:rsid w:val="00FF5C0F"/>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1A0AB22-D6EA-442B-84A2-07A85650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customStyle="1" w:styleId="DL">
    <w:name w:val="DL"/>
    <w:aliases w:val="DashedList"/>
    <w:uiPriority w:val="99"/>
    <w:rsid w:val="007928F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ko-KR" w:bidi="ar-SA"/>
    </w:rPr>
  </w:style>
  <w:style w:type="paragraph" w:customStyle="1" w:styleId="DL2">
    <w:name w:val="DL2"/>
    <w:aliases w:val="DashedList1"/>
    <w:uiPriority w:val="99"/>
    <w:rsid w:val="007928F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rFonts w:eastAsiaTheme="minorEastAsia"/>
      <w:color w:val="000000"/>
      <w:w w:val="0"/>
      <w:lang w:eastAsia="ko-KR" w:bidi="ar-SA"/>
    </w:rPr>
  </w:style>
  <w:style w:type="paragraph" w:customStyle="1" w:styleId="EU">
    <w:name w:val="EU"/>
    <w:aliases w:val="EquationUnnumbered"/>
    <w:uiPriority w:val="99"/>
    <w:rsid w:val="007928F2"/>
    <w:pPr>
      <w:suppressAutoHyphens/>
      <w:autoSpaceDE w:val="0"/>
      <w:autoSpaceDN w:val="0"/>
      <w:adjustRightInd w:val="0"/>
      <w:spacing w:before="240" w:after="240" w:line="240" w:lineRule="atLeast"/>
      <w:ind w:firstLine="200"/>
    </w:pPr>
    <w:rPr>
      <w:rFonts w:eastAsiaTheme="minorEastAsia"/>
      <w:color w:val="000000"/>
      <w:w w:val="0"/>
      <w:lang w:eastAsia="ko-KR" w:bidi="ar-SA"/>
    </w:rPr>
  </w:style>
  <w:style w:type="paragraph" w:customStyle="1" w:styleId="H4">
    <w:name w:val="H4"/>
    <w:aliases w:val="1.1.1.1"/>
    <w:next w:val="T"/>
    <w:uiPriority w:val="99"/>
    <w:rsid w:val="007928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bidi="ar-SA"/>
    </w:rPr>
  </w:style>
  <w:style w:type="paragraph" w:customStyle="1" w:styleId="Note">
    <w:name w:val="Note"/>
    <w:uiPriority w:val="99"/>
    <w:rsid w:val="007928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ko-KR" w:bidi="ar-SA"/>
    </w:rPr>
  </w:style>
  <w:style w:type="paragraph" w:customStyle="1" w:styleId="T">
    <w:name w:val="T"/>
    <w:aliases w:val="Text"/>
    <w:uiPriority w:val="99"/>
    <w:rsid w:val="007928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ko-KR" w:bidi="ar-SA"/>
    </w:rPr>
  </w:style>
  <w:style w:type="paragraph" w:customStyle="1" w:styleId="VariableList">
    <w:name w:val="VariableList"/>
    <w:uiPriority w:val="99"/>
    <w:rsid w:val="007928F2"/>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ko-KR" w:bidi="ar-SA"/>
    </w:rPr>
  </w:style>
  <w:style w:type="character" w:customStyle="1" w:styleId="Subscript">
    <w:name w:val="Subscript"/>
    <w:uiPriority w:val="99"/>
    <w:rsid w:val="007928F2"/>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17</TotalTime>
  <Pages>6</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doc.: IEEE 802.11-19/0558r1</vt:lpstr>
    </vt:vector>
  </TitlesOfParts>
  <Company>Some Company</Company>
  <LinksUpToDate>false</LinksUpToDate>
  <CharactersWithSpaces>9510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802.11-19/1062r1</dc:title>
  <dc:subject>Submission</dc:subject>
  <dc:creator>Erik Lindskog</dc:creator>
  <cp:keywords>June, 2019</cp:keywords>
  <dc:description>Erik Lindskog, Samsung</dc:description>
  <cp:lastModifiedBy>Erik Lindskog</cp:lastModifiedBy>
  <cp:revision>10</cp:revision>
  <cp:lastPrinted>1900-01-01T07:00:00Z</cp:lastPrinted>
  <dcterms:created xsi:type="dcterms:W3CDTF">2019-06-28T16:31:00Z</dcterms:created>
  <dcterms:modified xsi:type="dcterms:W3CDTF">2019-06-28T16:48:00Z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