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0F" w:rsidRDefault="00853665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240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ab/>
      </w:r>
    </w:p>
    <w:p w:rsidR="008A5D0F" w:rsidRDefault="00853665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240"/>
        <w:jc w:val="center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IEEE P802.11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br/>
        <w:t>Wireless LANs</w:t>
      </w:r>
    </w:p>
    <w:p w:rsidR="00A23BCA" w:rsidRDefault="00A23BC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Georgia" w:eastAsia="Georgia" w:hAnsi="Georgia" w:cs="Georgia"/>
          <w:b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614"/>
        <w:gridCol w:w="3166"/>
        <w:gridCol w:w="1154"/>
        <w:gridCol w:w="2635"/>
      </w:tblGrid>
      <w:tr w:rsidR="00A23BCA" w:rsidRPr="00457A82" w:rsidTr="003D18E1">
        <w:trPr>
          <w:trHeight w:val="514"/>
          <w:jc w:val="center"/>
        </w:trPr>
        <w:tc>
          <w:tcPr>
            <w:tcW w:w="9951" w:type="dxa"/>
            <w:gridSpan w:val="5"/>
            <w:vAlign w:val="center"/>
          </w:tcPr>
          <w:p w:rsidR="00A23BCA" w:rsidRPr="00457A82" w:rsidRDefault="008936D8" w:rsidP="00BB15B9">
            <w:pPr>
              <w:pStyle w:val="T2"/>
              <w:rPr>
                <w:rFonts w:ascii="Georgia" w:hAnsi="Georgia"/>
                <w:sz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</w:rPr>
              <w:t>PASN Authenticated State 1a related text</w:t>
            </w:r>
          </w:p>
        </w:tc>
      </w:tr>
      <w:tr w:rsidR="00A23BCA" w:rsidRPr="00457A82" w:rsidTr="003D18E1">
        <w:trPr>
          <w:trHeight w:val="379"/>
          <w:jc w:val="center"/>
        </w:trPr>
        <w:tc>
          <w:tcPr>
            <w:tcW w:w="9951" w:type="dxa"/>
            <w:gridSpan w:val="5"/>
            <w:vAlign w:val="center"/>
          </w:tcPr>
          <w:p w:rsidR="00A23BCA" w:rsidRPr="00457A82" w:rsidRDefault="00A23BCA" w:rsidP="00BB15B9">
            <w:pPr>
              <w:pStyle w:val="T2"/>
              <w:ind w:left="0"/>
              <w:rPr>
                <w:rFonts w:ascii="Georgia" w:hAnsi="Georgia"/>
                <w:sz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</w:rPr>
              <w:t xml:space="preserve">Date:  </w:t>
            </w:r>
            <w:r w:rsidR="003D18E1">
              <w:rPr>
                <w:rFonts w:ascii="Georgia" w:eastAsia="Georgia" w:hAnsi="Georgia" w:cs="Georgia"/>
                <w:color w:val="000000"/>
                <w:sz w:val="20"/>
              </w:rPr>
              <w:t>2019-03-25</w:t>
            </w:r>
          </w:p>
        </w:tc>
      </w:tr>
      <w:tr w:rsidR="00A23BCA" w:rsidRPr="00457A82" w:rsidTr="003D18E1">
        <w:trPr>
          <w:cantSplit/>
          <w:trHeight w:val="230"/>
          <w:jc w:val="center"/>
        </w:trPr>
        <w:tc>
          <w:tcPr>
            <w:tcW w:w="9951" w:type="dxa"/>
            <w:gridSpan w:val="5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Author(s):</w:t>
            </w:r>
          </w:p>
        </w:tc>
      </w:tr>
      <w:tr w:rsidR="00A23BCA" w:rsidRPr="00457A82" w:rsidTr="003D18E1">
        <w:trPr>
          <w:trHeight w:val="230"/>
          <w:jc w:val="center"/>
        </w:trPr>
        <w:tc>
          <w:tcPr>
            <w:tcW w:w="1382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Name</w:t>
            </w:r>
          </w:p>
        </w:tc>
        <w:tc>
          <w:tcPr>
            <w:tcW w:w="1614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Company</w:t>
            </w:r>
          </w:p>
        </w:tc>
        <w:tc>
          <w:tcPr>
            <w:tcW w:w="3166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Address</w:t>
            </w:r>
          </w:p>
        </w:tc>
        <w:tc>
          <w:tcPr>
            <w:tcW w:w="1154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Email</w:t>
            </w:r>
          </w:p>
        </w:tc>
      </w:tr>
      <w:tr w:rsidR="00A23BCA" w:rsidRPr="00457A82" w:rsidTr="003D18E1">
        <w:trPr>
          <w:trHeight w:val="496"/>
          <w:jc w:val="center"/>
        </w:trPr>
        <w:tc>
          <w:tcPr>
            <w:tcW w:w="1382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rPr>
                <w:rFonts w:ascii="Georgia" w:hAnsi="Georgia"/>
                <w:b w:val="0"/>
                <w:sz w:val="20"/>
              </w:rPr>
            </w:pPr>
            <w:r w:rsidRPr="00457A82">
              <w:rPr>
                <w:rFonts w:ascii="Georgia" w:hAnsi="Georgia"/>
                <w:b w:val="0"/>
                <w:sz w:val="20"/>
              </w:rPr>
              <w:t>Nehru Bhandaru</w:t>
            </w:r>
          </w:p>
        </w:tc>
        <w:tc>
          <w:tcPr>
            <w:tcW w:w="1614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rPr>
                <w:rFonts w:ascii="Georgia" w:hAnsi="Georgia"/>
                <w:b w:val="0"/>
                <w:sz w:val="20"/>
              </w:rPr>
            </w:pPr>
            <w:r w:rsidRPr="00457A82">
              <w:rPr>
                <w:rFonts w:ascii="Georgia" w:hAnsi="Georgia"/>
                <w:b w:val="0"/>
                <w:sz w:val="20"/>
              </w:rPr>
              <w:t xml:space="preserve">Broadcom </w:t>
            </w:r>
            <w:r w:rsidR="003D18E1">
              <w:rPr>
                <w:rFonts w:ascii="Georgia" w:hAnsi="Georgia"/>
                <w:b w:val="0"/>
                <w:sz w:val="20"/>
              </w:rPr>
              <w:t>Inc</w:t>
            </w:r>
            <w:r w:rsidRPr="00457A82">
              <w:rPr>
                <w:rFonts w:ascii="Georgia" w:hAnsi="Georgia"/>
                <w:b w:val="0"/>
                <w:sz w:val="20"/>
              </w:rPr>
              <w:t>.</w:t>
            </w:r>
          </w:p>
        </w:tc>
        <w:tc>
          <w:tcPr>
            <w:tcW w:w="3166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rPr>
                <w:rFonts w:ascii="Georgia" w:hAnsi="Georgia"/>
                <w:b w:val="0"/>
                <w:sz w:val="20"/>
              </w:rPr>
            </w:pPr>
            <w:r w:rsidRPr="00457A82">
              <w:rPr>
                <w:rFonts w:ascii="Georgia" w:hAnsi="Georgia"/>
                <w:b w:val="0"/>
                <w:sz w:val="20"/>
              </w:rPr>
              <w:t>250 Innovation Drive, San Jose CA 95134 USA</w:t>
            </w:r>
          </w:p>
        </w:tc>
        <w:tc>
          <w:tcPr>
            <w:tcW w:w="1154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rPr>
                <w:rFonts w:ascii="Georgia" w:hAnsi="Georgia"/>
                <w:b w:val="0"/>
                <w:sz w:val="20"/>
              </w:rPr>
            </w:pPr>
            <w:r w:rsidRPr="00457A82">
              <w:rPr>
                <w:rFonts w:ascii="Georgia" w:hAnsi="Georgia"/>
                <w:b w:val="0"/>
                <w:sz w:val="20"/>
              </w:rPr>
              <w:t>408-391-2159</w:t>
            </w:r>
          </w:p>
        </w:tc>
        <w:tc>
          <w:tcPr>
            <w:tcW w:w="2635" w:type="dxa"/>
            <w:vAlign w:val="center"/>
          </w:tcPr>
          <w:p w:rsidR="00A23BCA" w:rsidRPr="003D18E1" w:rsidRDefault="0089766E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b w:val="0"/>
                <w:sz w:val="16"/>
                <w:szCs w:val="16"/>
              </w:rPr>
            </w:pPr>
            <w:hyperlink r:id="rId7" w:history="1">
              <w:r w:rsidR="00A23BCA" w:rsidRPr="003D18E1">
                <w:rPr>
                  <w:rStyle w:val="Hyperlink"/>
                  <w:rFonts w:ascii="Georgia" w:hAnsi="Georgia"/>
                  <w:b w:val="0"/>
                  <w:sz w:val="16"/>
                  <w:szCs w:val="16"/>
                </w:rPr>
                <w:t>nehru.bhandaru@broadcom.com</w:t>
              </w:r>
            </w:hyperlink>
          </w:p>
        </w:tc>
      </w:tr>
    </w:tbl>
    <w:p w:rsidR="008A5D0F" w:rsidRDefault="0085366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52754</wp:posOffset>
                </wp:positionH>
                <wp:positionV relativeFrom="paragraph">
                  <wp:posOffset>149616</wp:posOffset>
                </wp:positionV>
                <wp:extent cx="6175788" cy="207498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788" cy="2074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B22CE" w:rsidRDefault="00BB22C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Abstract</w:t>
                            </w:r>
                          </w:p>
                          <w:p w:rsidR="00BB22CE" w:rsidRDefault="00BB22CE">
                            <w:pPr>
                              <w:textDirection w:val="btLr"/>
                            </w:pPr>
                          </w:p>
                          <w:p w:rsidR="00BB22CE" w:rsidRDefault="00BB22CE" w:rsidP="008936D8">
                            <w:pPr>
                              <w:jc w:val="both"/>
                              <w:textDirection w:val="btLr"/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This submission contains proposed </w:t>
                            </w:r>
                            <w:r w:rsidR="008936D8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>changes that augment the resolution from 11-19/0718r3 that was adopted in 802.11az  to update the state machine Figure 11-16 in the base standard to support PASN (Pre-association Security Negotiation). It attempts to address a related comment that state machine descriptions in clauses 11.3.4 (Authentication) and 11.3.5</w:t>
                            </w:r>
                            <w:r w:rsidR="003630D2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 (Association) need</w:t>
                            </w:r>
                            <w:r w:rsidR="008936D8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 an update for the new state in Figure 11-16.</w:t>
                            </w:r>
                          </w:p>
                          <w:p w:rsidR="00BB22CE" w:rsidRPr="003D18E1" w:rsidRDefault="00BB22CE" w:rsidP="003D18E1">
                            <w:pPr>
                              <w:ind w:left="560"/>
                              <w:jc w:val="both"/>
                              <w:textDirection w:val="btLr"/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</w:pPr>
                          </w:p>
                          <w:p w:rsidR="00BB22CE" w:rsidRDefault="00BB22CE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Discussion of the comments, rationale and proposed changes are included. The changes are relative to </w:t>
                            </w:r>
                            <w:r w:rsidR="008936D8">
                              <w:rPr>
                                <w:rFonts w:ascii="Georgia" w:eastAsia="Georgia" w:hAnsi="Georgia" w:cs="Georgia"/>
                                <w:i/>
                                <w:color w:val="000000"/>
                                <w:sz w:val="20"/>
                              </w:rPr>
                              <w:t>IEEE P802.11-REVmd™/D2.2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8936D8">
                              <w:rPr>
                                <w:rFonts w:ascii="Georgia" w:eastAsia="Georgia" w:hAnsi="Georgia" w:cs="Georgia"/>
                                <w:i/>
                                <w:color w:val="000000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color w:val="000000"/>
                                <w:sz w:val="20"/>
                              </w:rPr>
                              <w:t xml:space="preserve"> 2019 [1] and IEEE P802.11-az/D1.0, February 2019 [2].</w:t>
                            </w:r>
                          </w:p>
                          <w:p w:rsidR="00BB22CE" w:rsidRDefault="00BB22CE">
                            <w:pPr>
                              <w:textDirection w:val="btLr"/>
                            </w:pPr>
                          </w:p>
                          <w:p w:rsidR="00BB22CE" w:rsidRDefault="00BB22C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.15pt;margin-top:11.8pt;width:486.3pt;height:163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" stroked="f">
                <v:textbox inset="2.53958mm,1.2694mm,2.53958mm,1.2694mm">
                  <w:txbxContent>
                    <w:p w:rsidR="00BB22CE" w:rsidRDefault="00BB22CE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Abstract</w:t>
                      </w:r>
                    </w:p>
                    <w:p w:rsidR="00BB22CE" w:rsidRDefault="00BB22CE">
                      <w:pPr>
                        <w:textDirection w:val="btLr"/>
                      </w:pPr>
                    </w:p>
                    <w:p w:rsidR="00BB22CE" w:rsidRDefault="00BB22CE" w:rsidP="008936D8">
                      <w:pPr>
                        <w:jc w:val="both"/>
                        <w:textDirection w:val="btLr"/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</w:pPr>
                      <w:r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This submission contains proposed </w:t>
                      </w:r>
                      <w:r w:rsidR="008936D8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>changes that augment the resolution from 11-19/0718r3 that was adopted in 802.11az  to update the state machine Figure 11-16 in the base standard to support PASN (Pre-association Security Negotiation). It attempts to address a related comment that state machine descriptions in clauses 11.3.4 (Authentication) and 11.3.5</w:t>
                      </w:r>
                      <w:r w:rsidR="003630D2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 (Association) need</w:t>
                      </w:r>
                      <w:r w:rsidR="008936D8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 an update for the new state in Figure 11-16.</w:t>
                      </w:r>
                    </w:p>
                    <w:p w:rsidR="00BB22CE" w:rsidRPr="003D18E1" w:rsidRDefault="00BB22CE" w:rsidP="003D18E1">
                      <w:pPr>
                        <w:ind w:left="560"/>
                        <w:jc w:val="both"/>
                        <w:textDirection w:val="btLr"/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</w:pPr>
                    </w:p>
                    <w:p w:rsidR="00BB22CE" w:rsidRDefault="00BB22CE">
                      <w:pPr>
                        <w:jc w:val="both"/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Discussion of the comments, rationale and proposed changes are included. The changes are relative to </w:t>
                      </w:r>
                      <w:r w:rsidR="008936D8">
                        <w:rPr>
                          <w:rFonts w:ascii="Georgia" w:eastAsia="Georgia" w:hAnsi="Georgia" w:cs="Georgia"/>
                          <w:i/>
                          <w:color w:val="000000"/>
                          <w:sz w:val="20"/>
                        </w:rPr>
                        <w:t>IEEE P802.11-REVmd™/D2.2</w:t>
                      </w:r>
                      <w:r>
                        <w:rPr>
                          <w:rFonts w:ascii="Georgia" w:eastAsia="Georgia" w:hAnsi="Georgia" w:cs="Georgia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 w:rsidR="008936D8">
                        <w:rPr>
                          <w:rFonts w:ascii="Georgia" w:eastAsia="Georgia" w:hAnsi="Georgia" w:cs="Georgia"/>
                          <w:i/>
                          <w:color w:val="000000"/>
                          <w:sz w:val="20"/>
                        </w:rPr>
                        <w:t>May</w:t>
                      </w:r>
                      <w:r>
                        <w:rPr>
                          <w:rFonts w:ascii="Georgia" w:eastAsia="Georgia" w:hAnsi="Georgia" w:cs="Georgia"/>
                          <w:i/>
                          <w:color w:val="000000"/>
                          <w:sz w:val="20"/>
                        </w:rPr>
                        <w:t xml:space="preserve"> 2019 [1] and IEEE P802.11-az/D1.0, February 2019 [2].</w:t>
                      </w:r>
                    </w:p>
                    <w:p w:rsidR="00BB22CE" w:rsidRDefault="00BB22CE">
                      <w:pPr>
                        <w:textDirection w:val="btLr"/>
                      </w:pPr>
                    </w:p>
                    <w:p w:rsidR="00BB22CE" w:rsidRDefault="00BB22C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5D0F" w:rsidRDefault="00853665">
      <w:pPr>
        <w:pStyle w:val="Heading1"/>
        <w:rPr>
          <w:rFonts w:ascii="Georgia" w:eastAsia="Georgia" w:hAnsi="Georgia" w:cs="Georgia"/>
          <w:sz w:val="20"/>
          <w:szCs w:val="20"/>
        </w:rPr>
      </w:pPr>
      <w:r>
        <w:br w:type="page"/>
      </w:r>
      <w:r>
        <w:rPr>
          <w:rFonts w:ascii="Georgia" w:eastAsia="Georgia" w:hAnsi="Georgia" w:cs="Georgia"/>
          <w:sz w:val="20"/>
          <w:szCs w:val="20"/>
        </w:rPr>
        <w:lastRenderedPageBreak/>
        <w:t>Document History</w:t>
      </w:r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r0 – Initial Revision</w:t>
      </w:r>
    </w:p>
    <w:p w:rsidR="008A5D0F" w:rsidRDefault="00853665">
      <w:pPr>
        <w:pStyle w:val="Heading1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References</w:t>
      </w:r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[1] Draft P802.11REVmd </w:t>
      </w:r>
      <w:r w:rsidR="008936D8">
        <w:rPr>
          <w:rFonts w:ascii="Georgia" w:eastAsia="Georgia" w:hAnsi="Georgia" w:cs="Georgia"/>
          <w:sz w:val="20"/>
          <w:szCs w:val="20"/>
        </w:rPr>
        <w:t>2.2</w:t>
      </w:r>
      <w:r>
        <w:rPr>
          <w:rFonts w:ascii="Georgia" w:eastAsia="Georgia" w:hAnsi="Georgia" w:cs="Georgia"/>
          <w:sz w:val="20"/>
          <w:szCs w:val="20"/>
        </w:rPr>
        <w:t xml:space="preserve"> - </w:t>
      </w:r>
      <w:hyperlink r:id="rId8" w:history="1">
        <w:r w:rsidR="008936D8" w:rsidRPr="00635311">
          <w:rPr>
            <w:rStyle w:val="Hyperlink"/>
            <w:rFonts w:ascii="Georgia" w:eastAsia="Georgia" w:hAnsi="Georgia" w:cs="Georgia"/>
            <w:sz w:val="20"/>
            <w:szCs w:val="20"/>
          </w:rPr>
          <w:t>http://www.ieee802.org/11/private/Draft_Standards/11md/Draft%20P802.11REVmd_D2.2.pdf</w:t>
        </w:r>
      </w:hyperlink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 w:rsidP="008936D8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[2] Draft P802.11az </w:t>
      </w:r>
      <w:r w:rsidR="003D18E1">
        <w:rPr>
          <w:rFonts w:ascii="Georgia" w:eastAsia="Georgia" w:hAnsi="Georgia" w:cs="Georgia"/>
          <w:sz w:val="20"/>
          <w:szCs w:val="20"/>
        </w:rPr>
        <w:t>D1.0</w:t>
      </w:r>
      <w:r>
        <w:rPr>
          <w:rFonts w:ascii="Georgia" w:eastAsia="Georgia" w:hAnsi="Georgia" w:cs="Georgia"/>
          <w:sz w:val="20"/>
          <w:szCs w:val="20"/>
        </w:rPr>
        <w:t xml:space="preserve"> - </w:t>
      </w:r>
      <w:hyperlink r:id="rId9" w:history="1">
        <w:r w:rsidR="003D18E1" w:rsidRPr="00BD4E9E">
          <w:rPr>
            <w:rStyle w:val="Hyperlink"/>
            <w:rFonts w:ascii="Georgia" w:eastAsia="Georgia" w:hAnsi="Georgia" w:cs="Georgia"/>
            <w:sz w:val="20"/>
            <w:szCs w:val="20"/>
          </w:rPr>
          <w:t>http://www.ieee802.org/11/private/Draft_Standards/11az/Draft%20P802.11az_D1.0.pdf</w:t>
        </w:r>
      </w:hyperlink>
    </w:p>
    <w:p w:rsidR="008A5D0F" w:rsidRDefault="00853665">
      <w:pPr>
        <w:pStyle w:val="Heading1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Document Conventions</w:t>
      </w:r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Suggested changes are specified as follows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Red for editorial instructions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Strikethrough for text to be deleted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Underlined </w:t>
      </w:r>
      <w:r w:rsidR="00F846DD">
        <w:rPr>
          <w:rFonts w:ascii="Georgia" w:eastAsia="Georgia" w:hAnsi="Georgia" w:cs="Georgia"/>
          <w:sz w:val="20"/>
          <w:szCs w:val="20"/>
        </w:rPr>
        <w:t>for any</w:t>
      </w:r>
      <w:r>
        <w:rPr>
          <w:rFonts w:ascii="Georgia" w:eastAsia="Georgia" w:hAnsi="Georgia" w:cs="Georgia"/>
          <w:sz w:val="20"/>
          <w:szCs w:val="20"/>
        </w:rPr>
        <w:t xml:space="preserve"> new proposed text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Figures or changes to existing figures are described black and white or any other color.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Black for existing text</w:t>
      </w:r>
    </w:p>
    <w:p w:rsidR="008A5D0F" w:rsidRDefault="008536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Prefix changes with</w:t>
      </w:r>
    </w:p>
    <w:p w:rsidR="008A5D0F" w:rsidRDefault="00853665">
      <w:pPr>
        <w:ind w:left="1080"/>
        <w:rPr>
          <w:rFonts w:ascii="Georgia" w:eastAsia="Georgia" w:hAnsi="Georgia" w:cs="Georgia"/>
          <w:b/>
          <w:color w:val="FF0000"/>
          <w:sz w:val="16"/>
          <w:szCs w:val="16"/>
        </w:rPr>
      </w:pPr>
      <w:r>
        <w:rPr>
          <w:rFonts w:ascii="Georgia" w:eastAsia="Georgia" w:hAnsi="Georgia" w:cs="Georgia"/>
          <w:b/>
          <w:color w:val="FF0000"/>
          <w:sz w:val="16"/>
          <w:szCs w:val="16"/>
        </w:rPr>
        <w:t>&lt;draft&gt; Editor: [Add, Change, Delete, Replace] &lt;description&gt;(</w:t>
      </w:r>
      <w:r w:rsidR="003D18E1">
        <w:rPr>
          <w:rFonts w:ascii="Georgia" w:eastAsia="Georgia" w:hAnsi="Georgia" w:cs="Georgia"/>
          <w:b/>
          <w:color w:val="FF0000"/>
          <w:sz w:val="16"/>
          <w:szCs w:val="16"/>
        </w:rPr>
        <w:t xml:space="preserve">&lt;CID&gt;, </w:t>
      </w:r>
      <w:r>
        <w:rPr>
          <w:rFonts w:ascii="Georgia" w:eastAsia="Georgia" w:hAnsi="Georgia" w:cs="Georgia"/>
          <w:b/>
          <w:color w:val="FF0000"/>
          <w:sz w:val="16"/>
          <w:szCs w:val="16"/>
        </w:rPr>
        <w:t>&lt;section&gt;, p&lt;page&gt;, &lt;line&gt;)</w:t>
      </w:r>
    </w:p>
    <w:p w:rsidR="008A5D0F" w:rsidRDefault="00853665">
      <w:pPr>
        <w:ind w:firstLine="720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Where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>&lt;draft&gt;</w:t>
      </w:r>
      <w:r>
        <w:rPr>
          <w:rFonts w:ascii="Georgia" w:eastAsia="Georgia" w:hAnsi="Georgia" w:cs="Georgia"/>
          <w:color w:val="FF0000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is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>TGaz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for TGaz draft [2] changes or empty for base specification [1] changes</w:t>
      </w:r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Existing clauses are identified by section, page and line numbers. </w:t>
      </w:r>
    </w:p>
    <w:p w:rsidR="003D18E1" w:rsidRDefault="003D18E1">
      <w:pPr>
        <w:rPr>
          <w:rFonts w:ascii="Georgia" w:eastAsia="Georgia" w:hAnsi="Georgia" w:cs="Georgia"/>
          <w:sz w:val="20"/>
          <w:szCs w:val="20"/>
        </w:rPr>
      </w:pPr>
    </w:p>
    <w:p w:rsidR="00F846DD" w:rsidRDefault="00F846DD">
      <w:pPr>
        <w:rPr>
          <w:rFonts w:ascii="Georgia" w:eastAsia="Georgia" w:hAnsi="Georgia" w:cs="Georgia"/>
          <w:sz w:val="20"/>
          <w:szCs w:val="20"/>
        </w:rPr>
      </w:pPr>
    </w:p>
    <w:p w:rsidR="00F846DD" w:rsidRDefault="00F846DD">
      <w:pPr>
        <w:rPr>
          <w:rFonts w:ascii="Georgia" w:eastAsia="Georgia" w:hAnsi="Georgia" w:cs="Georgia"/>
          <w:b/>
          <w:sz w:val="20"/>
          <w:szCs w:val="20"/>
        </w:rPr>
      </w:pPr>
    </w:p>
    <w:p w:rsidR="0029587B" w:rsidRPr="00A61C1B" w:rsidRDefault="0029587B" w:rsidP="00925356">
      <w:pPr>
        <w:rPr>
          <w:rFonts w:ascii="Georgia" w:eastAsia="Georgia" w:hAnsi="Georgia" w:cs="Georgia"/>
          <w:strike/>
          <w:sz w:val="20"/>
          <w:szCs w:val="20"/>
        </w:rPr>
      </w:pPr>
    </w:p>
    <w:p w:rsidR="00925356" w:rsidRDefault="0029587B" w:rsidP="00685432">
      <w:pPr>
        <w:rPr>
          <w:rFonts w:ascii="Georgia" w:eastAsia="Georgia" w:hAnsi="Georgia" w:cs="Georgia"/>
          <w:sz w:val="20"/>
          <w:szCs w:val="20"/>
        </w:rPr>
      </w:pPr>
      <w:r w:rsidRPr="00925356">
        <w:rPr>
          <w:rFonts w:ascii="Georgia" w:eastAsia="Georgia" w:hAnsi="Georgia" w:cs="Georgia"/>
          <w:b/>
          <w:sz w:val="20"/>
          <w:szCs w:val="20"/>
          <w:u w:val="single"/>
        </w:rPr>
        <w:t>Discussion</w:t>
      </w:r>
    </w:p>
    <w:p w:rsidR="0029587B" w:rsidRDefault="0029587B" w:rsidP="00685432">
      <w:pPr>
        <w:rPr>
          <w:rFonts w:ascii="Georgia" w:eastAsia="Georgia" w:hAnsi="Georgia" w:cs="Georgia"/>
          <w:sz w:val="20"/>
          <w:szCs w:val="20"/>
        </w:rPr>
      </w:pPr>
    </w:p>
    <w:p w:rsidR="0029587B" w:rsidRDefault="0029587B" w:rsidP="00685432">
      <w:pPr>
        <w:rPr>
          <w:rFonts w:ascii="Georgia" w:hAnsi="Georgia"/>
          <w:color w:val="333333"/>
          <w:sz w:val="20"/>
          <w:szCs w:val="20"/>
        </w:rPr>
      </w:pPr>
      <w:r w:rsidRPr="003D18E1">
        <w:rPr>
          <w:rFonts w:ascii="Georgia" w:hAnsi="Georgia"/>
          <w:color w:val="333333"/>
          <w:sz w:val="20"/>
          <w:szCs w:val="20"/>
          <w:highlight w:val="white"/>
        </w:rPr>
        <w:t xml:space="preserve">PASN </w:t>
      </w:r>
      <w:r w:rsidR="008936D8">
        <w:rPr>
          <w:rFonts w:ascii="Georgia" w:hAnsi="Georgia"/>
          <w:color w:val="333333"/>
          <w:sz w:val="20"/>
          <w:szCs w:val="20"/>
          <w:highlight w:val="white"/>
        </w:rPr>
        <w:t>state 1a is</w:t>
      </w:r>
      <w:r w:rsidRPr="003D18E1">
        <w:rPr>
          <w:rFonts w:ascii="Georgia" w:hAnsi="Georgia"/>
          <w:color w:val="333333"/>
          <w:sz w:val="20"/>
          <w:szCs w:val="20"/>
          <w:highlight w:val="white"/>
        </w:rPr>
        <w:t xml:space="preserve"> added to the state machine in clause 11.3.2</w:t>
      </w:r>
      <w:r w:rsidR="008936D8">
        <w:rPr>
          <w:rFonts w:ascii="Georgia" w:hAnsi="Georgia"/>
          <w:color w:val="333333"/>
          <w:sz w:val="20"/>
          <w:szCs w:val="20"/>
        </w:rPr>
        <w:t>.</w:t>
      </w:r>
    </w:p>
    <w:p w:rsidR="008936D8" w:rsidRDefault="008936D8" w:rsidP="00685432">
      <w:pPr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Related description in 11.3.4 and 11.3.5 needs an update to account for this state.</w:t>
      </w:r>
    </w:p>
    <w:p w:rsidR="003630D2" w:rsidRDefault="003630D2" w:rsidP="00685432">
      <w:pPr>
        <w:rPr>
          <w:rFonts w:ascii="Georgia" w:hAnsi="Georgia"/>
          <w:color w:val="333333"/>
          <w:sz w:val="20"/>
          <w:szCs w:val="20"/>
        </w:rPr>
      </w:pPr>
    </w:p>
    <w:p w:rsidR="003630D2" w:rsidRDefault="003630D2" w:rsidP="00685432">
      <w:pPr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TBD in 11.3.3 Class 2 frame related. This was adopted from 11-19/0163 in TGaz, but does not seem to be incorporated into TGaz Draft 1.0. The SA query being classified as Class 2 with PASN is new in this proposal.</w:t>
      </w: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A few comments on rev. 00 of this document from Mike Montemurro</w:t>
      </w:r>
    </w:p>
    <w:p w:rsidR="00705696" w:rsidRDefault="00705696" w:rsidP="00705696">
      <w:pPr>
        <w:pStyle w:val="m8368801584583261540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Need to add description for State 1a to the bulleted list in section 11.3.1 (4</w:t>
      </w:r>
      <w:r>
        <w:rPr>
          <w:rFonts w:ascii="Calibri" w:hAnsi="Calibri" w:cs="Calibri"/>
          <w:color w:val="222222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22222"/>
          <w:sz w:val="22"/>
          <w:szCs w:val="22"/>
        </w:rPr>
        <w:t> para)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</w:rPr>
        <w:sym w:font="Symbol" w:char="F0D6"/>
      </w:r>
    </w:p>
    <w:p w:rsidR="00705696" w:rsidRDefault="00705696" w:rsidP="00705696">
      <w:pPr>
        <w:pStyle w:val="m8368801584583261540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For the change on 2208.60, I would modify the first sentence to make it apply to all Authentication protocols except PASN and add a separate sentence to indicate the requirement for PASN. It makes things much easier for the reader to parse.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</w:rPr>
        <w:sym w:font="Symbol" w:char="F0D6"/>
      </w:r>
    </w:p>
    <w:p w:rsidR="00705696" w:rsidRDefault="00705696" w:rsidP="00705696">
      <w:pPr>
        <w:pStyle w:val="m8368801584583261540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For 11.3.4.3 g), I think the last sentence needs work. Why would a device in stated 3 or 4 initiate PASN authentication? A device in state 2 makes things really more complicated. One easy way to address this would be to restrict PASN authentication to devices in state 1 only.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</w:rPr>
        <w:sym w:font="Symbol" w:char="F0D6"/>
      </w:r>
    </w:p>
    <w:p w:rsidR="00BF5E7A" w:rsidRDefault="00BF5E7A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:rsidR="00BF5E7A" w:rsidRDefault="00BF5E7A" w:rsidP="00BF5E7A">
      <w:pPr>
        <w:pStyle w:val="m8368801584583261540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In r01, PASN is restricted to State 1 only to keep it simple.</w:t>
      </w:r>
      <w:bookmarkStart w:id="0" w:name="_GoBack"/>
      <w:bookmarkEnd w:id="0"/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</w:p>
    <w:p w:rsidR="00705696" w:rsidRDefault="00705696" w:rsidP="00705696">
      <w:pPr>
        <w:rPr>
          <w:rFonts w:ascii="Georgia" w:eastAsia="Georgia" w:hAnsi="Georgia" w:cs="Georgia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>Editor: Change 11.3.1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>State Variables by adding another description to the bulleted list -  p2204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>.10 as follows</w:t>
      </w:r>
    </w:p>
    <w:p w:rsidR="00705696" w:rsidRDefault="00705696" w:rsidP="00685432">
      <w:pPr>
        <w:rPr>
          <w:rFonts w:ascii="Georgia" w:hAnsi="Georgia"/>
          <w:color w:val="333333"/>
          <w:sz w:val="20"/>
          <w:szCs w:val="20"/>
        </w:rPr>
      </w:pP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— State 1: Initial start state for non-DMG STAs and for DMG STAs that perform IEEE 802.11</w:t>
      </w: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authentication. Unauthenticated and unassociated.</w:t>
      </w:r>
    </w:p>
    <w:p w:rsidR="00705696" w:rsidRP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  <w:u w:val="single"/>
        </w:rPr>
      </w:pPr>
      <w:r w:rsidRPr="00705696">
        <w:rPr>
          <w:rFonts w:ascii="”kÑ˛" w:hAnsi="”kÑ˛" w:cs="”kÑ˛"/>
          <w:sz w:val="20"/>
          <w:szCs w:val="20"/>
          <w:u w:val="single"/>
        </w:rPr>
        <w:t>— State</w:t>
      </w:r>
      <w:r w:rsidRPr="00705696">
        <w:rPr>
          <w:rFonts w:ascii="”kÑ˛" w:hAnsi="”kÑ˛" w:cs="”kÑ˛"/>
          <w:sz w:val="20"/>
          <w:szCs w:val="20"/>
          <w:u w:val="single"/>
        </w:rPr>
        <w:t xml:space="preserve"> 1a: Authenticated via PASN Authentication (12.13). Association is not possible from this state without non-PASN IEEE 802.11 Authentication.</w:t>
      </w:r>
    </w:p>
    <w:p w:rsidR="00705696" w:rsidRDefault="00705696" w:rsidP="00705696">
      <w:pPr>
        <w:rPr>
          <w:rFonts w:ascii="Georgia" w:hAnsi="Georgia"/>
          <w:color w:val="333333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lastRenderedPageBreak/>
        <w:t>— State 2: Initial start state</w:t>
      </w:r>
      <w:r>
        <w:rPr>
          <w:rFonts w:ascii="”kÑ˛" w:hAnsi="”kÑ˛" w:cs="”kÑ˛"/>
          <w:sz w:val="20"/>
          <w:szCs w:val="20"/>
        </w:rPr>
        <w:t>…</w:t>
      </w:r>
    </w:p>
    <w:p w:rsidR="0029587B" w:rsidRDefault="0029587B" w:rsidP="00685432">
      <w:pPr>
        <w:rPr>
          <w:rFonts w:ascii="Georgia" w:hAnsi="Georgia"/>
          <w:color w:val="333333"/>
          <w:sz w:val="20"/>
          <w:szCs w:val="20"/>
        </w:rPr>
      </w:pPr>
    </w:p>
    <w:p w:rsidR="0029587B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>TGaz Editor: Change p78.4 as follows by removing TBD and restricting Class 2 classification to protected dual of public action frames.</w:t>
      </w:r>
    </w:p>
    <w:p w:rsidR="003630D2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</w:p>
    <w:p w:rsidR="003630D2" w:rsidRDefault="003630D2" w:rsidP="0029587B">
      <w:pPr>
        <w:rPr>
          <w:sz w:val="20"/>
          <w:szCs w:val="20"/>
        </w:rPr>
      </w:pPr>
      <w:r w:rsidRPr="003630D2">
        <w:rPr>
          <w:strike/>
          <w:sz w:val="20"/>
          <w:szCs w:val="20"/>
        </w:rPr>
        <w:t>TBD (subset or all)</w:t>
      </w:r>
      <w:r>
        <w:rPr>
          <w:sz w:val="20"/>
          <w:szCs w:val="20"/>
        </w:rPr>
        <w:t xml:space="preserve"> </w:t>
      </w:r>
      <w:r w:rsidRPr="003630D2">
        <w:rPr>
          <w:sz w:val="20"/>
          <w:szCs w:val="20"/>
        </w:rPr>
        <w:t xml:space="preserve">Unicast </w:t>
      </w:r>
      <w:r w:rsidRPr="003630D2">
        <w:rPr>
          <w:strike/>
          <w:sz w:val="20"/>
          <w:szCs w:val="20"/>
        </w:rPr>
        <w:t xml:space="preserve">Robust Management </w:t>
      </w:r>
      <w:r w:rsidRPr="003630D2">
        <w:rPr>
          <w:strike/>
          <w:sz w:val="20"/>
          <w:szCs w:val="20"/>
          <w:u w:val="single"/>
        </w:rPr>
        <w:t>Frames</w:t>
      </w:r>
      <w:r w:rsidRPr="003630D2">
        <w:rPr>
          <w:sz w:val="20"/>
          <w:szCs w:val="20"/>
          <w:u w:val="single"/>
        </w:rPr>
        <w:t xml:space="preserve">  Protected Dual of Public Action frames (9.6.10)</w:t>
      </w:r>
      <w:r w:rsidRPr="003630D2">
        <w:rPr>
          <w:sz w:val="20"/>
          <w:szCs w:val="20"/>
        </w:rPr>
        <w:t xml:space="preserve"> </w:t>
      </w:r>
      <w:r w:rsidRPr="003630D2">
        <w:rPr>
          <w:sz w:val="20"/>
          <w:szCs w:val="20"/>
          <w:u w:val="single"/>
        </w:rPr>
        <w:t xml:space="preserve">and SA Query (9.6.9) </w:t>
      </w:r>
      <w:r w:rsidRPr="003630D2">
        <w:rPr>
          <w:sz w:val="20"/>
          <w:szCs w:val="20"/>
        </w:rPr>
        <w:t>when PTKSA from PASN authentication exists</w:t>
      </w:r>
    </w:p>
    <w:p w:rsidR="003630D2" w:rsidRDefault="003630D2" w:rsidP="0029587B">
      <w:pPr>
        <w:rPr>
          <w:sz w:val="20"/>
          <w:szCs w:val="20"/>
        </w:rPr>
      </w:pPr>
    </w:p>
    <w:p w:rsidR="003630D2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>Editor: Change 11.3.3 near p2207.47 as follows</w:t>
      </w:r>
    </w:p>
    <w:p w:rsidR="003630D2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</w:p>
    <w:p w:rsidR="003630D2" w:rsidRDefault="003630D2" w:rsidP="0029587B">
      <w:pPr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A STA shall not transmit Class 2 frames unless in </w:t>
      </w:r>
      <w:r w:rsidRPr="003630D2">
        <w:rPr>
          <w:rFonts w:ascii="”kÑ˛" w:hAnsi="”kÑ˛" w:cs="”kÑ˛"/>
          <w:sz w:val="20"/>
          <w:szCs w:val="20"/>
          <w:u w:val="single"/>
        </w:rPr>
        <w:t>State 1a or</w:t>
      </w:r>
      <w:r>
        <w:rPr>
          <w:rFonts w:ascii="”kÑ˛" w:hAnsi="”kÑ˛" w:cs="”kÑ˛"/>
          <w:sz w:val="20"/>
          <w:szCs w:val="20"/>
        </w:rPr>
        <w:t xml:space="preserve"> State 2 or State 3 or State 4.</w:t>
      </w:r>
    </w:p>
    <w:p w:rsidR="003630D2" w:rsidRDefault="003630D2" w:rsidP="0029587B">
      <w:pPr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rPr>
          <w:rFonts w:ascii="Georgia" w:eastAsia="Georgia" w:hAnsi="Georgia" w:cs="Georgia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>Editor: Change 11.3.4 Authentication and deauthentication near p2208.10 as follows</w:t>
      </w:r>
    </w:p>
    <w:p w:rsidR="003630D2" w:rsidRPr="003630D2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</w:p>
    <w:p w:rsidR="0029587B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Successful authentication </w:t>
      </w:r>
      <w:r w:rsidRPr="003630D2">
        <w:rPr>
          <w:rFonts w:ascii="”kÑ˛" w:hAnsi="”kÑ˛" w:cs="”kÑ˛"/>
          <w:sz w:val="20"/>
          <w:szCs w:val="20"/>
          <w:u w:val="single"/>
        </w:rPr>
        <w:t>other than PASN authentication</w:t>
      </w:r>
      <w:r>
        <w:rPr>
          <w:rFonts w:ascii="”kÑ˛" w:hAnsi="”kÑ˛" w:cs="”kÑ˛"/>
          <w:sz w:val="20"/>
          <w:szCs w:val="20"/>
        </w:rPr>
        <w:t xml:space="preserve"> sets the STA’s state to State 2, if it was in State 1</w:t>
      </w:r>
      <w:r w:rsidR="00705696">
        <w:rPr>
          <w:rFonts w:ascii="”kÑ˛" w:hAnsi="”kÑ˛" w:cs="”kÑ˛"/>
          <w:sz w:val="20"/>
          <w:szCs w:val="20"/>
        </w:rPr>
        <w:t xml:space="preserve"> </w:t>
      </w:r>
      <w:r w:rsidR="00705696" w:rsidRPr="00705696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 xml:space="preserve">. </w:t>
      </w:r>
      <w:r w:rsidRPr="003630D2">
        <w:rPr>
          <w:rFonts w:ascii="”kÑ˛" w:hAnsi="”kÑ˛" w:cs="”kÑ˛"/>
          <w:sz w:val="20"/>
          <w:szCs w:val="20"/>
          <w:u w:val="single"/>
        </w:rPr>
        <w:t>Successful PASN authentication sets the STA’s state to State 1a, if it was in State 1.</w:t>
      </w:r>
      <w:r w:rsidR="00705696">
        <w:rPr>
          <w:rFonts w:ascii="”kÑ˛" w:hAnsi="”kÑ˛" w:cs="”kÑ˛"/>
          <w:sz w:val="20"/>
          <w:szCs w:val="20"/>
          <w:u w:val="single"/>
        </w:rPr>
        <w:t xml:space="preserve"> PASN authentication is disallowed in states other than State 1. </w:t>
      </w:r>
      <w:r>
        <w:rPr>
          <w:rFonts w:ascii="”kÑ˛" w:hAnsi="”kÑ˛" w:cs="”kÑ˛"/>
          <w:sz w:val="20"/>
          <w:szCs w:val="20"/>
        </w:rPr>
        <w:t xml:space="preserve"> Unsuccessful authentication leaves the STA’s state unchanged.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If STA A in an infrastructure BSS receives a Class 2 or Class 3 frame from STA B </w:t>
      </w:r>
      <w:r w:rsidRPr="003630D2">
        <w:rPr>
          <w:rFonts w:ascii="”kÑ˛" w:hAnsi="”kÑ˛" w:cs="”kÑ˛"/>
          <w:sz w:val="20"/>
          <w:szCs w:val="20"/>
          <w:u w:val="single"/>
        </w:rPr>
        <w:t>when in State 1</w:t>
      </w:r>
      <w:r>
        <w:rPr>
          <w:rFonts w:ascii="”kÑ˛" w:hAnsi="”kÑ˛" w:cs="”kÑ˛"/>
          <w:sz w:val="20"/>
          <w:szCs w:val="20"/>
        </w:rPr>
        <w:t xml:space="preserve"> that is not authenticated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with STA A </w:t>
      </w:r>
      <w:r w:rsidRPr="003630D2">
        <w:rPr>
          <w:rFonts w:ascii="”kÑ˛" w:hAnsi="”kÑ˛" w:cs="”kÑ˛"/>
          <w:strike/>
          <w:sz w:val="20"/>
          <w:szCs w:val="20"/>
        </w:rPr>
        <w:t>(i.e., the state for STA B is State 1)</w:t>
      </w:r>
      <w:r w:rsidRPr="003630D2">
        <w:rPr>
          <w:rFonts w:ascii="”kÑ˛" w:hAnsi="”kÑ˛" w:cs="”kÑ˛"/>
          <w:sz w:val="20"/>
          <w:szCs w:val="20"/>
        </w:rPr>
        <w:t>,</w:t>
      </w:r>
      <w:r>
        <w:rPr>
          <w:rFonts w:ascii="”kÑ˛" w:hAnsi="”kÑ˛" w:cs="”kÑ˛"/>
          <w:sz w:val="20"/>
          <w:szCs w:val="20"/>
        </w:rPr>
        <w:t xml:space="preserve"> STA A shall discard the frame. If the frame has an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individual address in the Address 1 field, the MLME of STA A shall send a Deauthentication frame to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STA B.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  <w:u w:val="single"/>
        </w:rPr>
      </w:pPr>
      <w:r w:rsidRPr="003630D2">
        <w:rPr>
          <w:rFonts w:ascii="”kÑ˛" w:hAnsi="”kÑ˛" w:cs="”kÑ˛"/>
          <w:sz w:val="20"/>
          <w:szCs w:val="20"/>
          <w:u w:val="single"/>
        </w:rPr>
        <w:t xml:space="preserve">If STA A in an infrastructure BSS receives </w:t>
      </w:r>
      <w:r>
        <w:rPr>
          <w:rFonts w:ascii="”kÑ˛" w:hAnsi="”kÑ˛" w:cs="”kÑ˛"/>
          <w:sz w:val="20"/>
          <w:szCs w:val="20"/>
          <w:u w:val="single"/>
        </w:rPr>
        <w:t>any frame</w:t>
      </w:r>
      <w:r w:rsidRPr="003630D2">
        <w:rPr>
          <w:rFonts w:ascii="”kÑ˛" w:hAnsi="”kÑ˛" w:cs="”kÑ˛"/>
          <w:sz w:val="20"/>
          <w:szCs w:val="20"/>
          <w:u w:val="single"/>
        </w:rPr>
        <w:t xml:space="preserve"> other than Class 1 or </w:t>
      </w:r>
      <w:r>
        <w:rPr>
          <w:rFonts w:ascii="”kÑ˛" w:hAnsi="”kÑ˛" w:cs="”kÑ˛"/>
          <w:sz w:val="20"/>
          <w:szCs w:val="20"/>
          <w:u w:val="single"/>
        </w:rPr>
        <w:t>protected</w:t>
      </w:r>
      <w:r w:rsidRPr="003630D2">
        <w:rPr>
          <w:rFonts w:ascii="”kÑ˛" w:hAnsi="”kÑ˛" w:cs="”kÑ˛"/>
          <w:sz w:val="20"/>
          <w:szCs w:val="20"/>
          <w:u w:val="single"/>
        </w:rPr>
        <w:t xml:space="preserve"> Class 2 frames (11.3.3 Frame filtering based on STA state) from STA B when in </w:t>
      </w:r>
      <w:r>
        <w:rPr>
          <w:rFonts w:ascii="”kÑ˛" w:hAnsi="”kÑ˛" w:cs="”kÑ˛"/>
          <w:sz w:val="20"/>
          <w:szCs w:val="20"/>
          <w:u w:val="single"/>
        </w:rPr>
        <w:t xml:space="preserve">PASN Authenticated </w:t>
      </w:r>
      <w:r w:rsidRPr="003630D2">
        <w:rPr>
          <w:rFonts w:ascii="”kÑ˛" w:hAnsi="”kÑ˛" w:cs="”kÑ˛"/>
          <w:sz w:val="20"/>
          <w:szCs w:val="20"/>
          <w:u w:val="single"/>
        </w:rPr>
        <w:t>State 1a, STA A shall discard the frame.</w:t>
      </w:r>
    </w:p>
    <w:p w:rsidR="0037184B" w:rsidRDefault="0037184B" w:rsidP="0037184B">
      <w:pPr>
        <w:widowControl w:val="0"/>
        <w:rPr>
          <w:rFonts w:ascii="Georgia" w:eastAsia="Georgia" w:hAnsi="Georgia" w:cs="Georgia"/>
          <w:sz w:val="20"/>
          <w:szCs w:val="20"/>
        </w:rPr>
      </w:pPr>
    </w:p>
    <w:p w:rsidR="0037184B" w:rsidRDefault="0037184B" w:rsidP="0037184B">
      <w:pPr>
        <w:rPr>
          <w:rFonts w:ascii="Georgia" w:eastAsia="Georgia" w:hAnsi="Georgia" w:cs="Georgia"/>
          <w:b/>
          <w:color w:val="FF0000"/>
          <w:sz w:val="20"/>
          <w:szCs w:val="20"/>
        </w:rPr>
      </w:pPr>
    </w:p>
    <w:p w:rsidR="0037184B" w:rsidRDefault="003630D2" w:rsidP="00685432">
      <w:pPr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11.3.4.2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Authentication—originating STA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p2208.60</w:t>
      </w:r>
    </w:p>
    <w:p w:rsidR="003630D2" w:rsidRDefault="003630D2" w:rsidP="00685432">
      <w:pPr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685432">
      <w:pPr>
        <w:rPr>
          <w:rFonts w:ascii="”kÑ˛" w:hAnsi="”kÑ˛" w:cs="”kÑ˛"/>
          <w:b/>
          <w:color w:val="000000" w:themeColor="text1"/>
          <w:sz w:val="20"/>
          <w:szCs w:val="20"/>
        </w:rPr>
      </w:pPr>
      <w:r w:rsidRPr="003630D2">
        <w:rPr>
          <w:rFonts w:ascii="”kÑ˛" w:hAnsi="”kÑ˛" w:cs="”kÑ˛"/>
          <w:b/>
          <w:color w:val="000000" w:themeColor="text1"/>
          <w:sz w:val="20"/>
          <w:szCs w:val="20"/>
        </w:rPr>
        <w:t>…</w:t>
      </w: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c</w:t>
      </w:r>
      <w:r w:rsidRPr="00705696">
        <w:rPr>
          <w:rFonts w:ascii="”kÑ˛" w:hAnsi="”kÑ˛" w:cs="”kÑ˛"/>
          <w:sz w:val="20"/>
          <w:szCs w:val="20"/>
          <w:u w:val="single"/>
        </w:rPr>
        <w:t xml:space="preserve">) </w:t>
      </w:r>
      <w:r w:rsidRPr="00705696">
        <w:rPr>
          <w:rFonts w:ascii="”kÑ˛" w:hAnsi="”kÑ˛" w:cs="”kÑ˛"/>
          <w:sz w:val="20"/>
          <w:szCs w:val="20"/>
          <w:u w:val="single"/>
        </w:rPr>
        <w:t>For any authentication protocol that is not PASN,</w:t>
      </w:r>
      <w:r>
        <w:rPr>
          <w:rFonts w:ascii="”kÑ˛" w:hAnsi="”kÑ˛" w:cs="”kÑ˛"/>
          <w:sz w:val="20"/>
          <w:szCs w:val="20"/>
        </w:rPr>
        <w:t xml:space="preserve"> </w:t>
      </w:r>
      <w:r>
        <w:rPr>
          <w:rFonts w:ascii="”kÑ˛" w:hAnsi="”kÑ˛" w:cs="”kÑ˛"/>
          <w:sz w:val="20"/>
          <w:szCs w:val="20"/>
        </w:rPr>
        <w:t>If the authentication was successful within the AuthenticateFailureTimeout, the state for the</w:t>
      </w:r>
      <w:r>
        <w:rPr>
          <w:rFonts w:ascii="”kÑ˛" w:hAnsi="”kÑ˛" w:cs="”kÑ˛"/>
          <w:sz w:val="20"/>
          <w:szCs w:val="20"/>
        </w:rPr>
        <w:t xml:space="preserve"> </w:t>
      </w:r>
      <w:r>
        <w:rPr>
          <w:rFonts w:ascii="”kÑ˛" w:hAnsi="”kÑ˛" w:cs="”kÑ˛"/>
          <w:sz w:val="20"/>
          <w:szCs w:val="20"/>
        </w:rPr>
        <w:t xml:space="preserve">indicated STA shall be set to State 2 if it was </w:t>
      </w:r>
      <w:r w:rsidRPr="00705696">
        <w:rPr>
          <w:rFonts w:ascii="”kÑ˛" w:hAnsi="”kÑ˛" w:cs="”kÑ˛"/>
          <w:sz w:val="20"/>
          <w:szCs w:val="20"/>
          <w:u w:val="single"/>
        </w:rPr>
        <w:t>in</w:t>
      </w:r>
      <w:r>
        <w:rPr>
          <w:rFonts w:ascii="”kÑ˛" w:hAnsi="”kÑ˛" w:cs="”kÑ˛"/>
          <w:sz w:val="20"/>
          <w:szCs w:val="20"/>
        </w:rPr>
        <w:t xml:space="preserve"> </w:t>
      </w:r>
      <w:r>
        <w:rPr>
          <w:rFonts w:ascii="”kÑ˛" w:hAnsi="”kÑ˛" w:cs="”kÑ˛"/>
          <w:sz w:val="20"/>
          <w:szCs w:val="20"/>
        </w:rPr>
        <w:t>State 1</w:t>
      </w:r>
      <w:r>
        <w:rPr>
          <w:rFonts w:ascii="”kÑ˛" w:hAnsi="”kÑ˛" w:cs="”kÑ˛"/>
          <w:sz w:val="20"/>
          <w:szCs w:val="20"/>
        </w:rPr>
        <w:t xml:space="preserve"> </w:t>
      </w:r>
      <w:r w:rsidRPr="00705696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; the state shall remain unchanged if it was other</w:t>
      </w: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than State 1</w:t>
      </w:r>
      <w:r>
        <w:rPr>
          <w:rFonts w:ascii="”kÑ˛" w:hAnsi="”kÑ˛" w:cs="”kÑ˛"/>
          <w:sz w:val="20"/>
          <w:szCs w:val="20"/>
        </w:rPr>
        <w:t xml:space="preserve"> </w:t>
      </w:r>
      <w:r w:rsidRPr="00705696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.</w:t>
      </w:r>
    </w:p>
    <w:p w:rsidR="00705696" w:rsidRP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  <w:u w:val="single"/>
        </w:rPr>
      </w:pPr>
      <w:r w:rsidRPr="00705696">
        <w:rPr>
          <w:rFonts w:ascii="”kÑ˛" w:hAnsi="”kÑ˛" w:cs="”kÑ˛"/>
          <w:sz w:val="20"/>
          <w:szCs w:val="20"/>
          <w:u w:val="single"/>
        </w:rPr>
        <w:t xml:space="preserve">d) </w:t>
      </w:r>
      <w:r w:rsidRPr="00705696">
        <w:rPr>
          <w:rFonts w:ascii="”kÑ˛" w:hAnsi="”kÑ˛" w:cs="”kÑ˛"/>
          <w:sz w:val="20"/>
          <w:szCs w:val="20"/>
          <w:u w:val="single"/>
        </w:rPr>
        <w:t>F</w:t>
      </w:r>
      <w:r w:rsidRPr="00705696">
        <w:rPr>
          <w:rFonts w:ascii="”kÑ˛" w:hAnsi="”kÑ˛" w:cs="”kÑ˛"/>
          <w:sz w:val="20"/>
          <w:szCs w:val="20"/>
          <w:u w:val="single"/>
        </w:rPr>
        <w:t xml:space="preserve">or PASN </w:t>
      </w:r>
      <w:r w:rsidRPr="00705696">
        <w:rPr>
          <w:rFonts w:ascii="”kÑ˛" w:hAnsi="”kÑ˛" w:cs="”kÑ˛"/>
          <w:sz w:val="20"/>
          <w:szCs w:val="20"/>
          <w:u w:val="single"/>
        </w:rPr>
        <w:t>authentication, i</w:t>
      </w:r>
      <w:r w:rsidRPr="00705696">
        <w:rPr>
          <w:rFonts w:ascii="”kÑ˛" w:hAnsi="”kÑ˛" w:cs="”kÑ˛"/>
          <w:sz w:val="20"/>
          <w:szCs w:val="20"/>
          <w:u w:val="single"/>
        </w:rPr>
        <w:t>f the authentication was successful within the AuthenticateFailureTimeout, the state for the</w:t>
      </w: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  <w:u w:val="single"/>
        </w:rPr>
      </w:pPr>
      <w:r w:rsidRPr="00705696">
        <w:rPr>
          <w:rFonts w:ascii="”kÑ˛" w:hAnsi="”kÑ˛" w:cs="”kÑ˛"/>
          <w:sz w:val="20"/>
          <w:szCs w:val="20"/>
          <w:u w:val="single"/>
        </w:rPr>
        <w:t>indicated STA shall be set to State 1a</w:t>
      </w:r>
      <w:r w:rsidRPr="00705696">
        <w:rPr>
          <w:rFonts w:ascii="”kÑ˛" w:hAnsi="”kÑ˛" w:cs="”kÑ˛"/>
          <w:sz w:val="20"/>
          <w:szCs w:val="20"/>
          <w:u w:val="single"/>
        </w:rPr>
        <w:t xml:space="preserve"> </w:t>
      </w:r>
      <w:r w:rsidRPr="00705696">
        <w:rPr>
          <w:rFonts w:ascii="”kÑ˛" w:hAnsi="”kÑ˛" w:cs="”kÑ˛"/>
          <w:sz w:val="20"/>
          <w:szCs w:val="20"/>
          <w:u w:val="single"/>
        </w:rPr>
        <w:t xml:space="preserve">if it was State 1; </w:t>
      </w:r>
      <w:r>
        <w:rPr>
          <w:rFonts w:ascii="”kÑ˛" w:hAnsi="”kÑ˛" w:cs="”kÑ˛"/>
          <w:sz w:val="20"/>
          <w:szCs w:val="20"/>
          <w:u w:val="single"/>
        </w:rPr>
        <w:t>PASN authentication is disallowed in state</w:t>
      </w:r>
      <w:r>
        <w:rPr>
          <w:rFonts w:ascii="”kÑ˛" w:hAnsi="”kÑ˛" w:cs="”kÑ˛"/>
          <w:sz w:val="20"/>
          <w:szCs w:val="20"/>
          <w:u w:val="single"/>
        </w:rPr>
        <w:t>s</w:t>
      </w:r>
      <w:r>
        <w:rPr>
          <w:rFonts w:ascii="”kÑ˛" w:hAnsi="”kÑ˛" w:cs="”kÑ˛"/>
          <w:sz w:val="20"/>
          <w:szCs w:val="20"/>
          <w:u w:val="single"/>
        </w:rPr>
        <w:t xml:space="preserve"> other than State 1.</w:t>
      </w: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  <w:u w:val="single"/>
        </w:rPr>
      </w:pPr>
    </w:p>
    <w:p w:rsidR="00705696" w:rsidRDefault="00705696" w:rsidP="00705696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 w:rsidRPr="00705696">
        <w:rPr>
          <w:rFonts w:ascii="”kÑ˛" w:hAnsi="”kÑ˛" w:cs="”kÑ˛"/>
          <w:sz w:val="20"/>
          <w:szCs w:val="20"/>
          <w:u w:val="single"/>
        </w:rPr>
        <w:t>e</w:t>
      </w:r>
      <w:r w:rsidRPr="00705696">
        <w:rPr>
          <w:rFonts w:ascii="”kÑ˛" w:hAnsi="”kÑ˛" w:cs="”kÑ˛"/>
          <w:strike/>
          <w:sz w:val="20"/>
          <w:szCs w:val="20"/>
        </w:rPr>
        <w:t>d</w:t>
      </w:r>
      <w:r>
        <w:rPr>
          <w:rFonts w:ascii="”kÑ˛" w:hAnsi="”kÑ˛" w:cs="”kÑ˛"/>
          <w:sz w:val="20"/>
          <w:szCs w:val="20"/>
        </w:rPr>
        <w:t>) The MLME shall issue an MLME-AUTHENTICATE.confirm primitive to inform the SME of the</w:t>
      </w:r>
    </w:p>
    <w:p w:rsidR="00705696" w:rsidRDefault="00705696" w:rsidP="00705696">
      <w:pPr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result of the authentication.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11.3.4.3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Authentication—</w:t>
      </w:r>
      <w:r>
        <w:rPr>
          <w:rFonts w:ascii="”kÑ˛" w:hAnsi="”kÑ˛" w:cs="”kÑ˛"/>
          <w:b/>
          <w:color w:val="FF0000"/>
          <w:sz w:val="20"/>
          <w:szCs w:val="20"/>
        </w:rPr>
        <w:t>destination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STA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p2209.31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b/>
          <w:color w:val="FF0000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f) Upon receipt of an MLME-AUTHENTICATE.response primitive, if the ResultCode is not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SUCCESS, the MLME shall transmit an Authentication frame with the corresponding status code,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as defined in 9.4.1.9 (Status Code field), and the state for the originating STA shall be left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unchanged. The Authentication frame is constructed using the appropriate procedure in 12.3.3.2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(Open System authentication), 12.3.3.3 (Shared Key authentication), 13.5 (FT protocol)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 xml:space="preserve">,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or</w:t>
      </w:r>
      <w:r>
        <w:rPr>
          <w:rFonts w:ascii="”kÑ˛" w:hAnsi="”kÑ˛" w:cs="”kÑ˛"/>
          <w:color w:val="000000"/>
          <w:sz w:val="20"/>
          <w:szCs w:val="20"/>
        </w:rPr>
        <w:t xml:space="preserve"> 13.6 (FT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resource request protocol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) or 12.13 (</w:t>
      </w:r>
      <w:r>
        <w:rPr>
          <w:rFonts w:ascii="”kÑ˛" w:hAnsi="”kÑ˛" w:cs="”kÑ˛"/>
          <w:color w:val="000000"/>
          <w:sz w:val="20"/>
          <w:szCs w:val="20"/>
          <w:u w:val="single"/>
        </w:rPr>
        <w:t>Pre-association Security Negotiation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).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g) Upon receipt of an MLME-AUTHENTICATE.response primitive, if the ResultCode is SUCCESS,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the MLME shall transmit an Authentication frame that is constructed using the appropriate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procedure in 12.3.3.2 (Open System authentication), 12.3.3.3 (Shared Key authentication), 13.5 (FT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  <w:u w:val="single"/>
        </w:rPr>
      </w:pPr>
      <w:r>
        <w:rPr>
          <w:rFonts w:ascii="”kÑ˛" w:hAnsi="”kÑ˛" w:cs="”kÑ˛"/>
          <w:color w:val="000000"/>
          <w:sz w:val="20"/>
          <w:szCs w:val="20"/>
        </w:rPr>
        <w:t>protocol)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 xml:space="preserve">,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or</w:t>
      </w:r>
      <w:r>
        <w:rPr>
          <w:rFonts w:ascii="”kÑ˛" w:hAnsi="”kÑ˛" w:cs="”kÑ˛"/>
          <w:color w:val="000000"/>
          <w:sz w:val="20"/>
          <w:szCs w:val="20"/>
        </w:rPr>
        <w:t xml:space="preserve"> 13.6 (FT resource request protocol), 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or 12.13 (</w:t>
      </w:r>
      <w:r>
        <w:rPr>
          <w:rFonts w:ascii="”kÑ˛" w:hAnsi="”kÑ˛" w:cs="”kÑ˛"/>
          <w:color w:val="000000"/>
          <w:sz w:val="20"/>
          <w:szCs w:val="20"/>
          <w:u w:val="single"/>
        </w:rPr>
        <w:t>Pre-association Security Negotiation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)</w:t>
      </w:r>
    </w:p>
    <w:p w:rsidR="00705696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218B21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 with a status code of SUCCESS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.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, and</w:t>
      </w:r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the</w:t>
      </w:r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r w:rsidRPr="00705696">
        <w:rPr>
          <w:rFonts w:ascii="”kÑ˛" w:hAnsi="”kÑ˛" w:cs="”kÑ˛"/>
          <w:color w:val="000000"/>
          <w:sz w:val="20"/>
          <w:szCs w:val="20"/>
          <w:u w:val="single"/>
        </w:rPr>
        <w:t>The</w:t>
      </w:r>
      <w:r>
        <w:rPr>
          <w:rFonts w:ascii="”kÑ˛" w:hAnsi="”kÑ˛" w:cs="”kÑ˛"/>
          <w:color w:val="000000"/>
          <w:sz w:val="20"/>
          <w:szCs w:val="20"/>
        </w:rPr>
        <w:t xml:space="preserve"> state for</w:t>
      </w:r>
      <w:r w:rsidR="00705696">
        <w:rPr>
          <w:rFonts w:ascii="”kÑ˛" w:hAnsi="”kÑ˛" w:cs="”kÑ˛"/>
          <w:color w:val="000000"/>
          <w:sz w:val="20"/>
          <w:szCs w:val="20"/>
        </w:rPr>
        <w:t xml:space="preserve"> </w:t>
      </w:r>
      <w:r>
        <w:rPr>
          <w:rFonts w:ascii="”kÑ˛" w:hAnsi="”kÑ˛" w:cs="”kÑ˛"/>
          <w:color w:val="000000"/>
          <w:sz w:val="20"/>
          <w:szCs w:val="20"/>
        </w:rPr>
        <w:t>the originating STA shall be set to State 2 if it was in State 1</w:t>
      </w:r>
      <w:r>
        <w:rPr>
          <w:rFonts w:ascii="”kÑ˛" w:hAnsi="”kÑ˛" w:cs="”kÑ˛"/>
          <w:color w:val="218B21"/>
          <w:sz w:val="20"/>
          <w:szCs w:val="20"/>
        </w:rPr>
        <w:t xml:space="preserve">(#1403) </w:t>
      </w:r>
    </w:p>
    <w:p w:rsidR="00705696" w:rsidRPr="00705696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 w:rsidRPr="003630D2">
        <w:rPr>
          <w:rFonts w:ascii="”kÑ˛" w:hAnsi="”kÑ˛" w:cs="”kÑ˛"/>
          <w:color w:val="000000" w:themeColor="text1"/>
          <w:sz w:val="20"/>
          <w:szCs w:val="20"/>
          <w:u w:val="single"/>
        </w:rPr>
        <w:t>or State 1a when PASN authentication procedure was not used</w:t>
      </w:r>
      <w:r>
        <w:rPr>
          <w:rFonts w:ascii="”kÑ˛" w:hAnsi="”kÑ˛" w:cs="”kÑ˛"/>
          <w:color w:val="000000" w:themeColor="text1"/>
          <w:sz w:val="20"/>
          <w:szCs w:val="20"/>
          <w:u w:val="single"/>
        </w:rPr>
        <w:t>. The state for the originating STA</w:t>
      </w:r>
      <w:r w:rsidRPr="003630D2">
        <w:rPr>
          <w:rFonts w:ascii="”kÑ˛" w:hAnsi="”kÑ˛" w:cs="”kÑ˛"/>
          <w:color w:val="000000" w:themeColor="text1"/>
          <w:sz w:val="20"/>
          <w:szCs w:val="20"/>
          <w:u w:val="single"/>
        </w:rPr>
        <w:t xml:space="preserve"> shall be set to State 1a if it was in State 1</w:t>
      </w:r>
      <w:r w:rsidR="00705696">
        <w:rPr>
          <w:rFonts w:ascii="”kÑ˛" w:hAnsi="”kÑ˛" w:cs="”kÑ˛"/>
          <w:color w:val="000000" w:themeColor="text1"/>
          <w:sz w:val="20"/>
          <w:szCs w:val="20"/>
          <w:u w:val="single"/>
        </w:rPr>
        <w:t xml:space="preserve"> </w:t>
      </w:r>
      <w:r w:rsidRPr="003630D2">
        <w:rPr>
          <w:rFonts w:ascii="”kÑ˛" w:hAnsi="”kÑ˛" w:cs="”kÑ˛"/>
          <w:color w:val="000000" w:themeColor="text1"/>
          <w:sz w:val="20"/>
          <w:szCs w:val="20"/>
          <w:u w:val="single"/>
        </w:rPr>
        <w:t>and PASN authentication procedure was used;</w:t>
      </w:r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r w:rsidR="00705696">
        <w:rPr>
          <w:rFonts w:ascii="”kÑ˛" w:hAnsi="”kÑ˛" w:cs="”kÑ˛"/>
          <w:sz w:val="20"/>
          <w:szCs w:val="20"/>
          <w:u w:val="single"/>
        </w:rPr>
        <w:t>PASN authentication is disallowed in state</w:t>
      </w:r>
      <w:r w:rsidR="00705696">
        <w:rPr>
          <w:rFonts w:ascii="”kÑ˛" w:hAnsi="”kÑ˛" w:cs="”kÑ˛"/>
          <w:sz w:val="20"/>
          <w:szCs w:val="20"/>
          <w:u w:val="single"/>
        </w:rPr>
        <w:t>s</w:t>
      </w:r>
      <w:r w:rsidR="00705696">
        <w:rPr>
          <w:rFonts w:ascii="”kÑ˛" w:hAnsi="”kÑ˛" w:cs="”kÑ˛"/>
          <w:sz w:val="20"/>
          <w:szCs w:val="20"/>
          <w:u w:val="single"/>
        </w:rPr>
        <w:t xml:space="preserve"> other than State 1.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lastRenderedPageBreak/>
        <w:t xml:space="preserve">Editor: Change 11.3.4.4 </w:t>
      </w:r>
      <w:r>
        <w:rPr>
          <w:rFonts w:ascii="”kÑ˛" w:hAnsi="”kÑ˛" w:cs="”kÑ˛"/>
          <w:b/>
          <w:color w:val="FF0000"/>
          <w:sz w:val="20"/>
          <w:szCs w:val="20"/>
        </w:rPr>
        <w:t>De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uthentication—</w:t>
      </w:r>
      <w:r>
        <w:rPr>
          <w:rFonts w:ascii="”kÑ˛" w:hAnsi="”kÑ˛" w:cs="”kÑ˛"/>
          <w:b/>
          <w:color w:val="FF0000"/>
          <w:sz w:val="20"/>
          <w:szCs w:val="20"/>
        </w:rPr>
        <w:t>originating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STA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p2210.1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b) On receipt of the MLME-DEAUTHENTICATE.request primitive, if the state for the indicated STA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is </w:t>
      </w:r>
      <w:r w:rsidRPr="003630D2">
        <w:rPr>
          <w:rFonts w:ascii="”kÑ˛" w:hAnsi="”kÑ˛" w:cs="”kÑ˛"/>
          <w:sz w:val="20"/>
          <w:szCs w:val="20"/>
          <w:u w:val="single"/>
        </w:rPr>
        <w:t>State 1a,</w:t>
      </w:r>
      <w:r>
        <w:rPr>
          <w:rFonts w:ascii="”kÑ˛" w:hAnsi="”kÑ˛" w:cs="”kÑ˛"/>
          <w:sz w:val="20"/>
          <w:szCs w:val="20"/>
        </w:rPr>
        <w:t xml:space="preserve"> State 2, State 3, or State 4, the MLME shall generate a Deauthentication frame to be transmitted to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the indicated STA.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11.3.4.5 </w:t>
      </w:r>
      <w:r>
        <w:rPr>
          <w:rFonts w:ascii="”kÑ˛" w:hAnsi="”kÑ˛" w:cs="”kÑ˛"/>
          <w:b/>
          <w:color w:val="FF0000"/>
          <w:sz w:val="20"/>
          <w:szCs w:val="20"/>
        </w:rPr>
        <w:t>De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uthentication—</w:t>
      </w:r>
      <w:r>
        <w:rPr>
          <w:rFonts w:ascii="”kÑ˛" w:hAnsi="”kÑ˛" w:cs="”kÑ˛"/>
          <w:b/>
          <w:color w:val="FF0000"/>
          <w:sz w:val="20"/>
          <w:szCs w:val="20"/>
        </w:rPr>
        <w:t>destination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STA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p2210.37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Otherwise, upon receipt of a Deauthentication frame from a STA for which the state is </w:t>
      </w:r>
      <w:r w:rsidRPr="003630D2">
        <w:rPr>
          <w:rFonts w:ascii="”kÑ˛" w:hAnsi="”kÑ˛" w:cs="”kÑ˛"/>
          <w:sz w:val="20"/>
          <w:szCs w:val="20"/>
          <w:u w:val="single"/>
        </w:rPr>
        <w:t>State 1a,</w:t>
      </w:r>
      <w:r>
        <w:rPr>
          <w:rFonts w:ascii="”kÑ˛" w:hAnsi="”kÑ˛" w:cs="”kÑ˛"/>
          <w:sz w:val="20"/>
          <w:szCs w:val="20"/>
        </w:rPr>
        <w:t xml:space="preserve"> State 2, State 3, or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State 4, the destination STA shall deauthenticate with the originating STA using the following procedure: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 Association, reassociation, and disassociation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p2211.4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  <w:u w:val="single"/>
        </w:rPr>
      </w:pP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Association and reassociation are allowed only in State 2.</w:t>
      </w:r>
      <w:r>
        <w:rPr>
          <w:rFonts w:ascii="”kÑ˛" w:hAnsi="”kÑ˛" w:cs="”kÑ˛"/>
          <w:color w:val="000000"/>
          <w:sz w:val="20"/>
          <w:szCs w:val="20"/>
          <w:u w:val="single"/>
        </w:rPr>
        <w:t xml:space="preserve"> In order to associate or reassociate, a STA in State 1a must perform a IEEE Standard 802.11 non-PASN authentication or FILS authentication and transition to State 2.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Successful association enables a STA to exchange Class 3 frames. </w:t>
      </w:r>
      <w:r>
        <w:rPr>
          <w:rFonts w:ascii="”kÑ˛" w:hAnsi="”kÑ˛" w:cs="”kÑ˛"/>
          <w:color w:val="218B21"/>
          <w:sz w:val="20"/>
          <w:szCs w:val="20"/>
        </w:rPr>
        <w:t>(#2223)</w:t>
      </w:r>
      <w:r>
        <w:rPr>
          <w:rFonts w:ascii="”kÑ˛" w:hAnsi="”kÑ˛" w:cs="”kÑ˛"/>
          <w:color w:val="000000"/>
          <w:sz w:val="20"/>
          <w:szCs w:val="20"/>
        </w:rPr>
        <w:t>Successful association sets the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state for a </w:t>
      </w:r>
      <w:r>
        <w:rPr>
          <w:rFonts w:ascii="”kÑ˛" w:hAnsi="”kÑ˛" w:cs="”kÑ˛"/>
          <w:color w:val="218B21"/>
          <w:sz w:val="20"/>
          <w:szCs w:val="20"/>
        </w:rPr>
        <w:t>(11ai)</w:t>
      </w:r>
      <w:r>
        <w:rPr>
          <w:rFonts w:ascii="”kÑ˛" w:hAnsi="”kÑ˛" w:cs="”kÑ˛"/>
          <w:color w:val="000000"/>
          <w:sz w:val="20"/>
          <w:szCs w:val="20"/>
        </w:rPr>
        <w:t>non-FILS STA to State 3 or State 4. Successful association sets the state for FILS STAs to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State 4</w:t>
      </w:r>
      <w:r>
        <w:rPr>
          <w:rFonts w:ascii="”kÑ˛" w:hAnsi="”kÑ˛" w:cs="”kÑ˛"/>
          <w:color w:val="218B21"/>
          <w:sz w:val="20"/>
          <w:szCs w:val="20"/>
        </w:rPr>
        <w:t>(11ai)</w:t>
      </w:r>
      <w:r>
        <w:rPr>
          <w:rFonts w:ascii="”kÑ˛" w:hAnsi="”kÑ˛" w:cs="”kÑ˛"/>
          <w:color w:val="000000"/>
          <w:sz w:val="20"/>
          <w:szCs w:val="20"/>
        </w:rPr>
        <w:t>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trike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Successful reassociation enables a STA to exchange Class 3 frames. Unsuccessful reassociation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when not in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 w:rsidRPr="003630D2">
        <w:rPr>
          <w:rFonts w:ascii="”kÑ˛" w:hAnsi="”kÑ˛" w:cs="”kÑ˛"/>
          <w:strike/>
          <w:color w:val="000000"/>
          <w:sz w:val="20"/>
          <w:szCs w:val="20"/>
        </w:rPr>
        <w:t>State 1</w:t>
      </w:r>
      <w:r>
        <w:rPr>
          <w:rFonts w:ascii="”kÑ˛" w:hAnsi="”kÑ˛" w:cs="”kÑ˛"/>
          <w:color w:val="000000"/>
          <w:sz w:val="20"/>
          <w:szCs w:val="20"/>
        </w:rPr>
        <w:t xml:space="preserve"> leaves the STA’s state unchanged (with respect to the AP or PCP that was sent the Reassociation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Request (which may be the current STA)). Successful reassociation sets the non-FILS</w:t>
      </w:r>
      <w:r>
        <w:rPr>
          <w:rFonts w:ascii="”kÑ˛" w:hAnsi="”kÑ˛" w:cs="”kÑ˛"/>
          <w:color w:val="218B21"/>
          <w:sz w:val="20"/>
          <w:szCs w:val="20"/>
        </w:rPr>
        <w:t xml:space="preserve">(11ai) </w:t>
      </w:r>
      <w:r>
        <w:rPr>
          <w:rFonts w:ascii="”kÑ˛" w:hAnsi="”kÑ˛" w:cs="”kÑ˛"/>
          <w:color w:val="000000"/>
          <w:sz w:val="20"/>
          <w:szCs w:val="20"/>
        </w:rPr>
        <w:t>STA’s state to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State 3 or State 4 (with respect to the AP or PCP that was sent the Reassociation Request frame</w:t>
      </w:r>
      <w:r>
        <w:rPr>
          <w:rFonts w:ascii="”kÑ˛" w:hAnsi="”kÑ˛" w:cs="”kÑ˛"/>
          <w:color w:val="218B21"/>
          <w:sz w:val="20"/>
          <w:szCs w:val="20"/>
        </w:rPr>
        <w:t>(11ai)</w:t>
      </w:r>
      <w:r>
        <w:rPr>
          <w:rFonts w:ascii="”kÑ˛" w:hAnsi="”kÑ˛" w:cs="”kÑ˛"/>
          <w:color w:val="000000"/>
          <w:sz w:val="20"/>
          <w:szCs w:val="20"/>
        </w:rPr>
        <w:t>).</w:t>
      </w: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 w:rsidRPr="003630D2">
        <w:rPr>
          <w:rFonts w:ascii="”kÑ˛" w:hAnsi="”kÑ˛" w:cs="”kÑ˛"/>
          <w:color w:val="000000"/>
          <w:sz w:val="20"/>
          <w:szCs w:val="20"/>
        </w:rPr>
        <w:t xml:space="preserve">Successful reassociation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when not in State 1</w:t>
      </w:r>
      <w:r w:rsidRPr="003630D2">
        <w:rPr>
          <w:rFonts w:ascii="”kÑ˛" w:hAnsi="”kÑ˛" w:cs="”kÑ˛"/>
          <w:color w:val="000000"/>
          <w:sz w:val="20"/>
          <w:szCs w:val="20"/>
        </w:rPr>
        <w:t xml:space="preserve"> sets the STA’s state to State 2 (with respect to the current AP or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 w:rsidRPr="003630D2">
        <w:rPr>
          <w:rFonts w:ascii="”kÑ˛" w:hAnsi="”kÑ˛" w:cs="”kÑ˛"/>
          <w:color w:val="000000"/>
          <w:sz w:val="20"/>
          <w:szCs w:val="20"/>
        </w:rPr>
        <w:t>PCP, if this is not the AP or PCP that was sent the Reassociation Request frame</w:t>
      </w:r>
      <w:r w:rsidRPr="003630D2">
        <w:rPr>
          <w:rFonts w:ascii="”kÑ˛" w:hAnsi="”kÑ˛" w:cs="”kÑ˛"/>
          <w:color w:val="218B21"/>
          <w:sz w:val="20"/>
          <w:szCs w:val="20"/>
        </w:rPr>
        <w:t>(11ai)</w:t>
      </w:r>
      <w:r w:rsidRPr="003630D2">
        <w:rPr>
          <w:rFonts w:ascii="”kÑ˛" w:hAnsi="”kÑ˛" w:cs="”kÑ˛"/>
          <w:color w:val="000000"/>
          <w:sz w:val="20"/>
          <w:szCs w:val="20"/>
        </w:rPr>
        <w:t>).</w:t>
      </w:r>
      <w:r>
        <w:rPr>
          <w:rFonts w:ascii="”kÑ˛" w:hAnsi="”kÑ˛" w:cs="”kÑ˛"/>
          <w:color w:val="000000"/>
          <w:sz w:val="20"/>
          <w:szCs w:val="20"/>
        </w:rPr>
        <w:t xml:space="preserve"> Successful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reassociation sets a FILS STA’s state to State 4 (with respect to the AP or PCP that was sent the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Reassociation Request frame) and enables it to exchange Class 3 frames</w:t>
      </w:r>
      <w:r>
        <w:rPr>
          <w:rFonts w:ascii="”kÑ˛" w:hAnsi="”kÑ˛" w:cs="”kÑ˛"/>
          <w:color w:val="218B21"/>
          <w:sz w:val="20"/>
          <w:szCs w:val="20"/>
        </w:rPr>
        <w:t>(11ai)</w:t>
      </w:r>
      <w:r>
        <w:rPr>
          <w:rFonts w:ascii="”kÑ˛" w:hAnsi="”kÑ˛" w:cs="”kÑ˛"/>
          <w:color w:val="000000"/>
          <w:sz w:val="20"/>
          <w:szCs w:val="20"/>
        </w:rPr>
        <w:t>. Reassociation shall be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performed only if the originating STA is already associated in the same ESS. 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  <w:u w:val="single"/>
        </w:rPr>
      </w:pP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Disassociation is not allowed in State 1 or State 1a.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Disassociation notification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when not in State 1</w:t>
      </w:r>
      <w:r>
        <w:rPr>
          <w:rFonts w:ascii="”kÑ˛" w:hAnsi="”kÑ˛" w:cs="”kÑ˛"/>
          <w:color w:val="000000"/>
          <w:sz w:val="20"/>
          <w:szCs w:val="20"/>
        </w:rPr>
        <w:t xml:space="preserve"> sets a non-FILS</w:t>
      </w:r>
      <w:r>
        <w:rPr>
          <w:rFonts w:ascii="”kÑ˛" w:hAnsi="”kÑ˛" w:cs="”kÑ˛"/>
          <w:color w:val="218B21"/>
          <w:sz w:val="20"/>
          <w:szCs w:val="20"/>
        </w:rPr>
        <w:t xml:space="preserve">(11ai) </w:t>
      </w:r>
      <w:r>
        <w:rPr>
          <w:rFonts w:ascii="”kÑ˛" w:hAnsi="”kÑ˛" w:cs="”kÑ˛"/>
          <w:color w:val="000000"/>
          <w:sz w:val="20"/>
          <w:szCs w:val="20"/>
        </w:rPr>
        <w:t>STA’s state to State 2. Disassociation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notification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when not in State 1</w:t>
      </w:r>
      <w:r>
        <w:rPr>
          <w:rFonts w:ascii="”kÑ˛" w:hAnsi="”kÑ˛" w:cs="”kÑ˛"/>
          <w:color w:val="000000"/>
          <w:sz w:val="20"/>
          <w:szCs w:val="20"/>
        </w:rPr>
        <w:t xml:space="preserve"> sets a FILS STA’s state to State 1</w:t>
      </w:r>
      <w:r>
        <w:rPr>
          <w:rFonts w:ascii="”kÑ˛" w:hAnsi="”kÑ˛" w:cs="”kÑ˛"/>
          <w:color w:val="218B21"/>
          <w:sz w:val="20"/>
          <w:szCs w:val="20"/>
        </w:rPr>
        <w:t>(11ai)</w:t>
      </w:r>
      <w:r>
        <w:rPr>
          <w:rFonts w:ascii="”kÑ˛" w:hAnsi="”kÑ˛" w:cs="”kÑ˛"/>
          <w:color w:val="000000"/>
          <w:sz w:val="20"/>
          <w:szCs w:val="20"/>
        </w:rPr>
        <w:t>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Change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11.3.5.2 Non-AP and non-PCP STA association initiation procedures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p2212.13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Upon receipt of an MLME-ASSOCIATE.request primitive, a non-AP and non-PCP STA shall associate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with an AP or PCP using the following procedure: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a) If the state for the AP is State 1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, the MLME shall inform the SME of the failure of the association by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issuing an MLME-ASSOCIATE.confirm primitive, and this procedure ends.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11.3.5.3 AP or PCP association receipt procedures as follows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p2213.40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b/>
          <w:color w:val="FF0000"/>
          <w:sz w:val="20"/>
          <w:szCs w:val="20"/>
        </w:rPr>
        <w:t>..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b) If the state for the STA is </w:t>
      </w:r>
      <w:r w:rsidRPr="003630D2">
        <w:rPr>
          <w:rFonts w:ascii="”kÑ˛" w:hAnsi="”kÑ˛" w:cs="”kÑ˛"/>
          <w:sz w:val="20"/>
          <w:szCs w:val="20"/>
          <w:u w:val="single"/>
        </w:rPr>
        <w:t>State</w:t>
      </w:r>
      <w:r>
        <w:rPr>
          <w:rFonts w:ascii="”kÑ˛" w:hAnsi="”kÑ˛" w:cs="”kÑ˛"/>
          <w:sz w:val="20"/>
          <w:szCs w:val="20"/>
        </w:rPr>
        <w:t xml:space="preserve"> 1 or </w:t>
      </w:r>
      <w:r w:rsidRPr="003630D2">
        <w:rPr>
          <w:rFonts w:ascii="”kÑ˛" w:hAnsi="”kÑ˛" w:cs="”kÑ˛"/>
          <w:sz w:val="20"/>
          <w:szCs w:val="20"/>
          <w:u w:val="single"/>
        </w:rPr>
        <w:t>State 1a</w:t>
      </w:r>
      <w:r>
        <w:rPr>
          <w:rFonts w:ascii="”kÑ˛" w:hAnsi="”kÑ˛" w:cs="”kÑ˛"/>
          <w:sz w:val="20"/>
          <w:szCs w:val="20"/>
        </w:rPr>
        <w:t xml:space="preserve"> and the STA is a non-DMG STA, the SME shall refuse the association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request by issuing an MLME-ASSOCIATE.response primitive with ResultCode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NOT_AUTHENTICATED.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11.3.5.4 Non-AP and non-PCP STA reassociation initiation procedures as follows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p2215.62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b/>
          <w:color w:val="FF0000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Upon receipt of an MLME-REASSOCIATE.request primitive, a non-AP and non-PCP STA shall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reassociate with an AP or PCP using the following procedure: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a) If the STA is not associated in the same ESS or the state for the new AP is State 1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, the MLME shall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inform the SME of the failure of the reassociation by issuing an MLME-REASSOCIATE.confirm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primitive, and this procedure ends.</w:t>
      </w:r>
    </w:p>
    <w:p w:rsidR="003630D2" w:rsidRDefault="003B4915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b/>
          <w:color w:val="FF0000"/>
          <w:sz w:val="20"/>
          <w:szCs w:val="20"/>
        </w:rPr>
        <w:lastRenderedPageBreak/>
        <w:t xml:space="preserve">    </w:t>
      </w: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11.3.5.5 AP or PCP reassociation receipt procedures as follows p2218.15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b) If the state for the STA is </w:t>
      </w:r>
      <w:r w:rsidRPr="003630D2">
        <w:rPr>
          <w:rFonts w:ascii="”kÑ˛" w:hAnsi="”kÑ˛" w:cs="”kÑ˛"/>
          <w:sz w:val="20"/>
          <w:szCs w:val="20"/>
          <w:u w:val="single"/>
        </w:rPr>
        <w:t>State</w:t>
      </w:r>
      <w:r>
        <w:rPr>
          <w:rFonts w:ascii="”kÑ˛" w:hAnsi="”kÑ˛" w:cs="”kÑ˛"/>
          <w:sz w:val="20"/>
          <w:szCs w:val="20"/>
        </w:rPr>
        <w:t xml:space="preserve"> 1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 xml:space="preserve"> and the STA is a non-DMG STA, the SME shall refuse the reassociation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request by issuing an MLME REASSOCIATE.response primitive with ResultCode</w:t>
      </w: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NOT_AUTHENTICATED.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11.3.5.6 Non-AP and non-PCP STA disassociation initiation procedures p2220.30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b) The state for the AP or PCP shall be set to State 2 if it was not State 1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. In the case of an MM-SME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coordinated STA, the MLME shall perform this for each STA whose address was included in the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MMS parameter of the MLME-ASSOCIATE.request or MLME-REASSOCIATE.request primitive</w:t>
      </w: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that established the association.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11.3.5.8 AP or PCP disassociation initiation procedure p2221.29 as follows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b) The state for the STA shall be set to State 2, if it was not State 1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. The MM-SME shall perform this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process for each STA whose address was included in the MMS parameter of the MLMEASSOCIATE.</w:t>
      </w: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00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request or MLME-REASSOCIATE.request primitive that established the association.</w:t>
      </w:r>
    </w:p>
    <w:sectPr w:rsidR="003630D2" w:rsidRPr="003630D2">
      <w:headerReference w:type="default" r:id="rId10"/>
      <w:footerReference w:type="default" r:id="rId11"/>
      <w:pgSz w:w="12240" w:h="15840"/>
      <w:pgMar w:top="1080" w:right="1080" w:bottom="1080" w:left="36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66E" w:rsidRDefault="0089766E">
      <w:r>
        <w:separator/>
      </w:r>
    </w:p>
  </w:endnote>
  <w:endnote w:type="continuationSeparator" w:id="0">
    <w:p w:rsidR="0089766E" w:rsidRDefault="0089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”kÑ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”kÑ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2CE" w:rsidRDefault="00BB22CE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Submission</w:t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ab/>
      <w:t>Nehru Bhandaru et al., Broadcom Inc.</w:t>
    </w:r>
  </w:p>
  <w:p w:rsidR="00BB22CE" w:rsidRDefault="00BB22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66E" w:rsidRDefault="0089766E">
      <w:r>
        <w:separator/>
      </w:r>
    </w:p>
  </w:footnote>
  <w:footnote w:type="continuationSeparator" w:id="0">
    <w:p w:rsidR="0089766E" w:rsidRDefault="0089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2CE" w:rsidRDefault="008936D8">
    <w:pPr>
      <w:pBdr>
        <w:top w:val="nil"/>
        <w:left w:val="nil"/>
        <w:bottom w:val="single" w:sz="6" w:space="2" w:color="000000"/>
        <w:right w:val="nil"/>
        <w:between w:val="nil"/>
      </w:pBdr>
      <w:tabs>
        <w:tab w:val="center" w:pos="4680"/>
        <w:tab w:val="left" w:pos="6480"/>
        <w:tab w:val="right" w:pos="9360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May</w:t>
    </w:r>
    <w:r w:rsidR="00BB22CE">
      <w:rPr>
        <w:b/>
        <w:color w:val="000000"/>
        <w:sz w:val="28"/>
        <w:szCs w:val="28"/>
      </w:rPr>
      <w:t xml:space="preserve"> 2019        </w:t>
    </w:r>
    <w:r w:rsidR="00BB22CE">
      <w:rPr>
        <w:b/>
        <w:color w:val="000000"/>
        <w:sz w:val="28"/>
        <w:szCs w:val="28"/>
      </w:rPr>
      <w:tab/>
      <w:t xml:space="preserve">                                                              </w:t>
    </w:r>
    <w:r w:rsidR="00624A4D">
      <w:rPr>
        <w:b/>
        <w:color w:val="000000"/>
        <w:sz w:val="28"/>
        <w:szCs w:val="28"/>
      </w:rPr>
      <w:t xml:space="preserve">    doc.: IEEE 802.11-19/</w:t>
    </w:r>
    <w:r w:rsidR="009F0945">
      <w:rPr>
        <w:b/>
        <w:color w:val="000000"/>
        <w:sz w:val="28"/>
        <w:szCs w:val="28"/>
      </w:rPr>
      <w:t>0970</w:t>
    </w:r>
    <w:r w:rsidR="00705696">
      <w:rPr>
        <w:b/>
        <w:color w:val="000000"/>
        <w:sz w:val="28"/>
        <w:szCs w:val="28"/>
      </w:rPr>
      <w:t>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7E45"/>
    <w:multiLevelType w:val="multilevel"/>
    <w:tmpl w:val="BC30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D4F34"/>
    <w:multiLevelType w:val="multilevel"/>
    <w:tmpl w:val="75666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B068A2"/>
    <w:multiLevelType w:val="hybridMultilevel"/>
    <w:tmpl w:val="B398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D0BFA"/>
    <w:multiLevelType w:val="hybridMultilevel"/>
    <w:tmpl w:val="4EB2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05285"/>
    <w:multiLevelType w:val="hybridMultilevel"/>
    <w:tmpl w:val="1EEE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B3542"/>
    <w:multiLevelType w:val="hybridMultilevel"/>
    <w:tmpl w:val="90B4EE08"/>
    <w:lvl w:ilvl="0" w:tplc="13924E92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”kÑ˛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115BD"/>
    <w:multiLevelType w:val="multilevel"/>
    <w:tmpl w:val="50A65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D096F7C"/>
    <w:multiLevelType w:val="multilevel"/>
    <w:tmpl w:val="756A0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1F4080"/>
    <w:multiLevelType w:val="hybridMultilevel"/>
    <w:tmpl w:val="17709B62"/>
    <w:lvl w:ilvl="0" w:tplc="ACB88CFC">
      <w:start w:val="47"/>
      <w:numFmt w:val="bullet"/>
      <w:lvlText w:val=""/>
      <w:lvlJc w:val="left"/>
      <w:pPr>
        <w:ind w:left="720" w:hanging="360"/>
      </w:pPr>
      <w:rPr>
        <w:rFonts w:ascii="Wingdings" w:eastAsia="Georgia" w:hAnsi="Wingdings" w:cs="Georg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B2EB3"/>
    <w:multiLevelType w:val="hybridMultilevel"/>
    <w:tmpl w:val="6EEE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C5E7F"/>
    <w:multiLevelType w:val="multilevel"/>
    <w:tmpl w:val="EF7AD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5D0F"/>
    <w:rsid w:val="00012D5D"/>
    <w:rsid w:val="000D1BA4"/>
    <w:rsid w:val="00194B87"/>
    <w:rsid w:val="001A729E"/>
    <w:rsid w:val="001F49A5"/>
    <w:rsid w:val="001F76B2"/>
    <w:rsid w:val="0029587B"/>
    <w:rsid w:val="00336D4B"/>
    <w:rsid w:val="003630D2"/>
    <w:rsid w:val="0037184B"/>
    <w:rsid w:val="003B3547"/>
    <w:rsid w:val="003B4915"/>
    <w:rsid w:val="003D18E1"/>
    <w:rsid w:val="003F1623"/>
    <w:rsid w:val="004C3441"/>
    <w:rsid w:val="004F101E"/>
    <w:rsid w:val="00550E13"/>
    <w:rsid w:val="00624A4D"/>
    <w:rsid w:val="00626624"/>
    <w:rsid w:val="00685432"/>
    <w:rsid w:val="006E1E1F"/>
    <w:rsid w:val="00705696"/>
    <w:rsid w:val="0070715A"/>
    <w:rsid w:val="007C600F"/>
    <w:rsid w:val="00853665"/>
    <w:rsid w:val="008708A1"/>
    <w:rsid w:val="00886C84"/>
    <w:rsid w:val="008936D8"/>
    <w:rsid w:val="0089766E"/>
    <w:rsid w:val="008A5D0F"/>
    <w:rsid w:val="008C5726"/>
    <w:rsid w:val="008E1B48"/>
    <w:rsid w:val="00925356"/>
    <w:rsid w:val="00950C2C"/>
    <w:rsid w:val="009B3E81"/>
    <w:rsid w:val="009D37F1"/>
    <w:rsid w:val="009F0945"/>
    <w:rsid w:val="00A06348"/>
    <w:rsid w:val="00A166A6"/>
    <w:rsid w:val="00A23BCA"/>
    <w:rsid w:val="00A61C1B"/>
    <w:rsid w:val="00A84CF0"/>
    <w:rsid w:val="00AC75D9"/>
    <w:rsid w:val="00AD6FC5"/>
    <w:rsid w:val="00B371AA"/>
    <w:rsid w:val="00B64509"/>
    <w:rsid w:val="00B64C36"/>
    <w:rsid w:val="00BB025B"/>
    <w:rsid w:val="00BB15B9"/>
    <w:rsid w:val="00BB22CE"/>
    <w:rsid w:val="00BF5E7A"/>
    <w:rsid w:val="00C62635"/>
    <w:rsid w:val="00CA1F46"/>
    <w:rsid w:val="00CB0158"/>
    <w:rsid w:val="00CC37A6"/>
    <w:rsid w:val="00E87533"/>
    <w:rsid w:val="00EF5F4F"/>
    <w:rsid w:val="00F527C8"/>
    <w:rsid w:val="00F60CB7"/>
    <w:rsid w:val="00F846DD"/>
    <w:rsid w:val="00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26308"/>
  <w15:docId w15:val="{12B657FB-9338-784A-979B-27CE08B6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696"/>
  </w:style>
  <w:style w:type="paragraph" w:styleId="Heading1">
    <w:name w:val="heading 1"/>
    <w:basedOn w:val="Normal"/>
    <w:next w:val="Normal"/>
    <w:pPr>
      <w:keepNext/>
      <w:keepLines/>
      <w:spacing w:before="320"/>
      <w:outlineLvl w:val="0"/>
    </w:pPr>
    <w:rPr>
      <w:rFonts w:ascii="Arial" w:eastAsia="Arial" w:hAnsi="Arial" w:cs="Arial"/>
      <w:b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2">
    <w:name w:val="T2"/>
    <w:basedOn w:val="Normal"/>
    <w:rsid w:val="00A23BCA"/>
    <w:pPr>
      <w:spacing w:after="240"/>
      <w:ind w:left="720" w:right="720"/>
      <w:jc w:val="center"/>
    </w:pPr>
    <w:rPr>
      <w:b/>
      <w:sz w:val="28"/>
      <w:szCs w:val="20"/>
      <w:lang w:val="en-GB"/>
    </w:rPr>
  </w:style>
  <w:style w:type="character" w:styleId="Hyperlink">
    <w:name w:val="Hyperlink"/>
    <w:uiPriority w:val="99"/>
    <w:rsid w:val="00A23B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3BCA"/>
    <w:pPr>
      <w:ind w:left="720"/>
      <w:contextualSpacing/>
    </w:pPr>
  </w:style>
  <w:style w:type="table" w:styleId="TableGrid">
    <w:name w:val="Table Grid"/>
    <w:basedOn w:val="TableNormal"/>
    <w:uiPriority w:val="39"/>
    <w:rsid w:val="00A2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E1"/>
  </w:style>
  <w:style w:type="paragraph" w:styleId="Footer">
    <w:name w:val="footer"/>
    <w:basedOn w:val="Normal"/>
    <w:link w:val="FooterChar"/>
    <w:uiPriority w:val="99"/>
    <w:unhideWhenUsed/>
    <w:rsid w:val="003D1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E1"/>
  </w:style>
  <w:style w:type="character" w:styleId="UnresolvedMention">
    <w:name w:val="Unresolved Mention"/>
    <w:basedOn w:val="DefaultParagraphFont"/>
    <w:uiPriority w:val="99"/>
    <w:semiHidden/>
    <w:unhideWhenUsed/>
    <w:rsid w:val="003D18E1"/>
    <w:rPr>
      <w:color w:val="605E5C"/>
      <w:shd w:val="clear" w:color="auto" w:fill="E1DFDD"/>
    </w:rPr>
  </w:style>
  <w:style w:type="paragraph" w:customStyle="1" w:styleId="Default">
    <w:name w:val="Default"/>
    <w:rsid w:val="00F846DD"/>
    <w:pPr>
      <w:autoSpaceDE w:val="0"/>
      <w:autoSpaceDN w:val="0"/>
      <w:adjustRightInd w:val="0"/>
    </w:pPr>
    <w:rPr>
      <w:color w:val="000000"/>
    </w:rPr>
  </w:style>
  <w:style w:type="paragraph" w:customStyle="1" w:styleId="m8368801584583261540msolistparagraph">
    <w:name w:val="m_8368801584583261540msolistparagraph"/>
    <w:basedOn w:val="Normal"/>
    <w:rsid w:val="007056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1/private/Draft_Standards/11md/Draft%20P802.11REVmd_D2.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nesh.venkatesan@inte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eee802.org/11/private/Draft_Standards/11az/Draft%20P802.11az_D1.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5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Nehru Bhandaru</cp:lastModifiedBy>
  <cp:revision>49</cp:revision>
  <cp:lastPrinted>2019-03-25T18:28:00Z</cp:lastPrinted>
  <dcterms:created xsi:type="dcterms:W3CDTF">2018-08-06T23:58:00Z</dcterms:created>
  <dcterms:modified xsi:type="dcterms:W3CDTF">2019-05-29T21:04:00Z</dcterms:modified>
  <cp:category/>
</cp:coreProperties>
</file>