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124C3AB4" w:rsidR="00CA09B2" w:rsidRDefault="00A35B52" w:rsidP="00907CAC">
            <w:pPr>
              <w:pStyle w:val="T2"/>
            </w:pPr>
            <w:proofErr w:type="spellStart"/>
            <w:r>
              <w:t>TG</w:t>
            </w:r>
            <w:r w:rsidR="004B229C">
              <w:t>ax</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529AE0FE"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4B229C">
              <w:rPr>
                <w:b w:val="0"/>
                <w:sz w:val="20"/>
              </w:rPr>
              <w:t>3</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2064"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814"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5"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1647"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CA09B2" w14:paraId="1B723A7D" w14:textId="77777777" w:rsidTr="004B229C">
        <w:trPr>
          <w:jc w:val="center"/>
        </w:trPr>
        <w:tc>
          <w:tcPr>
            <w:tcW w:w="1336" w:type="dxa"/>
            <w:vAlign w:val="center"/>
          </w:tcPr>
          <w:p w14:paraId="274AD612" w14:textId="77777777"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61ECD7D3"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3CD54131"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Includes notes taken during May 23</w:t>
                            </w:r>
                            <w:r w:rsidRPr="00353E2D">
                              <w:rPr>
                                <w:sz w:val="22"/>
                                <w:vertAlign w:val="superscript"/>
                              </w:rPr>
                              <w:t>rd</w:t>
                            </w:r>
                            <w:r>
                              <w:rPr>
                                <w:sz w:val="22"/>
                              </w:rPr>
                              <w:t xml:space="preserve"> conf call.</w:t>
                            </w:r>
                          </w:p>
                          <w:p w14:paraId="6CDA0DD8" w14:textId="5C96B0E7" w:rsidR="00353E2D" w:rsidRPr="00353E2D" w:rsidRDefault="00353E2D" w:rsidP="00353E2D">
                            <w:pPr>
                              <w:pStyle w:val="ListParagraph"/>
                              <w:numPr>
                                <w:ilvl w:val="0"/>
                                <w:numId w:val="23"/>
                              </w:numPr>
                              <w:jc w:val="both"/>
                              <w:rPr>
                                <w:sz w:val="22"/>
                              </w:rPr>
                            </w:pP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61ECD7D3"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3CD54131"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Includes notes taken during May 23</w:t>
                      </w:r>
                      <w:r w:rsidRPr="00353E2D">
                        <w:rPr>
                          <w:sz w:val="22"/>
                          <w:vertAlign w:val="superscript"/>
                        </w:rPr>
                        <w:t>rd</w:t>
                      </w:r>
                      <w:r>
                        <w:rPr>
                          <w:sz w:val="22"/>
                        </w:rPr>
                        <w:t xml:space="preserve"> conf call.</w:t>
                      </w:r>
                    </w:p>
                    <w:p w14:paraId="6CDA0DD8" w14:textId="5C96B0E7" w:rsidR="00353E2D" w:rsidRPr="00353E2D" w:rsidRDefault="00353E2D" w:rsidP="00353E2D">
                      <w:pPr>
                        <w:pStyle w:val="ListParagraph"/>
                        <w:numPr>
                          <w:ilvl w:val="0"/>
                          <w:numId w:val="23"/>
                        </w:numPr>
                        <w:jc w:val="both"/>
                        <w:rPr>
                          <w:sz w:val="22"/>
                        </w:rPr>
                      </w:pP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77777777" w:rsidR="008A7896" w:rsidRDefault="008A7896" w:rsidP="008A7896">
      <w:pPr>
        <w:spacing w:before="100" w:beforeAutospacing="1" w:after="240"/>
      </w:pPr>
      <w:proofErr w:type="spellStart"/>
      <w:r>
        <w:t>TGax</w:t>
      </w:r>
      <w:proofErr w:type="spellEnd"/>
      <w:r>
        <w:t xml:space="preserve"> will hold 5</w:t>
      </w:r>
      <w:r w:rsidRPr="00EE0424">
        <w:t xml:space="preserve"> </w:t>
      </w:r>
      <w:r w:rsidRPr="00EE0424">
        <w:rPr>
          <w:rStyle w:val="il"/>
        </w:rPr>
        <w:t>teleconferences</w:t>
      </w:r>
      <w:r>
        <w:t xml:space="preserve"> before the July 2019</w:t>
      </w:r>
      <w:r w:rsidRPr="00EE0424">
        <w:t xml:space="preserve"> session</w:t>
      </w:r>
      <w:r>
        <w:t xml:space="preserve"> for the purpose of comment resolution and presentations</w:t>
      </w:r>
      <w:r w:rsidRPr="00EE0424">
        <w:t xml:space="preserve">: </w:t>
      </w:r>
    </w:p>
    <w:p w14:paraId="7F4B25ED"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23</w:t>
      </w:r>
      <w:r w:rsidRPr="00F679AF">
        <w:rPr>
          <w:b/>
          <w:bCs/>
          <w:lang w:val="en-US"/>
        </w:rPr>
        <w:tab/>
      </w:r>
      <w:r w:rsidRPr="00F679AF">
        <w:rPr>
          <w:b/>
          <w:bCs/>
          <w:lang w:val="en-US"/>
        </w:rPr>
        <w:tab/>
        <w:t>10:00 – 12:00 ET</w:t>
      </w:r>
    </w:p>
    <w:p w14:paraId="00FB0171"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30</w:t>
      </w:r>
      <w:r w:rsidRPr="00F679AF">
        <w:rPr>
          <w:b/>
          <w:bCs/>
          <w:lang w:val="en-US"/>
        </w:rPr>
        <w:tab/>
      </w:r>
      <w:r w:rsidRPr="00F679AF">
        <w:rPr>
          <w:b/>
          <w:bCs/>
          <w:lang w:val="en-US"/>
        </w:rPr>
        <w:tab/>
        <w:t>20:00 – 22:00 ET</w:t>
      </w:r>
    </w:p>
    <w:p w14:paraId="387307C5"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13</w:t>
      </w:r>
      <w:r w:rsidRPr="00F679AF">
        <w:rPr>
          <w:b/>
          <w:bCs/>
          <w:lang w:val="en-US"/>
        </w:rPr>
        <w:tab/>
      </w:r>
      <w:r w:rsidRPr="00F679AF">
        <w:rPr>
          <w:b/>
          <w:bCs/>
          <w:lang w:val="en-US"/>
        </w:rPr>
        <w:tab/>
        <w:t>10:00 – 12:00 ET</w:t>
      </w:r>
    </w:p>
    <w:p w14:paraId="2FFDE17E"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20</w:t>
      </w:r>
      <w:r w:rsidRPr="00F679AF">
        <w:rPr>
          <w:b/>
          <w:bCs/>
          <w:lang w:val="en-US"/>
        </w:rPr>
        <w:tab/>
      </w:r>
      <w:r w:rsidRPr="00F679AF">
        <w:rPr>
          <w:b/>
          <w:bCs/>
          <w:lang w:val="en-US"/>
        </w:rPr>
        <w:tab/>
        <w:t>20:00 – 22:00 ET</w:t>
      </w:r>
    </w:p>
    <w:p w14:paraId="39C0644F"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27</w:t>
      </w:r>
      <w:r w:rsidRPr="00F679AF">
        <w:rPr>
          <w:b/>
          <w:bCs/>
          <w:lang w:val="en-US"/>
        </w:rPr>
        <w:tab/>
      </w:r>
      <w:r w:rsidRPr="00F679AF">
        <w:rPr>
          <w:b/>
          <w:bCs/>
          <w:lang w:val="en-US"/>
        </w:rPr>
        <w:tab/>
        <w:t>10:00 –</w:t>
      </w:r>
      <w:r>
        <w:rPr>
          <w:b/>
          <w:bCs/>
          <w:lang w:val="en-US"/>
        </w:rPr>
        <w:t xml:space="preserve"> </w:t>
      </w:r>
      <w:r w:rsidRPr="00F679AF">
        <w:rPr>
          <w:b/>
          <w:bCs/>
          <w:lang w:val="en-US"/>
        </w:rPr>
        <w:t>12:00 ET</w:t>
      </w:r>
    </w:p>
    <w:p w14:paraId="60EA4B71" w14:textId="77777777"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77777777" w:rsidR="008A7896" w:rsidRPr="00F000EF" w:rsidRDefault="008A7896" w:rsidP="008A7896">
      <w:pPr>
        <w:pStyle w:val="ListParagraph"/>
        <w:numPr>
          <w:ilvl w:val="0"/>
          <w:numId w:val="26"/>
        </w:numPr>
        <w:rPr>
          <w:b/>
        </w:rPr>
      </w:pPr>
      <w:r w:rsidRPr="00F000EF">
        <w:rPr>
          <w:b/>
        </w:rPr>
        <w:t>First Conference Call: May 23</w:t>
      </w:r>
      <w:r w:rsidRPr="00F000EF">
        <w:rPr>
          <w:b/>
          <w:vertAlign w:val="superscript"/>
        </w:rPr>
        <w:t>rd</w:t>
      </w:r>
      <w:r w:rsidRPr="00F000EF">
        <w:rPr>
          <w:b/>
        </w:rPr>
        <w:t xml:space="preserve"> (10:00 – 12:00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267025EE"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13" w:tgtFrame="_blank" w:history="1">
        <w:r w:rsidRPr="003046F3">
          <w:rPr>
            <w:rStyle w:val="Hyperlink"/>
            <w:color w:val="1155CC"/>
          </w:rPr>
          <w:t>Inoue.yasuhiko@lab.ntt.co.jp</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Pr="003046F3" w:rsidRDefault="008A7896" w:rsidP="008A7896">
      <w:pPr>
        <w:pStyle w:val="ListParagraph"/>
        <w:numPr>
          <w:ilvl w:val="0"/>
          <w:numId w:val="25"/>
        </w:numPr>
      </w:pPr>
      <w:r w:rsidRPr="003046F3">
        <w:t>Comment Resolution Submissions:</w:t>
      </w:r>
    </w:p>
    <w:p w14:paraId="13C090DE" w14:textId="77777777" w:rsidR="008A7896" w:rsidRDefault="008A7896" w:rsidP="008A7896">
      <w:pPr>
        <w:pStyle w:val="ListParagraph"/>
        <w:numPr>
          <w:ilvl w:val="1"/>
          <w:numId w:val="25"/>
        </w:numPr>
      </w:pPr>
      <w:r w:rsidRPr="003046F3">
        <w:t xml:space="preserve">19/696r1-OMI Comment Resolutions (Jarkko </w:t>
      </w:r>
      <w:proofErr w:type="spellStart"/>
      <w:r w:rsidRPr="003046F3">
        <w:t>Kneckt</w:t>
      </w:r>
      <w:proofErr w:type="spellEnd"/>
      <w:r w:rsidRPr="003046F3">
        <w:t>, Apple)</w:t>
      </w:r>
      <w:r>
        <w:t xml:space="preserve"> – 5 CIDs</w:t>
      </w:r>
    </w:p>
    <w:p w14:paraId="5D825C34" w14:textId="77777777" w:rsidR="008A7896" w:rsidRPr="008A7896" w:rsidRDefault="008A7896" w:rsidP="008A7896">
      <w:pPr>
        <w:pStyle w:val="ListParagraph"/>
        <w:numPr>
          <w:ilvl w:val="2"/>
          <w:numId w:val="25"/>
        </w:numPr>
        <w:rPr>
          <w:i/>
        </w:rPr>
      </w:pPr>
      <w:r w:rsidRPr="008A7896">
        <w:rPr>
          <w:i/>
        </w:rPr>
        <w:t>CID 20716: Update resolution based on feedback from Mark/Alfred.</w:t>
      </w:r>
    </w:p>
    <w:p w14:paraId="6D1822A3" w14:textId="77777777" w:rsidR="008A7896" w:rsidRPr="008A7896" w:rsidRDefault="008A7896" w:rsidP="008A7896">
      <w:pPr>
        <w:pStyle w:val="ListParagraph"/>
        <w:numPr>
          <w:ilvl w:val="2"/>
          <w:numId w:val="25"/>
        </w:numPr>
        <w:rPr>
          <w:i/>
        </w:rPr>
      </w:pPr>
      <w:r w:rsidRPr="008A7896">
        <w:rPr>
          <w:i/>
        </w:rPr>
        <w:t>CID 20788 and 21618 (deferred): Need more discussion.</w:t>
      </w:r>
    </w:p>
    <w:p w14:paraId="51F5A8B2" w14:textId="77777777" w:rsidR="008A7896" w:rsidRPr="008A7896" w:rsidRDefault="008A7896" w:rsidP="008A7896">
      <w:pPr>
        <w:pStyle w:val="ListParagraph"/>
        <w:numPr>
          <w:ilvl w:val="2"/>
          <w:numId w:val="25"/>
        </w:numPr>
        <w:rPr>
          <w:i/>
        </w:rPr>
      </w:pPr>
      <w:r w:rsidRPr="008A7896">
        <w:rPr>
          <w:i/>
        </w:rPr>
        <w:t>CID 21208 and 21478 are ready for motion (as shown in 19/696r2).</w:t>
      </w:r>
    </w:p>
    <w:p w14:paraId="58559AA4" w14:textId="77777777" w:rsidR="008A7896" w:rsidRDefault="008A7896" w:rsidP="008A7896">
      <w:pPr>
        <w:pStyle w:val="ListParagraph"/>
        <w:numPr>
          <w:ilvl w:val="1"/>
          <w:numId w:val="25"/>
        </w:numPr>
      </w:pPr>
      <w:r w:rsidRPr="003046F3">
        <w:t xml:space="preserve">19/488r2-CR for RNR (Jarkko </w:t>
      </w:r>
      <w:proofErr w:type="spellStart"/>
      <w:r w:rsidRPr="003046F3">
        <w:t>Kneckt</w:t>
      </w:r>
      <w:proofErr w:type="spellEnd"/>
      <w:r w:rsidRPr="003046F3">
        <w:t>, Apple)</w:t>
      </w:r>
      <w:r>
        <w:t xml:space="preserve"> – 4 CIDs</w:t>
      </w:r>
    </w:p>
    <w:p w14:paraId="671A6795" w14:textId="77777777" w:rsidR="008A7896" w:rsidRPr="008A7896" w:rsidRDefault="008A7896" w:rsidP="008A7896">
      <w:pPr>
        <w:pStyle w:val="ListParagraph"/>
        <w:numPr>
          <w:ilvl w:val="2"/>
          <w:numId w:val="25"/>
        </w:numPr>
        <w:rPr>
          <w:i/>
        </w:rPr>
      </w:pPr>
      <w:r w:rsidRPr="008A7896">
        <w:rPr>
          <w:i/>
        </w:rPr>
        <w:t>CID 20253 (deferred): Need more discussion.</w:t>
      </w:r>
    </w:p>
    <w:p w14:paraId="7B04AF71" w14:textId="77777777" w:rsidR="008A7896" w:rsidRPr="008A7896" w:rsidRDefault="008A7896" w:rsidP="008A7896">
      <w:pPr>
        <w:pStyle w:val="ListParagraph"/>
        <w:numPr>
          <w:ilvl w:val="2"/>
          <w:numId w:val="25"/>
        </w:numPr>
        <w:rPr>
          <w:i/>
        </w:rPr>
      </w:pPr>
      <w:r w:rsidRPr="008A7896">
        <w:rPr>
          <w:i/>
        </w:rPr>
        <w:t>Remaining CIDs (deferred): Resolution is the same as for CID 20253.</w:t>
      </w:r>
    </w:p>
    <w:p w14:paraId="7DCB8CF7" w14:textId="009F11C0" w:rsidR="008A7896" w:rsidRDefault="008A7896" w:rsidP="008A7896">
      <w:pPr>
        <w:pStyle w:val="ListParagraph"/>
        <w:numPr>
          <w:ilvl w:val="1"/>
          <w:numId w:val="25"/>
        </w:numPr>
      </w:pPr>
      <w:r w:rsidRPr="003046F3">
        <w:t>19/750r1-CR 26.5.3.4 (Liwen Chu, Marvell)</w:t>
      </w:r>
      <w:r>
        <w:t xml:space="preserve"> – 10 CIDs</w:t>
      </w:r>
    </w:p>
    <w:p w14:paraId="04EBD6F2" w14:textId="77777777" w:rsidR="008A7896" w:rsidRDefault="008A7896" w:rsidP="008A7896">
      <w:pPr>
        <w:pStyle w:val="ListParagraph"/>
        <w:numPr>
          <w:ilvl w:val="2"/>
          <w:numId w:val="25"/>
        </w:numPr>
      </w:pPr>
      <w:r>
        <w:t>CID 20186 (deferred): Follow up with an update accounting for the feedback received during the conference call.</w:t>
      </w:r>
    </w:p>
    <w:p w14:paraId="66A1B517" w14:textId="1B8DB0A5" w:rsidR="008A7896" w:rsidRPr="003046F3" w:rsidRDefault="008A7896" w:rsidP="008A7896">
      <w:pPr>
        <w:pStyle w:val="ListParagraph"/>
        <w:numPr>
          <w:ilvl w:val="2"/>
          <w:numId w:val="25"/>
        </w:numPr>
      </w:pPr>
      <w:r>
        <w:lastRenderedPageBreak/>
        <w:t xml:space="preserve">CID 20640: Continue </w:t>
      </w:r>
      <w:r w:rsidR="00C431D0">
        <w:t xml:space="preserve">presentation </w:t>
      </w:r>
      <w:r>
        <w:t>from this CID. Include early feedback received from Robert and Mark.</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7777777" w:rsidR="008A7896" w:rsidRPr="00F000EF" w:rsidRDefault="008A7896" w:rsidP="008A7896">
      <w:pPr>
        <w:pStyle w:val="ListParagraph"/>
        <w:numPr>
          <w:ilvl w:val="0"/>
          <w:numId w:val="26"/>
        </w:numPr>
        <w:rPr>
          <w:b/>
        </w:rPr>
      </w:pPr>
      <w:r>
        <w:rPr>
          <w:b/>
        </w:rPr>
        <w:t>Second</w:t>
      </w:r>
      <w:r w:rsidRPr="00F000EF">
        <w:rPr>
          <w:b/>
        </w:rPr>
        <w:t xml:space="preserve"> Conference Call: May </w:t>
      </w:r>
      <w:r>
        <w:rPr>
          <w:b/>
        </w:rPr>
        <w:t>30</w:t>
      </w:r>
      <w:r>
        <w:rPr>
          <w:b/>
          <w:vertAlign w:val="superscript"/>
        </w:rPr>
        <w:t>th</w:t>
      </w:r>
      <w:r w:rsidRPr="00F000EF">
        <w:rPr>
          <w:b/>
        </w:rPr>
        <w:t xml:space="preserve"> (</w:t>
      </w:r>
      <w:r>
        <w:rPr>
          <w:b/>
        </w:rPr>
        <w:t>2</w:t>
      </w:r>
      <w:r w:rsidRPr="00F000EF">
        <w:rPr>
          <w:b/>
        </w:rPr>
        <w:t xml:space="preserve">0:00 – </w:t>
      </w:r>
      <w:r>
        <w:rPr>
          <w:b/>
        </w:rPr>
        <w:t>2</w:t>
      </w:r>
      <w:r w:rsidRPr="00F000EF">
        <w:rPr>
          <w:b/>
        </w:rPr>
        <w:t>2:00 ET)</w:t>
      </w:r>
    </w:p>
    <w:p w14:paraId="2EA546F5" w14:textId="77777777"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359AE7A2"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16" w:tgtFrame="_blank" w:history="1">
        <w:r w:rsidRPr="003046F3">
          <w:rPr>
            <w:rStyle w:val="Hyperlink"/>
            <w:color w:val="1155CC"/>
          </w:rPr>
          <w:t>Inoue.yasuhiko@lab.ntt.co.jp</w:t>
        </w:r>
      </w:hyperlink>
      <w:r w:rsidRPr="003046F3">
        <w:t>)</w:t>
      </w:r>
    </w:p>
    <w:p w14:paraId="12B4F909" w14:textId="77777777" w:rsidR="008A7896" w:rsidRPr="003046F3" w:rsidRDefault="008A7896" w:rsidP="008A7896">
      <w:pPr>
        <w:pStyle w:val="ListParagraph"/>
        <w:numPr>
          <w:ilvl w:val="0"/>
          <w:numId w:val="25"/>
        </w:numPr>
      </w:pPr>
      <w:r w:rsidRPr="003046F3">
        <w:t>Announcements</w:t>
      </w:r>
      <w:r>
        <w:t>:</w:t>
      </w:r>
    </w:p>
    <w:p w14:paraId="43C2972D" w14:textId="77777777" w:rsidR="008A7896" w:rsidRPr="003046F3" w:rsidRDefault="008A7896" w:rsidP="008A7896">
      <w:pPr>
        <w:pStyle w:val="ListParagraph"/>
        <w:numPr>
          <w:ilvl w:val="0"/>
          <w:numId w:val="25"/>
        </w:numPr>
      </w:pPr>
      <w:r w:rsidRPr="003046F3">
        <w:t>Comment Resolution Submissions:</w:t>
      </w:r>
    </w:p>
    <w:p w14:paraId="1B2E6913" w14:textId="77777777" w:rsidR="008A7896" w:rsidRPr="003046F3" w:rsidRDefault="008A7896" w:rsidP="008A7896">
      <w:pPr>
        <w:pStyle w:val="ListParagraph"/>
        <w:numPr>
          <w:ilvl w:val="1"/>
          <w:numId w:val="25"/>
        </w:numPr>
      </w:pPr>
      <w:r>
        <w:t>TBD.</w:t>
      </w: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77777777" w:rsidR="008A7896" w:rsidRPr="00F000EF" w:rsidRDefault="008A7896" w:rsidP="008A7896">
      <w:pPr>
        <w:pStyle w:val="ListParagraph"/>
        <w:numPr>
          <w:ilvl w:val="0"/>
          <w:numId w:val="26"/>
        </w:numPr>
        <w:rPr>
          <w:b/>
        </w:rPr>
      </w:pPr>
      <w:r>
        <w:rPr>
          <w:b/>
        </w:rPr>
        <w:t>Third</w:t>
      </w:r>
      <w:r w:rsidRPr="00F000EF">
        <w:rPr>
          <w:b/>
        </w:rPr>
        <w:t xml:space="preserve"> Conference Call: </w:t>
      </w:r>
      <w:r>
        <w:rPr>
          <w:b/>
        </w:rPr>
        <w:t>June</w:t>
      </w:r>
      <w:r w:rsidRPr="00F000EF">
        <w:rPr>
          <w:b/>
        </w:rPr>
        <w:t xml:space="preserve"> </w:t>
      </w:r>
      <w:r>
        <w:rPr>
          <w:b/>
        </w:rPr>
        <w:t>13</w:t>
      </w:r>
      <w:r>
        <w:rPr>
          <w:b/>
          <w:vertAlign w:val="superscript"/>
        </w:rPr>
        <w:t>th</w:t>
      </w:r>
      <w:r w:rsidRPr="00F000EF">
        <w:rPr>
          <w:b/>
        </w:rPr>
        <w:t xml:space="preserve"> (</w:t>
      </w:r>
      <w:r>
        <w:rPr>
          <w:b/>
        </w:rPr>
        <w:t>1</w:t>
      </w:r>
      <w:r w:rsidRPr="00F000EF">
        <w:rPr>
          <w:b/>
        </w:rPr>
        <w:t xml:space="preserve">0:00 – </w:t>
      </w:r>
      <w:r>
        <w:rPr>
          <w:b/>
        </w:rPr>
        <w:t>1</w:t>
      </w:r>
      <w:r w:rsidRPr="00F000EF">
        <w:rPr>
          <w:b/>
        </w:rPr>
        <w:t>2:00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19"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7777777" w:rsidR="008A7896" w:rsidRPr="003046F3" w:rsidRDefault="008A7896" w:rsidP="008A7896">
      <w:pPr>
        <w:pStyle w:val="ListParagraph"/>
        <w:numPr>
          <w:ilvl w:val="0"/>
          <w:numId w:val="25"/>
        </w:numPr>
      </w:pPr>
      <w:r w:rsidRPr="003046F3">
        <w:t>Comment Resolution Submissions:</w:t>
      </w:r>
    </w:p>
    <w:p w14:paraId="18995A9A" w14:textId="77777777" w:rsidR="008A7896" w:rsidRPr="003046F3" w:rsidRDefault="008A7896" w:rsidP="008A7896">
      <w:pPr>
        <w:pStyle w:val="ListParagraph"/>
        <w:numPr>
          <w:ilvl w:val="1"/>
          <w:numId w:val="25"/>
        </w:numPr>
      </w:pPr>
      <w:r>
        <w:t>TBD.</w:t>
      </w:r>
    </w:p>
    <w:p w14:paraId="4E357EBE" w14:textId="77777777" w:rsidR="008A7896" w:rsidRPr="003046F3" w:rsidRDefault="008A7896" w:rsidP="008A7896">
      <w:pPr>
        <w:pStyle w:val="ListParagraph"/>
        <w:numPr>
          <w:ilvl w:val="0"/>
          <w:numId w:val="25"/>
        </w:numPr>
      </w:pPr>
      <w:proofErr w:type="spellStart"/>
      <w:r w:rsidRPr="003046F3">
        <w:lastRenderedPageBreak/>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77777777" w:rsidR="008A7896" w:rsidRPr="00F000EF" w:rsidRDefault="008A7896" w:rsidP="008A7896">
      <w:pPr>
        <w:pStyle w:val="ListParagraph"/>
        <w:numPr>
          <w:ilvl w:val="0"/>
          <w:numId w:val="26"/>
        </w:numPr>
        <w:rPr>
          <w:b/>
        </w:rPr>
      </w:pPr>
      <w:r>
        <w:rPr>
          <w:b/>
        </w:rPr>
        <w:t>Fourth</w:t>
      </w:r>
      <w:r w:rsidRPr="00F000EF">
        <w:rPr>
          <w:b/>
        </w:rPr>
        <w:t xml:space="preserve"> Conference Call: </w:t>
      </w:r>
      <w:r>
        <w:rPr>
          <w:b/>
        </w:rPr>
        <w:t>June</w:t>
      </w:r>
      <w:r w:rsidRPr="00F000EF">
        <w:rPr>
          <w:b/>
        </w:rPr>
        <w:t xml:space="preserve"> </w:t>
      </w:r>
      <w:r>
        <w:rPr>
          <w:b/>
        </w:rPr>
        <w:t>20</w:t>
      </w:r>
      <w:r>
        <w:rPr>
          <w:b/>
          <w:vertAlign w:val="superscript"/>
        </w:rPr>
        <w:t>th</w:t>
      </w:r>
      <w:r w:rsidRPr="00F000EF">
        <w:rPr>
          <w:b/>
        </w:rPr>
        <w:t xml:space="preserve"> (</w:t>
      </w:r>
      <w:r>
        <w:rPr>
          <w:b/>
        </w:rPr>
        <w:t>2</w:t>
      </w:r>
      <w:r w:rsidRPr="00F000EF">
        <w:rPr>
          <w:b/>
        </w:rPr>
        <w:t xml:space="preserve">0:00 – </w:t>
      </w:r>
      <w:r>
        <w:rPr>
          <w:b/>
        </w:rPr>
        <w:t>2</w:t>
      </w:r>
      <w:r w:rsidRPr="00F000EF">
        <w:rPr>
          <w:b/>
        </w:rPr>
        <w:t>2:00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21" w:tgtFrame="_blank" w:history="1">
        <w:r w:rsidRPr="00EE0424">
          <w:rPr>
            <w:rStyle w:val="Hyperlink"/>
            <w:sz w:val="22"/>
            <w:szCs w:val="22"/>
            <w:lang w:val="en-US"/>
          </w:rPr>
          <w:t>https://mentor.ieee.org/802-ec/dcn/16/ec-16-0180-05-00EC-ieee-802-participation-slide.pptx</w:t>
        </w:r>
      </w:hyperlink>
    </w:p>
    <w:p w14:paraId="07EC2836"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22" w:tgtFrame="_blank" w:history="1">
        <w:r w:rsidRPr="003046F3">
          <w:rPr>
            <w:rStyle w:val="Hyperlink"/>
            <w:color w:val="1155CC"/>
          </w:rPr>
          <w:t>Inoue.yasuhiko@lab.ntt.co.jp</w:t>
        </w:r>
      </w:hyperlink>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30258F7D" w14:textId="77777777" w:rsidR="008A7896" w:rsidRPr="003046F3" w:rsidRDefault="008A7896" w:rsidP="008A7896">
      <w:pPr>
        <w:pStyle w:val="ListParagraph"/>
        <w:numPr>
          <w:ilvl w:val="1"/>
          <w:numId w:val="25"/>
        </w:numPr>
      </w:pPr>
      <w:r>
        <w:t>TBD.</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77777777" w:rsidR="008A7896" w:rsidRPr="00F000EF" w:rsidRDefault="008A7896" w:rsidP="008A7896">
      <w:pPr>
        <w:pStyle w:val="ListParagraph"/>
        <w:numPr>
          <w:ilvl w:val="0"/>
          <w:numId w:val="26"/>
        </w:numPr>
        <w:rPr>
          <w:b/>
        </w:rPr>
      </w:pPr>
      <w:r>
        <w:rPr>
          <w:b/>
        </w:rPr>
        <w:t>Fifth</w:t>
      </w:r>
      <w:r w:rsidRPr="00F000EF">
        <w:rPr>
          <w:b/>
        </w:rPr>
        <w:t xml:space="preserve"> Conference Call: </w:t>
      </w:r>
      <w:r>
        <w:rPr>
          <w:b/>
        </w:rPr>
        <w:t>June</w:t>
      </w:r>
      <w:r w:rsidRPr="00F000EF">
        <w:rPr>
          <w:b/>
        </w:rPr>
        <w:t xml:space="preserve"> </w:t>
      </w:r>
      <w:r>
        <w:rPr>
          <w:b/>
        </w:rPr>
        <w:t>27</w:t>
      </w:r>
      <w:r>
        <w:rPr>
          <w:b/>
          <w:vertAlign w:val="superscript"/>
        </w:rPr>
        <w:t>th</w:t>
      </w:r>
      <w:r w:rsidRPr="00F000EF">
        <w:rPr>
          <w:b/>
        </w:rPr>
        <w:t xml:space="preserve"> (</w:t>
      </w:r>
      <w:r>
        <w:rPr>
          <w:b/>
        </w:rPr>
        <w:t>1</w:t>
      </w:r>
      <w:r w:rsidRPr="00F000EF">
        <w:rPr>
          <w:b/>
        </w:rPr>
        <w:t xml:space="preserve">0:00 – </w:t>
      </w:r>
      <w:r>
        <w:rPr>
          <w:b/>
        </w:rPr>
        <w:t>1</w:t>
      </w:r>
      <w:r w:rsidRPr="00F000EF">
        <w:rPr>
          <w:b/>
        </w:rPr>
        <w:t>2:00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196819AA"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25" w:tgtFrame="_blank" w:history="1">
        <w:r w:rsidRPr="003046F3">
          <w:rPr>
            <w:rStyle w:val="Hyperlink"/>
            <w:color w:val="1155CC"/>
          </w:rPr>
          <w:t>Inoue.yasuhiko@lab.ntt.co.jp</w:t>
        </w:r>
      </w:hyperlink>
      <w:r w:rsidRPr="003046F3">
        <w:t>)</w:t>
      </w:r>
    </w:p>
    <w:p w14:paraId="49AD5FE8" w14:textId="77777777" w:rsidR="008A7896" w:rsidRPr="003046F3" w:rsidRDefault="008A7896" w:rsidP="008A7896">
      <w:pPr>
        <w:pStyle w:val="ListParagraph"/>
        <w:numPr>
          <w:ilvl w:val="0"/>
          <w:numId w:val="25"/>
        </w:numPr>
      </w:pPr>
      <w:r w:rsidRPr="003046F3">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4473A6B0" w14:textId="77777777" w:rsidR="008A7896" w:rsidRPr="003046F3" w:rsidRDefault="008A7896" w:rsidP="008A7896">
      <w:pPr>
        <w:pStyle w:val="ListParagraph"/>
        <w:numPr>
          <w:ilvl w:val="1"/>
          <w:numId w:val="25"/>
        </w:numPr>
      </w:pPr>
      <w:r>
        <w:t>TBD.</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lastRenderedPageBreak/>
        <w:t>Adjourn</w:t>
      </w:r>
    </w:p>
    <w:p w14:paraId="0E5DD581" w14:textId="77777777" w:rsidR="008A7896" w:rsidRDefault="008A7896"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26"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27"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28"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29"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30"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31" w:tgtFrame="_blank" w:history="1">
        <w:r>
          <w:rPr>
            <w:rStyle w:val="Hyperlink"/>
            <w:sz w:val="20"/>
            <w:lang w:val="en-US"/>
          </w:rPr>
          <w:t>http://</w:t>
        </w:r>
      </w:hyperlink>
      <w:hyperlink r:id="rId32"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33"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34"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35"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even" r:id="rId36"/>
      <w:headerReference w:type="default" r:id="rId37"/>
      <w:footerReference w:type="even" r:id="rId38"/>
      <w:footerReference w:type="default" r:id="rId39"/>
      <w:headerReference w:type="first" r:id="rId40"/>
      <w:footerReference w:type="firs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AFDF5" w14:textId="77777777" w:rsidR="003033A0" w:rsidRDefault="003033A0">
      <w:r>
        <w:separator/>
      </w:r>
    </w:p>
  </w:endnote>
  <w:endnote w:type="continuationSeparator" w:id="0">
    <w:p w14:paraId="118323FF" w14:textId="77777777" w:rsidR="003033A0" w:rsidRDefault="0030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EB46" w14:textId="77777777" w:rsidR="00E462C6" w:rsidRDefault="00E46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C3978">
      <w:rPr>
        <w:noProof/>
      </w:rPr>
      <w:t>1</w:t>
    </w:r>
    <w:r>
      <w:fldChar w:fldCharType="end"/>
    </w:r>
    <w:r>
      <w:tab/>
    </w:r>
    <w:r w:rsidR="00E462C6">
      <w:t>Alfred Asterjadhi, Qualcomm Inc.</w:t>
    </w:r>
    <w:bookmarkStart w:id="0" w:name="_GoBack"/>
    <w:bookmarkEnd w:id="0"/>
  </w:p>
  <w:p w14:paraId="4787BCD3" w14:textId="77777777" w:rsidR="00221EA3" w:rsidRDefault="00221E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52D7" w14:textId="77777777" w:rsidR="00E462C6" w:rsidRDefault="00E46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6CF1" w14:textId="77777777" w:rsidR="003033A0" w:rsidRDefault="003033A0">
      <w:r>
        <w:separator/>
      </w:r>
    </w:p>
  </w:footnote>
  <w:footnote w:type="continuationSeparator" w:id="0">
    <w:p w14:paraId="1164E70D" w14:textId="77777777" w:rsidR="003033A0" w:rsidRDefault="0030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F44A" w14:textId="77777777" w:rsidR="00E462C6" w:rsidRDefault="00E46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B70713D"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fldSimple w:instr=" TITLE  \* MERGEFORMAT ">
      <w:r w:rsidR="001C3978">
        <w:t>doc.: IEEE 802.11-19/09</w:t>
      </w:r>
      <w:r w:rsidR="004B229C">
        <w:t>69</w:t>
      </w:r>
      <w:r w:rsidR="001C3978">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A5C86" w14:textId="77777777" w:rsidR="00E462C6" w:rsidRDefault="00E46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1001B4"/>
    <w:rsid w:val="001158DD"/>
    <w:rsid w:val="00121219"/>
    <w:rsid w:val="00125E27"/>
    <w:rsid w:val="001311FF"/>
    <w:rsid w:val="00151C37"/>
    <w:rsid w:val="0017208D"/>
    <w:rsid w:val="00180C6D"/>
    <w:rsid w:val="001916F1"/>
    <w:rsid w:val="00195E6A"/>
    <w:rsid w:val="001A5E36"/>
    <w:rsid w:val="001B3714"/>
    <w:rsid w:val="001C3978"/>
    <w:rsid w:val="001C5C70"/>
    <w:rsid w:val="001D723B"/>
    <w:rsid w:val="001E0003"/>
    <w:rsid w:val="001E2522"/>
    <w:rsid w:val="001E65F8"/>
    <w:rsid w:val="001F1534"/>
    <w:rsid w:val="001F1CE3"/>
    <w:rsid w:val="001F5B79"/>
    <w:rsid w:val="00202462"/>
    <w:rsid w:val="00205068"/>
    <w:rsid w:val="00221EA3"/>
    <w:rsid w:val="002261CA"/>
    <w:rsid w:val="00234BDA"/>
    <w:rsid w:val="00240492"/>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33A0"/>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846DF"/>
    <w:rsid w:val="00497E69"/>
    <w:rsid w:val="004A5947"/>
    <w:rsid w:val="004A61F3"/>
    <w:rsid w:val="004B064B"/>
    <w:rsid w:val="004B229C"/>
    <w:rsid w:val="004B4A90"/>
    <w:rsid w:val="004B79F1"/>
    <w:rsid w:val="004C1FA9"/>
    <w:rsid w:val="004D2594"/>
    <w:rsid w:val="004F74E7"/>
    <w:rsid w:val="00503C1B"/>
    <w:rsid w:val="00525AB5"/>
    <w:rsid w:val="00531689"/>
    <w:rsid w:val="00535FE9"/>
    <w:rsid w:val="005408AF"/>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A7B82"/>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31D0"/>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2FAD"/>
    <w:rsid w:val="00D01A2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Inoue.yasuhiko@lab.ntt.co.jp"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www.ieee.org/about/corporate/governance/p7-8.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mailto:Inoue.yasuhiko@lab.ntt.co.jp" TargetMode="External"/><Relationship Id="rId33" Type="http://schemas.openxmlformats.org/officeDocument/2006/relationships/hyperlink" Target="https://mentor.ieee.org/802-ec/dcn/17/ec-17-0120-27-0PNP-ieee-802-lmsc-chairs-guidelines.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oue.yasuhiko@lab.ntt.co.jp" TargetMode="External"/><Relationship Id="rId20" Type="http://schemas.openxmlformats.org/officeDocument/2006/relationships/hyperlink" Target="mailto:patcom@ieee.org" TargetMode="External"/><Relationship Id="rId29" Type="http://schemas.openxmlformats.org/officeDocument/2006/relationships/hyperlink" Target="http://standards.ieee.org/develop/policies/bylaws/sect6-7.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www.ieee802.org/PNP/approved/IEEE_802_WG_PandP_v19.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mailto:patcom@ieee.org" TargetMode="External"/><Relationship Id="rId28" Type="http://schemas.openxmlformats.org/officeDocument/2006/relationships/hyperlink" Target="https://standards.ieee.org/content/dam/ieee-standards/standards/web/documents/other/antitrust.pdf" TargetMode="External"/><Relationship Id="rId36"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mailto:Inoue.yasuhiko@lab.ntt.co.jp" TargetMode="External"/><Relationship Id="rId31"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patcom@ieee.org" TargetMode="External"/><Relationship Id="rId22" Type="http://schemas.openxmlformats.org/officeDocument/2006/relationships/hyperlink" Target="mailto:Inoue.yasuhiko@lab.ntt.co.jp" TargetMode="External"/><Relationship Id="rId27" Type="http://schemas.openxmlformats.org/officeDocument/2006/relationships/hyperlink" Target="https://standards.ieee.org/faqs/affiliation.html" TargetMode="External"/><Relationship Id="rId30" Type="http://schemas.openxmlformats.org/officeDocument/2006/relationships/hyperlink" Target="https://standards.ieee.org/about/sasb/patcom/" TargetMode="External"/><Relationship Id="rId35" Type="http://schemas.openxmlformats.org/officeDocument/2006/relationships/hyperlink" Target="https://mentor.ieee.org/802.11/dcn/14/11-14-0629-22-0000-802-11-operations-manual.docx"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6826-B233-4E5F-90EC-2510307A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6</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15</cp:revision>
  <cp:lastPrinted>2019-05-20T20:59:00Z</cp:lastPrinted>
  <dcterms:created xsi:type="dcterms:W3CDTF">2019-05-23T16:46:00Z</dcterms:created>
  <dcterms:modified xsi:type="dcterms:W3CDTF">2019-05-23T17:00:00Z</dcterms:modified>
</cp:coreProperties>
</file>