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6BDBE371" w:rsidR="006803D3" w:rsidRPr="00604A02" w:rsidRDefault="005271A8" w:rsidP="00FA784B">
            <w:pPr>
              <w:jc w:val="center"/>
              <w:rPr>
                <w:sz w:val="28"/>
                <w:szCs w:val="24"/>
                <w:lang w:eastAsia="zh-CN"/>
              </w:rPr>
            </w:pPr>
            <w:r w:rsidRPr="005B71B4">
              <w:rPr>
                <w:sz w:val="28"/>
                <w:szCs w:val="24"/>
              </w:rPr>
              <w:t xml:space="preserve">LB239 </w:t>
            </w:r>
            <w:r w:rsidR="00FA784B">
              <w:rPr>
                <w:sz w:val="28"/>
                <w:szCs w:val="24"/>
              </w:rPr>
              <w:t xml:space="preserve">Resolution of </w:t>
            </w:r>
            <w:r w:rsidR="00EE5F59" w:rsidRPr="00EE5F59">
              <w:rPr>
                <w:sz w:val="28"/>
                <w:szCs w:val="24"/>
              </w:rPr>
              <w:t>CID 4284, 4365</w:t>
            </w:r>
          </w:p>
        </w:tc>
      </w:tr>
      <w:tr w:rsidR="006803D3" w14:paraId="4349F02F" w14:textId="77777777" w:rsidTr="0078286B">
        <w:trPr>
          <w:trHeight w:val="359"/>
          <w:jc w:val="center"/>
        </w:trPr>
        <w:tc>
          <w:tcPr>
            <w:tcW w:w="5000" w:type="pct"/>
            <w:gridSpan w:val="5"/>
            <w:vAlign w:val="center"/>
          </w:tcPr>
          <w:p w14:paraId="751F0D30" w14:textId="3468CA45" w:rsidR="006803D3" w:rsidRDefault="006803D3" w:rsidP="005546B6">
            <w:pPr>
              <w:pStyle w:val="T2"/>
              <w:ind w:left="0"/>
              <w:rPr>
                <w:sz w:val="20"/>
              </w:rPr>
            </w:pPr>
            <w:r>
              <w:rPr>
                <w:sz w:val="20"/>
              </w:rPr>
              <w:t>Date:</w:t>
            </w:r>
            <w:r w:rsidR="00343E67">
              <w:rPr>
                <w:b w:val="0"/>
                <w:sz w:val="20"/>
              </w:rPr>
              <w:t xml:space="preserve">  </w:t>
            </w:r>
            <w:r w:rsidR="002C2AB1">
              <w:rPr>
                <w:b w:val="0"/>
                <w:sz w:val="20"/>
              </w:rPr>
              <w:t>2019</w:t>
            </w:r>
            <w:r w:rsidR="00343E67">
              <w:rPr>
                <w:b w:val="0"/>
                <w:sz w:val="20"/>
              </w:rPr>
              <w:t>-</w:t>
            </w:r>
            <w:r w:rsidR="0031210E">
              <w:rPr>
                <w:b w:val="0"/>
                <w:sz w:val="20"/>
              </w:rPr>
              <w:t>Ma</w:t>
            </w:r>
            <w:r w:rsidR="00BF2E5A">
              <w:rPr>
                <w:b w:val="0"/>
                <w:sz w:val="20"/>
              </w:rPr>
              <w:t>y</w:t>
            </w:r>
            <w:r w:rsidR="005546B6">
              <w:rPr>
                <w:b w:val="0"/>
                <w:sz w:val="20"/>
              </w:rPr>
              <w:t>-</w:t>
            </w:r>
            <w:r w:rsidR="00BF2E5A">
              <w:rPr>
                <w:b w:val="0"/>
                <w:sz w:val="20"/>
              </w:rPr>
              <w:t>6</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43716" w14:paraId="5432D16F" w14:textId="77777777" w:rsidTr="00CB0134">
        <w:trPr>
          <w:jc w:val="center"/>
        </w:trPr>
        <w:tc>
          <w:tcPr>
            <w:tcW w:w="1034" w:type="pct"/>
            <w:vAlign w:val="center"/>
          </w:tcPr>
          <w:p w14:paraId="0283D1C0" w14:textId="6CE08579" w:rsidR="00643716" w:rsidRDefault="00CC12C6" w:rsidP="001C55D2">
            <w:pPr>
              <w:pStyle w:val="T2"/>
              <w:spacing w:after="0"/>
              <w:ind w:left="0" w:right="0"/>
              <w:jc w:val="left"/>
              <w:rPr>
                <w:b w:val="0"/>
                <w:sz w:val="20"/>
              </w:rPr>
            </w:pPr>
            <w:r>
              <w:rPr>
                <w:b w:val="0"/>
                <w:sz w:val="20"/>
              </w:rPr>
              <w:t>Solomon Trainin</w:t>
            </w:r>
          </w:p>
        </w:tc>
        <w:tc>
          <w:tcPr>
            <w:tcW w:w="591" w:type="pct"/>
            <w:vAlign w:val="center"/>
          </w:tcPr>
          <w:p w14:paraId="161266D4" w14:textId="54513055" w:rsidR="00643716" w:rsidRDefault="00CC12C6" w:rsidP="0078286B">
            <w:pPr>
              <w:pStyle w:val="T2"/>
              <w:spacing w:after="0"/>
              <w:ind w:left="0" w:right="0"/>
              <w:rPr>
                <w:b w:val="0"/>
                <w:sz w:val="20"/>
              </w:rPr>
            </w:pPr>
            <w:r>
              <w:rPr>
                <w:b w:val="0"/>
                <w:sz w:val="20"/>
              </w:rPr>
              <w:t>Qualcomm</w:t>
            </w:r>
          </w:p>
        </w:tc>
        <w:tc>
          <w:tcPr>
            <w:tcW w:w="701" w:type="pct"/>
            <w:vAlign w:val="center"/>
          </w:tcPr>
          <w:p w14:paraId="5AFF8FB5" w14:textId="77777777" w:rsidR="00643716" w:rsidRDefault="00643716" w:rsidP="0078286B">
            <w:pPr>
              <w:pStyle w:val="T2"/>
              <w:spacing w:after="0"/>
              <w:ind w:left="0" w:right="0"/>
              <w:rPr>
                <w:b w:val="0"/>
                <w:sz w:val="20"/>
              </w:rPr>
            </w:pPr>
          </w:p>
        </w:tc>
        <w:tc>
          <w:tcPr>
            <w:tcW w:w="983" w:type="pct"/>
            <w:vAlign w:val="center"/>
          </w:tcPr>
          <w:p w14:paraId="1939088B" w14:textId="05B08969" w:rsidR="00643716" w:rsidRDefault="00CC12C6" w:rsidP="0078286B">
            <w:pPr>
              <w:pStyle w:val="T2"/>
              <w:spacing w:after="0"/>
              <w:ind w:left="0" w:right="0"/>
              <w:rPr>
                <w:b w:val="0"/>
                <w:sz w:val="20"/>
              </w:rPr>
            </w:pPr>
            <w:r>
              <w:rPr>
                <w:b w:val="0"/>
                <w:sz w:val="20"/>
              </w:rPr>
              <w:t>972547885738</w:t>
            </w:r>
          </w:p>
        </w:tc>
        <w:tc>
          <w:tcPr>
            <w:tcW w:w="1691" w:type="pct"/>
            <w:vAlign w:val="center"/>
          </w:tcPr>
          <w:p w14:paraId="3C0984A7" w14:textId="54FEE515" w:rsidR="00B676BC" w:rsidRPr="00B676BC" w:rsidRDefault="00E65277" w:rsidP="00B676BC">
            <w:pPr>
              <w:pStyle w:val="T2"/>
              <w:spacing w:after="0"/>
              <w:ind w:left="0" w:right="0"/>
              <w:jc w:val="left"/>
              <w:rPr>
                <w:b w:val="0"/>
                <w:bCs/>
                <w:sz w:val="20"/>
                <w:lang w:eastAsia="zh-CN"/>
              </w:rPr>
            </w:pPr>
            <w:hyperlink r:id="rId7" w:history="1">
              <w:r w:rsidR="00B676BC" w:rsidRPr="00564118">
                <w:rPr>
                  <w:rStyle w:val="Hyperlink"/>
                  <w:b w:val="0"/>
                  <w:bCs/>
                  <w:sz w:val="20"/>
                  <w:lang w:eastAsia="zh-CN"/>
                </w:rPr>
                <w:t>strainin@qti.qualcomm.com</w:t>
              </w:r>
            </w:hyperlink>
          </w:p>
        </w:tc>
      </w:tr>
      <w:tr w:rsidR="002C2AB1" w14:paraId="6F90696D" w14:textId="77777777" w:rsidTr="00CB0134">
        <w:trPr>
          <w:jc w:val="center"/>
        </w:trPr>
        <w:tc>
          <w:tcPr>
            <w:tcW w:w="1034" w:type="pct"/>
            <w:vAlign w:val="center"/>
          </w:tcPr>
          <w:p w14:paraId="69BEE24F" w14:textId="192C9EDD" w:rsidR="002C2AB1" w:rsidRDefault="00B676BC" w:rsidP="001C55D2">
            <w:pPr>
              <w:pStyle w:val="T2"/>
              <w:spacing w:after="0"/>
              <w:ind w:left="0" w:right="0"/>
              <w:jc w:val="left"/>
              <w:rPr>
                <w:b w:val="0"/>
                <w:sz w:val="20"/>
              </w:rPr>
            </w:pPr>
            <w:r>
              <w:rPr>
                <w:b w:val="0"/>
                <w:sz w:val="20"/>
              </w:rPr>
              <w:t>Alecsander Eitan</w:t>
            </w:r>
          </w:p>
        </w:tc>
        <w:tc>
          <w:tcPr>
            <w:tcW w:w="591" w:type="pct"/>
            <w:vAlign w:val="center"/>
          </w:tcPr>
          <w:p w14:paraId="5AFCE117" w14:textId="61F57DCF" w:rsidR="002C2AB1" w:rsidRDefault="00B676BC" w:rsidP="0078286B">
            <w:pPr>
              <w:pStyle w:val="T2"/>
              <w:spacing w:after="0"/>
              <w:ind w:left="0" w:right="0"/>
              <w:rPr>
                <w:b w:val="0"/>
                <w:sz w:val="20"/>
              </w:rPr>
            </w:pPr>
            <w:r>
              <w:rPr>
                <w:b w:val="0"/>
                <w:sz w:val="20"/>
              </w:rPr>
              <w:t>Qualcomm</w:t>
            </w:r>
          </w:p>
        </w:tc>
        <w:tc>
          <w:tcPr>
            <w:tcW w:w="701" w:type="pct"/>
            <w:vAlign w:val="center"/>
          </w:tcPr>
          <w:p w14:paraId="32541AE1" w14:textId="77777777" w:rsidR="002C2AB1" w:rsidRDefault="002C2AB1" w:rsidP="0078286B">
            <w:pPr>
              <w:pStyle w:val="T2"/>
              <w:spacing w:after="0"/>
              <w:ind w:left="0" w:right="0"/>
              <w:rPr>
                <w:b w:val="0"/>
                <w:sz w:val="20"/>
              </w:rPr>
            </w:pPr>
          </w:p>
        </w:tc>
        <w:tc>
          <w:tcPr>
            <w:tcW w:w="983" w:type="pct"/>
            <w:vAlign w:val="center"/>
          </w:tcPr>
          <w:p w14:paraId="5F97F650" w14:textId="77777777" w:rsidR="002C2AB1" w:rsidRDefault="002C2AB1" w:rsidP="0078286B">
            <w:pPr>
              <w:pStyle w:val="T2"/>
              <w:spacing w:after="0"/>
              <w:ind w:left="0" w:right="0"/>
              <w:rPr>
                <w:b w:val="0"/>
                <w:sz w:val="20"/>
              </w:rPr>
            </w:pPr>
          </w:p>
        </w:tc>
        <w:tc>
          <w:tcPr>
            <w:tcW w:w="1691" w:type="pct"/>
            <w:vAlign w:val="center"/>
          </w:tcPr>
          <w:p w14:paraId="63D14D54" w14:textId="15806F27" w:rsidR="002C2AB1" w:rsidRPr="00B676BC" w:rsidRDefault="00E65277" w:rsidP="001C55D2">
            <w:pPr>
              <w:pStyle w:val="T2"/>
              <w:spacing w:after="0"/>
              <w:ind w:left="0" w:right="0"/>
              <w:jc w:val="left"/>
              <w:rPr>
                <w:sz w:val="20"/>
                <w:lang w:eastAsia="zh-CN"/>
              </w:rPr>
            </w:pPr>
            <w:hyperlink r:id="rId8" w:history="1">
              <w:r w:rsidR="00B676BC" w:rsidRPr="00564118">
                <w:rPr>
                  <w:rStyle w:val="Hyperlink"/>
                  <w:b w:val="0"/>
                  <w:bCs/>
                  <w:sz w:val="20"/>
                  <w:lang w:eastAsia="zh-CN"/>
                </w:rPr>
                <w:t>eitana@qti.qualcomm.com</w:t>
              </w:r>
            </w:hyperlink>
          </w:p>
        </w:tc>
      </w:tr>
      <w:tr w:rsidR="006803D3" w14:paraId="60A7D960" w14:textId="77777777" w:rsidTr="00CB0134">
        <w:trPr>
          <w:jc w:val="center"/>
        </w:trPr>
        <w:tc>
          <w:tcPr>
            <w:tcW w:w="1034" w:type="pct"/>
            <w:vAlign w:val="center"/>
          </w:tcPr>
          <w:p w14:paraId="767947E1" w14:textId="7F8CBC4C" w:rsidR="006803D3" w:rsidRDefault="00B676BC" w:rsidP="001C55D2">
            <w:pPr>
              <w:pStyle w:val="T2"/>
              <w:spacing w:after="0"/>
              <w:ind w:left="0" w:right="0"/>
              <w:jc w:val="left"/>
              <w:rPr>
                <w:b w:val="0"/>
                <w:sz w:val="20"/>
              </w:rPr>
            </w:pPr>
            <w:r>
              <w:rPr>
                <w:b w:val="0"/>
                <w:sz w:val="20"/>
              </w:rPr>
              <w:t>A</w:t>
            </w:r>
            <w:r w:rsidR="002B7841">
              <w:rPr>
                <w:b w:val="0"/>
                <w:sz w:val="20"/>
              </w:rPr>
              <w:t>ssaf Kasher</w:t>
            </w:r>
          </w:p>
        </w:tc>
        <w:tc>
          <w:tcPr>
            <w:tcW w:w="591" w:type="pct"/>
            <w:vAlign w:val="center"/>
          </w:tcPr>
          <w:p w14:paraId="25C77AC6" w14:textId="7E5A0007" w:rsidR="006803D3" w:rsidRDefault="002B7841" w:rsidP="0078286B">
            <w:pPr>
              <w:pStyle w:val="T2"/>
              <w:spacing w:after="0"/>
              <w:ind w:left="0" w:right="0"/>
              <w:rPr>
                <w:b w:val="0"/>
                <w:sz w:val="20"/>
              </w:rPr>
            </w:pPr>
            <w:r>
              <w:rPr>
                <w:b w:val="0"/>
                <w:sz w:val="20"/>
              </w:rPr>
              <w:t>Qualcomm</w:t>
            </w:r>
          </w:p>
        </w:tc>
        <w:tc>
          <w:tcPr>
            <w:tcW w:w="701" w:type="pct"/>
            <w:vAlign w:val="center"/>
          </w:tcPr>
          <w:p w14:paraId="70BDD777" w14:textId="77777777" w:rsidR="006803D3" w:rsidRDefault="006803D3" w:rsidP="0078286B">
            <w:pPr>
              <w:pStyle w:val="T2"/>
              <w:spacing w:after="0"/>
              <w:ind w:left="0" w:right="0"/>
              <w:rPr>
                <w:b w:val="0"/>
                <w:sz w:val="20"/>
              </w:rPr>
            </w:pPr>
          </w:p>
        </w:tc>
        <w:tc>
          <w:tcPr>
            <w:tcW w:w="983" w:type="pct"/>
            <w:vAlign w:val="center"/>
          </w:tcPr>
          <w:p w14:paraId="3DFFF2C2" w14:textId="77777777" w:rsidR="006803D3" w:rsidRDefault="006803D3" w:rsidP="0078286B">
            <w:pPr>
              <w:pStyle w:val="T2"/>
              <w:spacing w:after="0"/>
              <w:ind w:left="0" w:right="0"/>
              <w:rPr>
                <w:b w:val="0"/>
                <w:sz w:val="20"/>
              </w:rPr>
            </w:pPr>
          </w:p>
        </w:tc>
        <w:tc>
          <w:tcPr>
            <w:tcW w:w="1691" w:type="pct"/>
            <w:vAlign w:val="center"/>
          </w:tcPr>
          <w:p w14:paraId="1F10C024" w14:textId="350602AF" w:rsidR="006803D3" w:rsidRDefault="00E65277" w:rsidP="001C55D2">
            <w:pPr>
              <w:pStyle w:val="T2"/>
              <w:spacing w:after="0"/>
              <w:ind w:left="0" w:right="0"/>
              <w:jc w:val="left"/>
              <w:rPr>
                <w:b w:val="0"/>
                <w:sz w:val="16"/>
              </w:rPr>
            </w:pPr>
            <w:hyperlink r:id="rId9" w:history="1">
              <w:r w:rsidR="00B676BC" w:rsidRPr="00564118">
                <w:rPr>
                  <w:rStyle w:val="Hyperlink"/>
                  <w:b w:val="0"/>
                  <w:bCs/>
                  <w:sz w:val="20"/>
                  <w:lang w:eastAsia="zh-CN"/>
                </w:rPr>
                <w:t>akasher@qti.qualcomm.com</w:t>
              </w:r>
            </w:hyperlink>
          </w:p>
        </w:tc>
      </w:tr>
      <w:tr w:rsidR="00067D04" w14:paraId="72C44F75" w14:textId="77777777" w:rsidTr="00CB0134">
        <w:trPr>
          <w:jc w:val="center"/>
        </w:trPr>
        <w:tc>
          <w:tcPr>
            <w:tcW w:w="1034" w:type="pct"/>
            <w:vAlign w:val="center"/>
          </w:tcPr>
          <w:p w14:paraId="10AE3AC4" w14:textId="386A0D9E" w:rsidR="00067D04" w:rsidRDefault="00954DB0" w:rsidP="001C55D2">
            <w:pPr>
              <w:pStyle w:val="T2"/>
              <w:spacing w:after="0"/>
              <w:ind w:left="0" w:right="0"/>
              <w:jc w:val="left"/>
              <w:rPr>
                <w:b w:val="0"/>
                <w:sz w:val="20"/>
                <w:lang w:eastAsia="zh-CN"/>
              </w:rPr>
            </w:pPr>
            <w:r>
              <w:rPr>
                <w:b w:val="0"/>
                <w:sz w:val="20"/>
                <w:lang w:eastAsia="zh-CN"/>
              </w:rPr>
              <w:t>Carlos Cordeiro</w:t>
            </w:r>
          </w:p>
        </w:tc>
        <w:tc>
          <w:tcPr>
            <w:tcW w:w="591" w:type="pct"/>
            <w:vAlign w:val="center"/>
          </w:tcPr>
          <w:p w14:paraId="07112E93" w14:textId="3CCC0237" w:rsidR="00067D04" w:rsidRDefault="00954DB0" w:rsidP="0078286B">
            <w:pPr>
              <w:pStyle w:val="T2"/>
              <w:spacing w:after="0"/>
              <w:ind w:left="0" w:right="0"/>
              <w:rPr>
                <w:b w:val="0"/>
                <w:sz w:val="20"/>
                <w:lang w:eastAsia="zh-CN"/>
              </w:rPr>
            </w:pPr>
            <w:r>
              <w:rPr>
                <w:b w:val="0"/>
                <w:sz w:val="20"/>
                <w:lang w:eastAsia="zh-CN"/>
              </w:rPr>
              <w:t>Intel</w:t>
            </w:r>
          </w:p>
        </w:tc>
        <w:tc>
          <w:tcPr>
            <w:tcW w:w="701" w:type="pct"/>
            <w:vAlign w:val="center"/>
          </w:tcPr>
          <w:p w14:paraId="393467D0" w14:textId="77777777" w:rsidR="00067D04" w:rsidRDefault="00067D04" w:rsidP="0078286B">
            <w:pPr>
              <w:pStyle w:val="T2"/>
              <w:spacing w:after="0"/>
              <w:ind w:left="0" w:right="0"/>
              <w:rPr>
                <w:b w:val="0"/>
                <w:sz w:val="20"/>
              </w:rPr>
            </w:pPr>
          </w:p>
        </w:tc>
        <w:tc>
          <w:tcPr>
            <w:tcW w:w="983" w:type="pct"/>
            <w:vAlign w:val="center"/>
          </w:tcPr>
          <w:p w14:paraId="2A7F690F" w14:textId="77777777" w:rsidR="00067D04" w:rsidRDefault="00067D04" w:rsidP="0078286B">
            <w:pPr>
              <w:pStyle w:val="T2"/>
              <w:spacing w:after="0"/>
              <w:ind w:left="0" w:right="0"/>
              <w:rPr>
                <w:b w:val="0"/>
                <w:sz w:val="20"/>
              </w:rPr>
            </w:pPr>
          </w:p>
        </w:tc>
        <w:tc>
          <w:tcPr>
            <w:tcW w:w="1691" w:type="pct"/>
            <w:vAlign w:val="center"/>
          </w:tcPr>
          <w:p w14:paraId="74EE3DC3" w14:textId="27BE724E" w:rsidR="00E65277" w:rsidRPr="00E65277" w:rsidRDefault="00E65277" w:rsidP="00E65277">
            <w:pPr>
              <w:pStyle w:val="T2"/>
              <w:spacing w:after="0"/>
              <w:ind w:left="0" w:right="0"/>
              <w:jc w:val="left"/>
              <w:rPr>
                <w:b w:val="0"/>
                <w:bCs/>
                <w:sz w:val="20"/>
                <w:lang w:eastAsia="zh-CN"/>
              </w:rPr>
            </w:pPr>
            <w:hyperlink r:id="rId10" w:history="1">
              <w:r w:rsidRPr="00FE11B8">
                <w:rPr>
                  <w:rStyle w:val="Hyperlink"/>
                  <w:b w:val="0"/>
                  <w:bCs/>
                  <w:sz w:val="20"/>
                  <w:lang w:eastAsia="zh-CN"/>
                </w:rPr>
                <w:t>carlos.cordeiro@intel.com</w:t>
              </w:r>
            </w:hyperlink>
            <w:bookmarkStart w:id="0" w:name="_GoBack"/>
            <w:bookmarkEnd w:id="0"/>
          </w:p>
        </w:tc>
      </w:tr>
      <w:tr w:rsidR="00067D04" w14:paraId="76C476D9" w14:textId="77777777" w:rsidTr="00CB0134">
        <w:trPr>
          <w:jc w:val="center"/>
        </w:trPr>
        <w:tc>
          <w:tcPr>
            <w:tcW w:w="1034" w:type="pct"/>
            <w:vAlign w:val="center"/>
          </w:tcPr>
          <w:p w14:paraId="70726F77" w14:textId="1702CC17" w:rsidR="00067D04" w:rsidRDefault="00067D04" w:rsidP="001C55D2">
            <w:pPr>
              <w:pStyle w:val="T2"/>
              <w:spacing w:after="0"/>
              <w:ind w:left="0" w:right="0"/>
              <w:jc w:val="left"/>
              <w:rPr>
                <w:b w:val="0"/>
                <w:sz w:val="20"/>
                <w:lang w:eastAsia="zh-CN"/>
              </w:rPr>
            </w:pPr>
          </w:p>
        </w:tc>
        <w:tc>
          <w:tcPr>
            <w:tcW w:w="591" w:type="pct"/>
            <w:vAlign w:val="center"/>
          </w:tcPr>
          <w:p w14:paraId="712B1CBE" w14:textId="738D83B6" w:rsidR="00067D04" w:rsidRDefault="00067D04" w:rsidP="0078286B">
            <w:pPr>
              <w:pStyle w:val="T2"/>
              <w:spacing w:after="0"/>
              <w:ind w:left="0" w:right="0"/>
              <w:rPr>
                <w:b w:val="0"/>
                <w:sz w:val="20"/>
                <w:lang w:eastAsia="zh-CN"/>
              </w:rPr>
            </w:pPr>
          </w:p>
        </w:tc>
        <w:tc>
          <w:tcPr>
            <w:tcW w:w="701" w:type="pct"/>
            <w:vAlign w:val="center"/>
          </w:tcPr>
          <w:p w14:paraId="1DFA9040" w14:textId="77777777" w:rsidR="00067D04" w:rsidRDefault="00067D04" w:rsidP="0078286B">
            <w:pPr>
              <w:pStyle w:val="T2"/>
              <w:spacing w:after="0"/>
              <w:ind w:left="0" w:right="0"/>
              <w:rPr>
                <w:b w:val="0"/>
                <w:sz w:val="20"/>
              </w:rPr>
            </w:pPr>
          </w:p>
        </w:tc>
        <w:tc>
          <w:tcPr>
            <w:tcW w:w="983" w:type="pct"/>
            <w:vAlign w:val="center"/>
          </w:tcPr>
          <w:p w14:paraId="307C9808" w14:textId="77777777" w:rsidR="00067D04" w:rsidRDefault="00067D04" w:rsidP="0078286B">
            <w:pPr>
              <w:pStyle w:val="T2"/>
              <w:spacing w:after="0"/>
              <w:ind w:left="0" w:right="0"/>
              <w:rPr>
                <w:b w:val="0"/>
                <w:sz w:val="20"/>
              </w:rPr>
            </w:pPr>
          </w:p>
        </w:tc>
        <w:tc>
          <w:tcPr>
            <w:tcW w:w="1691" w:type="pct"/>
            <w:vAlign w:val="center"/>
          </w:tcPr>
          <w:p w14:paraId="36E127E6" w14:textId="14D6126C" w:rsidR="00067D04" w:rsidRPr="00067D04" w:rsidRDefault="00067D04" w:rsidP="001C55D2">
            <w:pPr>
              <w:pStyle w:val="T2"/>
              <w:spacing w:after="0"/>
              <w:ind w:left="0" w:right="0"/>
              <w:jc w:val="left"/>
              <w:rPr>
                <w:sz w:val="16"/>
                <w:lang w:eastAsia="zh-CN"/>
              </w:rPr>
            </w:pPr>
          </w:p>
        </w:tc>
      </w:tr>
      <w:tr w:rsidR="00C56E5D" w14:paraId="2794B401" w14:textId="77777777" w:rsidTr="00CB0134">
        <w:trPr>
          <w:jc w:val="center"/>
        </w:trPr>
        <w:tc>
          <w:tcPr>
            <w:tcW w:w="1034" w:type="pct"/>
            <w:vAlign w:val="center"/>
          </w:tcPr>
          <w:p w14:paraId="26A5B64F" w14:textId="406FF975" w:rsidR="00C56E5D" w:rsidRDefault="00C56E5D" w:rsidP="001C55D2">
            <w:pPr>
              <w:pStyle w:val="T2"/>
              <w:spacing w:after="0"/>
              <w:ind w:left="0" w:right="0"/>
              <w:jc w:val="left"/>
              <w:rPr>
                <w:b w:val="0"/>
                <w:sz w:val="20"/>
                <w:lang w:eastAsia="zh-CN"/>
              </w:rPr>
            </w:pPr>
          </w:p>
        </w:tc>
        <w:tc>
          <w:tcPr>
            <w:tcW w:w="591" w:type="pct"/>
            <w:vAlign w:val="center"/>
          </w:tcPr>
          <w:p w14:paraId="3E4FC5EC" w14:textId="2B679947" w:rsidR="00C56E5D" w:rsidRDefault="00C56E5D" w:rsidP="0078286B">
            <w:pPr>
              <w:pStyle w:val="T2"/>
              <w:spacing w:after="0"/>
              <w:ind w:left="0" w:right="0"/>
              <w:rPr>
                <w:b w:val="0"/>
                <w:sz w:val="20"/>
                <w:lang w:eastAsia="zh-CN"/>
              </w:rPr>
            </w:pPr>
          </w:p>
        </w:tc>
        <w:tc>
          <w:tcPr>
            <w:tcW w:w="701" w:type="pct"/>
            <w:vAlign w:val="center"/>
          </w:tcPr>
          <w:p w14:paraId="1568C4AE" w14:textId="77777777" w:rsidR="00C56E5D" w:rsidRDefault="00C56E5D" w:rsidP="0078286B">
            <w:pPr>
              <w:pStyle w:val="T2"/>
              <w:spacing w:after="0"/>
              <w:ind w:left="0" w:right="0"/>
              <w:rPr>
                <w:b w:val="0"/>
                <w:sz w:val="20"/>
              </w:rPr>
            </w:pPr>
          </w:p>
        </w:tc>
        <w:tc>
          <w:tcPr>
            <w:tcW w:w="983" w:type="pct"/>
            <w:vAlign w:val="center"/>
          </w:tcPr>
          <w:p w14:paraId="6F4E07CC" w14:textId="77777777" w:rsidR="00C56E5D" w:rsidRDefault="00C56E5D" w:rsidP="0078286B">
            <w:pPr>
              <w:pStyle w:val="T2"/>
              <w:spacing w:after="0"/>
              <w:ind w:left="0" w:right="0"/>
              <w:rPr>
                <w:b w:val="0"/>
                <w:sz w:val="20"/>
              </w:rPr>
            </w:pPr>
          </w:p>
        </w:tc>
        <w:tc>
          <w:tcPr>
            <w:tcW w:w="1691" w:type="pct"/>
            <w:vAlign w:val="center"/>
          </w:tcPr>
          <w:p w14:paraId="1F8E0CFB" w14:textId="615C4247" w:rsidR="00C56E5D" w:rsidRDefault="00C56E5D" w:rsidP="001C55D2">
            <w:pPr>
              <w:pStyle w:val="T2"/>
              <w:spacing w:after="0"/>
              <w:ind w:left="0" w:right="0"/>
              <w:jc w:val="left"/>
              <w:rPr>
                <w:sz w:val="16"/>
                <w:lang w:eastAsia="zh-CN"/>
              </w:rPr>
            </w:pP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572108B1" w14:textId="16CB387B" w:rsidR="000E0793" w:rsidRDefault="0096370A" w:rsidP="005B71B4">
                            <w:pPr>
                              <w:jc w:val="both"/>
                              <w:rPr>
                                <w:szCs w:val="22"/>
                              </w:rPr>
                            </w:pPr>
                            <w:r>
                              <w:t xml:space="preserve">Resolution of CIDs: </w:t>
                            </w:r>
                            <w:r w:rsidR="000B6410" w:rsidRPr="000B6410">
                              <w:t>CID 4284, 4365</w:t>
                            </w:r>
                          </w:p>
                          <w:p w14:paraId="2C360A8B" w14:textId="3F0570F7" w:rsidR="007A0CC2" w:rsidRPr="005546B6" w:rsidRDefault="007A0CC2"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572108B1" w14:textId="16CB387B" w:rsidR="000E0793" w:rsidRDefault="0096370A" w:rsidP="005B71B4">
                      <w:pPr>
                        <w:jc w:val="both"/>
                        <w:rPr>
                          <w:szCs w:val="22"/>
                        </w:rPr>
                      </w:pPr>
                      <w:r>
                        <w:t xml:space="preserve">Resolution of CIDs: </w:t>
                      </w:r>
                      <w:r w:rsidR="000B6410" w:rsidRPr="000B6410">
                        <w:t>CID 4284, 4365</w:t>
                      </w:r>
                    </w:p>
                    <w:p w14:paraId="2C360A8B" w14:textId="3F0570F7" w:rsidR="007A0CC2" w:rsidRPr="005546B6" w:rsidRDefault="007A0CC2"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0E58A907" w14:textId="77777777" w:rsidR="001B5ACD" w:rsidRPr="00AC2A46" w:rsidRDefault="00060791">
      <w:pPr>
        <w:rPr>
          <w:b/>
          <w:bCs/>
          <w:i/>
          <w:iCs/>
          <w:noProof/>
          <w:snapToGrid w:val="0"/>
          <w:color w:val="993300"/>
          <w:sz w:val="20"/>
          <w:lang w:val="en-US" w:eastAsia="ko-KR"/>
        </w:rPr>
      </w:pPr>
      <w:r w:rsidRPr="00060791">
        <w:rPr>
          <w:b/>
          <w:bCs/>
          <w:sz w:val="28"/>
          <w:szCs w:val="28"/>
          <w:lang w:val="en-US" w:eastAsia="zh-CN"/>
        </w:rPr>
        <w:br w:type="page"/>
      </w:r>
    </w:p>
    <w:tbl>
      <w:tblPr>
        <w:tblW w:w="1116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10"/>
        <w:gridCol w:w="900"/>
        <w:gridCol w:w="3240"/>
        <w:gridCol w:w="32"/>
        <w:gridCol w:w="2038"/>
        <w:gridCol w:w="3510"/>
      </w:tblGrid>
      <w:tr w:rsidR="004613FE" w:rsidRPr="00E4110C" w14:paraId="15A3A1D0" w14:textId="77777777" w:rsidTr="004613FE">
        <w:trPr>
          <w:trHeight w:val="870"/>
        </w:trPr>
        <w:tc>
          <w:tcPr>
            <w:tcW w:w="630" w:type="dxa"/>
            <w:shd w:val="clear" w:color="auto" w:fill="auto"/>
            <w:hideMark/>
          </w:tcPr>
          <w:p w14:paraId="306285A5" w14:textId="77777777" w:rsidR="004613FE" w:rsidRPr="00E4110C" w:rsidRDefault="004613FE"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lastRenderedPageBreak/>
              <w:t>CID</w:t>
            </w:r>
          </w:p>
        </w:tc>
        <w:tc>
          <w:tcPr>
            <w:tcW w:w="810" w:type="dxa"/>
            <w:shd w:val="clear" w:color="auto" w:fill="auto"/>
            <w:hideMark/>
          </w:tcPr>
          <w:p w14:paraId="7EDE4D75" w14:textId="77777777" w:rsidR="004613FE" w:rsidRPr="00E4110C" w:rsidRDefault="004613FE"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Page</w:t>
            </w:r>
          </w:p>
        </w:tc>
        <w:tc>
          <w:tcPr>
            <w:tcW w:w="900" w:type="dxa"/>
            <w:shd w:val="clear" w:color="auto" w:fill="auto"/>
            <w:hideMark/>
          </w:tcPr>
          <w:p w14:paraId="314E70B3" w14:textId="77777777" w:rsidR="004613FE" w:rsidRPr="00E4110C" w:rsidRDefault="004613FE"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Clause</w:t>
            </w:r>
          </w:p>
        </w:tc>
        <w:tc>
          <w:tcPr>
            <w:tcW w:w="3240" w:type="dxa"/>
            <w:shd w:val="clear" w:color="auto" w:fill="auto"/>
            <w:hideMark/>
          </w:tcPr>
          <w:p w14:paraId="29464BC9" w14:textId="77777777" w:rsidR="004613FE" w:rsidRPr="00E4110C" w:rsidRDefault="004613FE"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Comment</w:t>
            </w:r>
          </w:p>
        </w:tc>
        <w:tc>
          <w:tcPr>
            <w:tcW w:w="2070" w:type="dxa"/>
            <w:gridSpan w:val="2"/>
            <w:shd w:val="clear" w:color="auto" w:fill="auto"/>
            <w:hideMark/>
          </w:tcPr>
          <w:p w14:paraId="08D61FCF" w14:textId="77777777" w:rsidR="004613FE" w:rsidRPr="00E4110C" w:rsidRDefault="004613FE"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Proposed Change</w:t>
            </w:r>
          </w:p>
        </w:tc>
        <w:tc>
          <w:tcPr>
            <w:tcW w:w="3510" w:type="dxa"/>
            <w:shd w:val="clear" w:color="auto" w:fill="auto"/>
            <w:hideMark/>
          </w:tcPr>
          <w:p w14:paraId="198F0E1C" w14:textId="77777777" w:rsidR="004613FE" w:rsidRPr="00E4110C" w:rsidRDefault="004613FE"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Resolution</w:t>
            </w:r>
          </w:p>
        </w:tc>
      </w:tr>
      <w:tr w:rsidR="004613FE" w14:paraId="1A5C6F81" w14:textId="77777777" w:rsidTr="004613FE">
        <w:trPr>
          <w:trHeight w:val="350"/>
        </w:trPr>
        <w:tc>
          <w:tcPr>
            <w:tcW w:w="630" w:type="dxa"/>
            <w:tcBorders>
              <w:top w:val="single" w:sz="4" w:space="0" w:color="auto"/>
              <w:left w:val="single" w:sz="4" w:space="0" w:color="auto"/>
              <w:bottom w:val="single" w:sz="4" w:space="0" w:color="auto"/>
              <w:right w:val="single" w:sz="4" w:space="0" w:color="auto"/>
            </w:tcBorders>
            <w:hideMark/>
          </w:tcPr>
          <w:p w14:paraId="22ADDB69" w14:textId="77777777" w:rsidR="004613FE" w:rsidRDefault="004613FE">
            <w:pPr>
              <w:jc w:val="right"/>
              <w:rPr>
                <w:rFonts w:cs="Calibri"/>
                <w:sz w:val="20"/>
                <w:lang w:val="en-US" w:bidi="he-IL"/>
              </w:rPr>
            </w:pPr>
            <w:r>
              <w:rPr>
                <w:rFonts w:cs="Calibri"/>
                <w:sz w:val="20"/>
                <w:lang w:bidi="he-IL"/>
              </w:rPr>
              <w:t>4284</w:t>
            </w:r>
          </w:p>
        </w:tc>
        <w:tc>
          <w:tcPr>
            <w:tcW w:w="810" w:type="dxa"/>
            <w:tcBorders>
              <w:top w:val="single" w:sz="4" w:space="0" w:color="auto"/>
              <w:left w:val="single" w:sz="4" w:space="0" w:color="auto"/>
              <w:bottom w:val="single" w:sz="4" w:space="0" w:color="auto"/>
              <w:right w:val="single" w:sz="4" w:space="0" w:color="auto"/>
            </w:tcBorders>
            <w:hideMark/>
          </w:tcPr>
          <w:p w14:paraId="02C7025F" w14:textId="77777777" w:rsidR="004613FE" w:rsidRDefault="004613FE">
            <w:pPr>
              <w:jc w:val="right"/>
              <w:rPr>
                <w:rFonts w:cs="Calibri"/>
                <w:sz w:val="20"/>
                <w:lang w:bidi="he-IL"/>
              </w:rPr>
            </w:pPr>
            <w:r>
              <w:rPr>
                <w:rFonts w:cs="Calibri"/>
                <w:sz w:val="20"/>
                <w:lang w:bidi="he-IL"/>
              </w:rPr>
              <w:t>375.09</w:t>
            </w:r>
          </w:p>
        </w:tc>
        <w:tc>
          <w:tcPr>
            <w:tcW w:w="900" w:type="dxa"/>
            <w:tcBorders>
              <w:top w:val="single" w:sz="4" w:space="0" w:color="auto"/>
              <w:left w:val="single" w:sz="4" w:space="0" w:color="auto"/>
              <w:bottom w:val="single" w:sz="4" w:space="0" w:color="auto"/>
              <w:right w:val="single" w:sz="4" w:space="0" w:color="auto"/>
            </w:tcBorders>
            <w:hideMark/>
          </w:tcPr>
          <w:p w14:paraId="27B2A4F8" w14:textId="77777777" w:rsidR="004613FE" w:rsidRDefault="004613FE">
            <w:pPr>
              <w:rPr>
                <w:rFonts w:cs="Calibri"/>
                <w:sz w:val="20"/>
                <w:lang w:bidi="he-IL"/>
              </w:rPr>
            </w:pPr>
            <w:r>
              <w:rPr>
                <w:rFonts w:cs="Calibri"/>
                <w:sz w:val="20"/>
                <w:lang w:bidi="he-IL"/>
              </w:rPr>
              <w:t>11.53.4</w:t>
            </w:r>
          </w:p>
        </w:tc>
        <w:tc>
          <w:tcPr>
            <w:tcW w:w="3272" w:type="dxa"/>
            <w:gridSpan w:val="2"/>
            <w:tcBorders>
              <w:top w:val="single" w:sz="4" w:space="0" w:color="auto"/>
              <w:left w:val="single" w:sz="4" w:space="0" w:color="auto"/>
              <w:bottom w:val="single" w:sz="4" w:space="0" w:color="auto"/>
              <w:right w:val="single" w:sz="4" w:space="0" w:color="auto"/>
            </w:tcBorders>
            <w:hideMark/>
          </w:tcPr>
          <w:p w14:paraId="0B6F8941" w14:textId="77777777" w:rsidR="004613FE" w:rsidRDefault="004613FE">
            <w:pPr>
              <w:rPr>
                <w:rFonts w:cs="Calibri"/>
                <w:sz w:val="20"/>
                <w:lang w:bidi="he-IL"/>
              </w:rPr>
            </w:pPr>
            <w:r>
              <w:rPr>
                <w:rFonts w:cs="Calibri"/>
                <w:sz w:val="20"/>
                <w:lang w:bidi="he-IL"/>
              </w:rPr>
              <w:t>In Figure 168, not clear why Announce frame from AP to non-AP contains TDD slot schedule. The non-AP is not the scheduler and it does not need to know AP STA's (un)availability</w:t>
            </w:r>
            <w:r>
              <w:rPr>
                <w:rFonts w:cs="Calibri"/>
                <w:sz w:val="20"/>
                <w:lang w:bidi="he-IL"/>
              </w:rPr>
              <w:br/>
            </w:r>
            <w:r>
              <w:rPr>
                <w:rFonts w:cs="Calibri"/>
                <w:sz w:val="20"/>
                <w:lang w:bidi="he-IL"/>
              </w:rPr>
              <w:br/>
              <w:t>For delivering non-AP's TX/RX schedule, it is already been covered by figure 167</w:t>
            </w:r>
          </w:p>
        </w:tc>
        <w:tc>
          <w:tcPr>
            <w:tcW w:w="2038" w:type="dxa"/>
            <w:tcBorders>
              <w:top w:val="single" w:sz="4" w:space="0" w:color="auto"/>
              <w:left w:val="single" w:sz="4" w:space="0" w:color="auto"/>
              <w:bottom w:val="single" w:sz="4" w:space="0" w:color="auto"/>
              <w:right w:val="single" w:sz="4" w:space="0" w:color="auto"/>
            </w:tcBorders>
            <w:hideMark/>
          </w:tcPr>
          <w:p w14:paraId="50F12DD9" w14:textId="77777777" w:rsidR="004613FE" w:rsidRDefault="004613FE">
            <w:pPr>
              <w:rPr>
                <w:rFonts w:cs="Calibri"/>
                <w:sz w:val="20"/>
                <w:lang w:bidi="he-IL"/>
              </w:rPr>
            </w:pPr>
            <w:r>
              <w:rPr>
                <w:rFonts w:cs="Calibri"/>
                <w:sz w:val="20"/>
                <w:lang w:bidi="he-IL"/>
              </w:rPr>
              <w:t>remove 'TDD slot schedule' in the Announce from AP to non-AP direction</w:t>
            </w:r>
          </w:p>
        </w:tc>
        <w:tc>
          <w:tcPr>
            <w:tcW w:w="3510" w:type="dxa"/>
            <w:tcBorders>
              <w:top w:val="single" w:sz="4" w:space="0" w:color="auto"/>
              <w:left w:val="single" w:sz="4" w:space="0" w:color="auto"/>
              <w:bottom w:val="single" w:sz="4" w:space="0" w:color="auto"/>
              <w:right w:val="single" w:sz="4" w:space="0" w:color="auto"/>
            </w:tcBorders>
            <w:hideMark/>
          </w:tcPr>
          <w:p w14:paraId="4F78B041" w14:textId="77777777" w:rsidR="004613FE" w:rsidRDefault="004613FE">
            <w:pPr>
              <w:rPr>
                <w:rFonts w:cs="Calibri"/>
                <w:b/>
                <w:bCs/>
                <w:sz w:val="20"/>
                <w:lang w:bidi="he-IL"/>
              </w:rPr>
            </w:pPr>
            <w:r>
              <w:rPr>
                <w:rFonts w:cs="Calibri"/>
                <w:b/>
                <w:bCs/>
                <w:sz w:val="20"/>
                <w:lang w:bidi="he-IL"/>
              </w:rPr>
              <w:t>Revised</w:t>
            </w:r>
          </w:p>
          <w:p w14:paraId="640E7FF5" w14:textId="77777777" w:rsidR="004613FE" w:rsidRDefault="004613FE">
            <w:pPr>
              <w:rPr>
                <w:rFonts w:cs="Calibri"/>
                <w:sz w:val="20"/>
                <w:lang w:bidi="he-IL"/>
              </w:rPr>
            </w:pPr>
            <w:r>
              <w:rPr>
                <w:rFonts w:cs="Calibri"/>
                <w:sz w:val="20"/>
                <w:lang w:bidi="he-IL"/>
              </w:rPr>
              <w:t>AP STA and non-AP STA may signal that some of the TX TDD Slots are not used however they are scheduled. The procedure depicted in the Figure 168 may follow the schedule delivered as presented in the Figure 166.</w:t>
            </w:r>
          </w:p>
          <w:p w14:paraId="1B4FCBBF" w14:textId="77777777" w:rsidR="004613FE" w:rsidRDefault="004613FE">
            <w:pPr>
              <w:autoSpaceDE w:val="0"/>
              <w:autoSpaceDN w:val="0"/>
              <w:adjustRightInd w:val="0"/>
              <w:rPr>
                <w:rFonts w:cs="Calibri"/>
                <w:sz w:val="20"/>
                <w:lang w:bidi="he-IL"/>
              </w:rPr>
            </w:pPr>
            <w:r>
              <w:rPr>
                <w:rFonts w:cs="Calibri"/>
                <w:sz w:val="20"/>
                <w:lang w:bidi="he-IL"/>
              </w:rPr>
              <w:t>P375L5</w:t>
            </w:r>
          </w:p>
          <w:p w14:paraId="5F482DE2" w14:textId="77777777" w:rsidR="004613FE" w:rsidRDefault="004613FE">
            <w:pPr>
              <w:rPr>
                <w:rFonts w:cs="Calibri"/>
                <w:b/>
                <w:bCs/>
                <w:sz w:val="20"/>
                <w:lang w:bidi="he-IL"/>
              </w:rPr>
            </w:pPr>
            <w:r>
              <w:rPr>
                <w:rFonts w:cs="Calibri"/>
                <w:b/>
                <w:bCs/>
                <w:sz w:val="20"/>
                <w:lang w:bidi="he-IL"/>
              </w:rPr>
              <w:t>Modify:</w:t>
            </w:r>
          </w:p>
          <w:p w14:paraId="6F152C96" w14:textId="7B5C62D8" w:rsidR="004613FE" w:rsidRDefault="004613FE">
            <w:pPr>
              <w:rPr>
                <w:rFonts w:cs="Calibri"/>
                <w:sz w:val="20"/>
                <w:lang w:bidi="he-IL"/>
              </w:rPr>
            </w:pPr>
            <w:r>
              <w:rPr>
                <w:rFonts w:cs="Calibri"/>
                <w:sz w:val="20"/>
                <w:lang w:bidi="he-IL"/>
              </w:rPr>
              <w:t>"</w:t>
            </w:r>
            <w:proofErr w:type="gramStart"/>
            <w:r>
              <w:rPr>
                <w:rFonts w:cs="Calibri"/>
                <w:sz w:val="20"/>
                <w:lang w:bidi="he-IL"/>
              </w:rPr>
              <w:t>....may</w:t>
            </w:r>
            <w:proofErr w:type="gramEnd"/>
            <w:r>
              <w:rPr>
                <w:rFonts w:cs="Calibri"/>
                <w:sz w:val="20"/>
                <w:lang w:bidi="he-IL"/>
              </w:rPr>
              <w:t xml:space="preserve"> exchange TDD Slot Schedule elements to notify each other of </w:t>
            </w:r>
            <w:r>
              <w:rPr>
                <w:rFonts w:cs="Calibri"/>
                <w:strike/>
                <w:sz w:val="20"/>
                <w:lang w:bidi="he-IL"/>
              </w:rPr>
              <w:t xml:space="preserve">changes in </w:t>
            </w:r>
            <w:r>
              <w:rPr>
                <w:rFonts w:cs="Calibri"/>
                <w:sz w:val="20"/>
                <w:lang w:bidi="he-IL"/>
              </w:rPr>
              <w:t xml:space="preserve">the use of TDD slots </w:t>
            </w:r>
            <w:r>
              <w:rPr>
                <w:rFonts w:cs="Calibri"/>
                <w:strike/>
                <w:sz w:val="20"/>
                <w:lang w:bidi="he-IL"/>
              </w:rPr>
              <w:t>already allocated to STAs</w:t>
            </w:r>
            <w:r>
              <w:rPr>
                <w:rFonts w:cs="Calibri"/>
                <w:sz w:val="20"/>
                <w:lang w:bidi="he-IL"/>
              </w:rPr>
              <w:t xml:space="preserve">. </w:t>
            </w:r>
            <w:r w:rsidR="00EE7D3D" w:rsidRPr="00EE7D3D">
              <w:rPr>
                <w:color w:val="FF0000"/>
                <w:sz w:val="20"/>
                <w:u w:val="single"/>
              </w:rPr>
              <w:t>The non-AP STA (or non-PCP STA) may indicate that it is not able to use a TDD slot by specifying the TDD slot as unavailable (10.40.6.2.2</w:t>
            </w:r>
            <w:r w:rsidR="00EE7D3D" w:rsidRPr="00EE7D3D">
              <w:rPr>
                <w:color w:val="FF0000"/>
                <w:sz w:val="20"/>
              </w:rPr>
              <w:t>)</w:t>
            </w:r>
            <w:r w:rsidRPr="00EE7D3D">
              <w:rPr>
                <w:rFonts w:cs="Calibri"/>
                <w:sz w:val="20"/>
                <w:lang w:bidi="he-IL"/>
              </w:rPr>
              <w:t>”</w:t>
            </w:r>
          </w:p>
        </w:tc>
      </w:tr>
      <w:tr w:rsidR="004613FE" w14:paraId="459FCA2E" w14:textId="77777777" w:rsidTr="004613FE">
        <w:trPr>
          <w:trHeight w:val="3770"/>
        </w:trPr>
        <w:tc>
          <w:tcPr>
            <w:tcW w:w="630" w:type="dxa"/>
            <w:tcBorders>
              <w:top w:val="single" w:sz="4" w:space="0" w:color="auto"/>
              <w:left w:val="single" w:sz="4" w:space="0" w:color="auto"/>
              <w:bottom w:val="single" w:sz="4" w:space="0" w:color="auto"/>
              <w:right w:val="single" w:sz="4" w:space="0" w:color="auto"/>
            </w:tcBorders>
            <w:hideMark/>
          </w:tcPr>
          <w:p w14:paraId="672E68D3" w14:textId="77777777" w:rsidR="004613FE" w:rsidRDefault="004613FE">
            <w:pPr>
              <w:jc w:val="right"/>
              <w:rPr>
                <w:rFonts w:cs="Calibri"/>
                <w:sz w:val="20"/>
                <w:lang w:bidi="he-IL"/>
              </w:rPr>
            </w:pPr>
            <w:r>
              <w:rPr>
                <w:rFonts w:cs="Calibri"/>
                <w:sz w:val="20"/>
                <w:lang w:bidi="he-IL"/>
              </w:rPr>
              <w:t>4365</w:t>
            </w:r>
          </w:p>
        </w:tc>
        <w:tc>
          <w:tcPr>
            <w:tcW w:w="810" w:type="dxa"/>
            <w:tcBorders>
              <w:top w:val="single" w:sz="4" w:space="0" w:color="auto"/>
              <w:left w:val="single" w:sz="4" w:space="0" w:color="auto"/>
              <w:bottom w:val="single" w:sz="4" w:space="0" w:color="auto"/>
              <w:right w:val="single" w:sz="4" w:space="0" w:color="auto"/>
            </w:tcBorders>
            <w:hideMark/>
          </w:tcPr>
          <w:p w14:paraId="7A7852FF" w14:textId="77777777" w:rsidR="004613FE" w:rsidRDefault="004613FE">
            <w:pPr>
              <w:jc w:val="right"/>
              <w:rPr>
                <w:rFonts w:cs="Calibri"/>
                <w:sz w:val="20"/>
                <w:lang w:bidi="he-IL"/>
              </w:rPr>
            </w:pPr>
            <w:r>
              <w:rPr>
                <w:rFonts w:cs="Calibri"/>
                <w:sz w:val="20"/>
                <w:lang w:bidi="he-IL"/>
              </w:rPr>
              <w:t>373.07</w:t>
            </w:r>
          </w:p>
        </w:tc>
        <w:tc>
          <w:tcPr>
            <w:tcW w:w="900" w:type="dxa"/>
            <w:tcBorders>
              <w:top w:val="single" w:sz="4" w:space="0" w:color="auto"/>
              <w:left w:val="single" w:sz="4" w:space="0" w:color="auto"/>
              <w:bottom w:val="single" w:sz="4" w:space="0" w:color="auto"/>
              <w:right w:val="single" w:sz="4" w:space="0" w:color="auto"/>
            </w:tcBorders>
            <w:hideMark/>
          </w:tcPr>
          <w:p w14:paraId="7514F380" w14:textId="77777777" w:rsidR="004613FE" w:rsidRDefault="004613FE">
            <w:pPr>
              <w:rPr>
                <w:rFonts w:cs="Calibri"/>
                <w:sz w:val="20"/>
                <w:lang w:bidi="he-IL"/>
              </w:rPr>
            </w:pPr>
            <w:r>
              <w:rPr>
                <w:rFonts w:cs="Calibri"/>
                <w:sz w:val="20"/>
                <w:lang w:bidi="he-IL"/>
              </w:rPr>
              <w:t>11.53.2</w:t>
            </w:r>
          </w:p>
        </w:tc>
        <w:tc>
          <w:tcPr>
            <w:tcW w:w="3272" w:type="dxa"/>
            <w:gridSpan w:val="2"/>
            <w:tcBorders>
              <w:top w:val="single" w:sz="4" w:space="0" w:color="auto"/>
              <w:left w:val="single" w:sz="4" w:space="0" w:color="auto"/>
              <w:bottom w:val="single" w:sz="4" w:space="0" w:color="auto"/>
              <w:right w:val="single" w:sz="4" w:space="0" w:color="auto"/>
            </w:tcBorders>
            <w:hideMark/>
          </w:tcPr>
          <w:p w14:paraId="3FCE60DF" w14:textId="77777777" w:rsidR="004613FE" w:rsidRDefault="004613FE">
            <w:pPr>
              <w:rPr>
                <w:rFonts w:cs="Calibri"/>
                <w:sz w:val="20"/>
                <w:lang w:bidi="he-IL"/>
              </w:rPr>
            </w:pPr>
            <w:r>
              <w:rPr>
                <w:rFonts w:cs="Calibri"/>
                <w:sz w:val="20"/>
                <w:lang w:bidi="he-IL"/>
              </w:rPr>
              <w:t>"....may exchange TDD Slot Schedule elements to notify each other of changes in the use of TDD slots already allocated to STAs."</w:t>
            </w:r>
            <w:r>
              <w:rPr>
                <w:rFonts w:cs="Calibri"/>
                <w:sz w:val="20"/>
                <w:lang w:bidi="he-IL"/>
              </w:rPr>
              <w:br/>
            </w:r>
            <w:r>
              <w:rPr>
                <w:rFonts w:cs="Calibri"/>
                <w:sz w:val="20"/>
                <w:lang w:bidi="he-IL"/>
              </w:rPr>
              <w:br/>
              <w:t>How the recipient STA knows that the received TDD Slot Structure is informing on already exist schedule or new allocated schedule? how this information is delivered via the STA SME ?</w:t>
            </w:r>
          </w:p>
        </w:tc>
        <w:tc>
          <w:tcPr>
            <w:tcW w:w="2038" w:type="dxa"/>
            <w:tcBorders>
              <w:top w:val="single" w:sz="4" w:space="0" w:color="auto"/>
              <w:left w:val="single" w:sz="4" w:space="0" w:color="auto"/>
              <w:bottom w:val="single" w:sz="4" w:space="0" w:color="auto"/>
              <w:right w:val="single" w:sz="4" w:space="0" w:color="auto"/>
            </w:tcBorders>
            <w:hideMark/>
          </w:tcPr>
          <w:p w14:paraId="6B673016" w14:textId="77777777" w:rsidR="004613FE" w:rsidRDefault="004613FE">
            <w:pPr>
              <w:rPr>
                <w:rFonts w:cs="Calibri"/>
                <w:sz w:val="20"/>
                <w:lang w:bidi="he-IL"/>
              </w:rPr>
            </w:pPr>
            <w:r>
              <w:rPr>
                <w:rFonts w:cs="Calibri"/>
                <w:sz w:val="20"/>
                <w:lang w:bidi="he-IL"/>
              </w:rPr>
              <w:t>Please clarify</w:t>
            </w:r>
          </w:p>
        </w:tc>
        <w:tc>
          <w:tcPr>
            <w:tcW w:w="3510" w:type="dxa"/>
            <w:tcBorders>
              <w:top w:val="single" w:sz="4" w:space="0" w:color="auto"/>
              <w:left w:val="single" w:sz="4" w:space="0" w:color="auto"/>
              <w:bottom w:val="single" w:sz="4" w:space="0" w:color="auto"/>
              <w:right w:val="single" w:sz="4" w:space="0" w:color="auto"/>
            </w:tcBorders>
            <w:hideMark/>
          </w:tcPr>
          <w:p w14:paraId="70ACBD77" w14:textId="77777777" w:rsidR="004613FE" w:rsidRDefault="004613FE">
            <w:pPr>
              <w:rPr>
                <w:rFonts w:cs="Calibri"/>
                <w:b/>
                <w:bCs/>
                <w:sz w:val="20"/>
                <w:lang w:bidi="he-IL"/>
              </w:rPr>
            </w:pPr>
            <w:r>
              <w:rPr>
                <w:rFonts w:cs="Calibri"/>
                <w:b/>
                <w:bCs/>
                <w:sz w:val="20"/>
                <w:lang w:bidi="he-IL"/>
              </w:rPr>
              <w:t>Revised</w:t>
            </w:r>
          </w:p>
          <w:p w14:paraId="2DED79A4" w14:textId="77777777" w:rsidR="004613FE" w:rsidRDefault="004613FE">
            <w:pPr>
              <w:rPr>
                <w:rFonts w:cs="Calibri"/>
                <w:sz w:val="20"/>
                <w:lang w:bidi="he-IL"/>
              </w:rPr>
            </w:pPr>
            <w:r>
              <w:rPr>
                <w:rFonts w:cs="Calibri"/>
                <w:sz w:val="20"/>
                <w:lang w:bidi="he-IL"/>
              </w:rPr>
              <w:t xml:space="preserve">The quoted text is not of the page and line numbers. </w:t>
            </w:r>
          </w:p>
          <w:p w14:paraId="0A60425A" w14:textId="77777777" w:rsidR="004613FE" w:rsidRDefault="004613FE">
            <w:pPr>
              <w:pStyle w:val="Default"/>
              <w:rPr>
                <w:rFonts w:ascii="Calibri" w:hAnsi="Calibri" w:cs="Calibri"/>
                <w:sz w:val="20"/>
                <w:szCs w:val="20"/>
                <w:lang w:bidi="he-IL"/>
              </w:rPr>
            </w:pPr>
            <w:r>
              <w:rPr>
                <w:rFonts w:ascii="Calibri" w:hAnsi="Calibri" w:cs="Calibri"/>
                <w:sz w:val="20"/>
                <w:szCs w:val="20"/>
                <w:lang w:bidi="he-IL"/>
              </w:rPr>
              <w:t xml:space="preserve">The quoted text refers to the </w:t>
            </w:r>
          </w:p>
          <w:p w14:paraId="29DE2BE5" w14:textId="77777777" w:rsidR="004613FE" w:rsidRDefault="004613FE">
            <w:pPr>
              <w:autoSpaceDE w:val="0"/>
              <w:autoSpaceDN w:val="0"/>
              <w:adjustRightInd w:val="0"/>
              <w:rPr>
                <w:rFonts w:ascii="Calibri" w:hAnsi="Calibri" w:cs="Calibri"/>
                <w:sz w:val="20"/>
                <w:lang w:bidi="he-IL"/>
              </w:rPr>
            </w:pPr>
            <w:r>
              <w:rPr>
                <w:rFonts w:cs="Calibri"/>
                <w:sz w:val="20"/>
                <w:lang w:bidi="he-IL"/>
              </w:rPr>
              <w:t>Figure 168 that indicates the relevant primitives. The proposed resolution addresses the quoted text.</w:t>
            </w:r>
          </w:p>
          <w:p w14:paraId="4B46C8AE" w14:textId="77777777" w:rsidR="004613FE" w:rsidRDefault="004613FE">
            <w:pPr>
              <w:autoSpaceDE w:val="0"/>
              <w:autoSpaceDN w:val="0"/>
              <w:adjustRightInd w:val="0"/>
              <w:rPr>
                <w:rFonts w:cs="Calibri"/>
                <w:sz w:val="20"/>
                <w:lang w:bidi="he-IL"/>
              </w:rPr>
            </w:pPr>
            <w:r>
              <w:rPr>
                <w:rFonts w:cs="Calibri"/>
                <w:sz w:val="20"/>
                <w:lang w:bidi="he-IL"/>
              </w:rPr>
              <w:t>P375L5</w:t>
            </w:r>
          </w:p>
          <w:p w14:paraId="758DA8E7" w14:textId="77777777" w:rsidR="004613FE" w:rsidRDefault="004613FE">
            <w:pPr>
              <w:rPr>
                <w:rFonts w:cs="Calibri"/>
                <w:b/>
                <w:bCs/>
                <w:sz w:val="20"/>
                <w:lang w:bidi="he-IL"/>
              </w:rPr>
            </w:pPr>
            <w:r>
              <w:rPr>
                <w:rFonts w:cs="Calibri"/>
                <w:b/>
                <w:bCs/>
                <w:sz w:val="20"/>
                <w:lang w:bidi="he-IL"/>
              </w:rPr>
              <w:t>Modify:</w:t>
            </w:r>
          </w:p>
          <w:p w14:paraId="5695A31F" w14:textId="7C84C73D" w:rsidR="004613FE" w:rsidRDefault="004613FE">
            <w:pPr>
              <w:rPr>
                <w:rFonts w:cs="Calibri"/>
                <w:sz w:val="20"/>
                <w:lang w:bidi="he-IL"/>
              </w:rPr>
            </w:pPr>
            <w:r>
              <w:rPr>
                <w:rFonts w:cs="Calibri"/>
                <w:sz w:val="20"/>
                <w:lang w:bidi="he-IL"/>
              </w:rPr>
              <w:t>"</w:t>
            </w:r>
            <w:proofErr w:type="gramStart"/>
            <w:r>
              <w:rPr>
                <w:rFonts w:cs="Calibri"/>
                <w:sz w:val="20"/>
                <w:lang w:bidi="he-IL"/>
              </w:rPr>
              <w:t>....may</w:t>
            </w:r>
            <w:proofErr w:type="gramEnd"/>
            <w:r>
              <w:rPr>
                <w:rFonts w:cs="Calibri"/>
                <w:sz w:val="20"/>
                <w:lang w:bidi="he-IL"/>
              </w:rPr>
              <w:t xml:space="preserve"> exchange TDD Slot Schedule elements to notify each other of </w:t>
            </w:r>
            <w:r>
              <w:rPr>
                <w:rFonts w:cs="Calibri"/>
                <w:strike/>
                <w:sz w:val="20"/>
                <w:lang w:bidi="he-IL"/>
              </w:rPr>
              <w:t>changes in</w:t>
            </w:r>
            <w:r>
              <w:rPr>
                <w:rFonts w:cs="Calibri"/>
                <w:sz w:val="20"/>
                <w:lang w:bidi="he-IL"/>
              </w:rPr>
              <w:t xml:space="preserve"> the use of TDD slots </w:t>
            </w:r>
            <w:r>
              <w:rPr>
                <w:rFonts w:cs="Calibri"/>
                <w:strike/>
                <w:sz w:val="20"/>
                <w:lang w:bidi="he-IL"/>
              </w:rPr>
              <w:t>already allocated to STAs</w:t>
            </w:r>
            <w:r>
              <w:rPr>
                <w:rFonts w:cs="Calibri"/>
                <w:sz w:val="20"/>
                <w:lang w:bidi="he-IL"/>
              </w:rPr>
              <w:t xml:space="preserve">. </w:t>
            </w:r>
            <w:r w:rsidR="00236877" w:rsidRPr="00EE7D3D">
              <w:rPr>
                <w:color w:val="FF0000"/>
                <w:sz w:val="20"/>
                <w:u w:val="single"/>
              </w:rPr>
              <w:t>The non-AP STA (or non-PCP STA) may indicate that it is not able to use a TDD slot by specifying the TDD slot as unavailable (10.40.6.2.2</w:t>
            </w:r>
            <w:r w:rsidR="00236877" w:rsidRPr="00EE7D3D">
              <w:rPr>
                <w:color w:val="FF0000"/>
                <w:sz w:val="20"/>
              </w:rPr>
              <w:t>)</w:t>
            </w:r>
            <w:r w:rsidR="00236877" w:rsidRPr="00EE7D3D">
              <w:rPr>
                <w:rFonts w:cs="Calibri"/>
                <w:sz w:val="20"/>
                <w:lang w:bidi="he-IL"/>
              </w:rPr>
              <w:t>”</w:t>
            </w:r>
          </w:p>
        </w:tc>
      </w:tr>
    </w:tbl>
    <w:p w14:paraId="5975FD0B" w14:textId="566F0E07" w:rsidR="000B6410" w:rsidRPr="004613FE" w:rsidRDefault="000B6410">
      <w:pPr>
        <w:rPr>
          <w:b/>
          <w:bCs/>
          <w:i/>
          <w:iCs/>
          <w:noProof/>
          <w:snapToGrid w:val="0"/>
          <w:color w:val="993300"/>
          <w:sz w:val="20"/>
          <w:lang w:eastAsia="ko-KR"/>
        </w:rPr>
      </w:pPr>
    </w:p>
    <w:p w14:paraId="7D7A061F" w14:textId="77777777" w:rsidR="000B6410" w:rsidRDefault="000B6410">
      <w:pPr>
        <w:rPr>
          <w:b/>
          <w:bCs/>
          <w:i/>
          <w:iCs/>
          <w:noProof/>
          <w:snapToGrid w:val="0"/>
          <w:color w:val="993300"/>
          <w:sz w:val="20"/>
          <w:lang w:val="en-US" w:eastAsia="ko-KR"/>
        </w:rPr>
      </w:pPr>
      <w:r>
        <w:rPr>
          <w:b/>
          <w:bCs/>
          <w:i/>
          <w:iCs/>
          <w:noProof/>
          <w:snapToGrid w:val="0"/>
          <w:color w:val="993300"/>
          <w:sz w:val="20"/>
          <w:lang w:val="en-US" w:eastAsia="ko-KR"/>
        </w:rPr>
        <w:br w:type="page"/>
      </w:r>
    </w:p>
    <w:p w14:paraId="5E61510B" w14:textId="3165D529" w:rsidR="001C3EE2" w:rsidRPr="00194612" w:rsidRDefault="00194612">
      <w:pPr>
        <w:rPr>
          <w:b/>
          <w:bCs/>
          <w:noProof/>
          <w:snapToGrid w:val="0"/>
          <w:sz w:val="20"/>
          <w:lang w:val="en-US" w:eastAsia="ko-KR"/>
        </w:rPr>
      </w:pPr>
      <w:r w:rsidRPr="00194612">
        <w:rPr>
          <w:b/>
          <w:bCs/>
          <w:noProof/>
          <w:snapToGrid w:val="0"/>
          <w:sz w:val="20"/>
          <w:lang w:val="en-US" w:eastAsia="ko-KR"/>
        </w:rPr>
        <w:t>References:</w:t>
      </w:r>
    </w:p>
    <w:p w14:paraId="2AAF65E1" w14:textId="25E4365E" w:rsidR="00194612" w:rsidRPr="00194612" w:rsidRDefault="00194612">
      <w:pPr>
        <w:rPr>
          <w:noProof/>
          <w:snapToGrid w:val="0"/>
          <w:sz w:val="20"/>
          <w:lang w:val="en-US" w:eastAsia="ko-KR"/>
        </w:rPr>
      </w:pPr>
      <w:r w:rsidRPr="00194612">
        <w:rPr>
          <w:sz w:val="20"/>
        </w:rPr>
        <w:t>IEEE P802.11ay/D3.1, April 2019</w:t>
      </w:r>
    </w:p>
    <w:sectPr w:rsidR="00194612" w:rsidRPr="00194612" w:rsidSect="00AC2A4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551B5" w14:textId="77777777" w:rsidR="00856C3D" w:rsidRDefault="00856C3D">
      <w:r>
        <w:separator/>
      </w:r>
    </w:p>
  </w:endnote>
  <w:endnote w:type="continuationSeparator" w:id="0">
    <w:p w14:paraId="0CB388F7" w14:textId="77777777" w:rsidR="00856C3D" w:rsidRDefault="0085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6EA1BBB6" w:rsidR="000E0793" w:rsidRDefault="008F7BC1">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27681F">
      <w:rPr>
        <w:noProof/>
      </w:rPr>
      <w:t>5</w:t>
    </w:r>
    <w:r w:rsidR="000E0793">
      <w:fldChar w:fldCharType="end"/>
    </w:r>
    <w:r w:rsidR="000E0793">
      <w:tab/>
    </w:r>
    <w:fldSimple w:instr=" COMMENTS  \* MERGEFORMAT ">
      <w:r w:rsidR="005B71B4">
        <w:t>Solomon Trainin</w:t>
      </w:r>
      <w:r w:rsidR="000E0793">
        <w:t xml:space="preserve">, </w:t>
      </w:r>
      <w:r w:rsidR="001C55D2">
        <w:t>Qualcomm</w:t>
      </w:r>
    </w:fldSimple>
  </w:p>
  <w:p w14:paraId="51BBBB8F"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E6902" w14:textId="77777777" w:rsidR="00856C3D" w:rsidRDefault="00856C3D">
      <w:r>
        <w:separator/>
      </w:r>
    </w:p>
  </w:footnote>
  <w:footnote w:type="continuationSeparator" w:id="0">
    <w:p w14:paraId="10223E6B" w14:textId="77777777" w:rsidR="00856C3D" w:rsidRDefault="00856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233B3CC3" w:rsidR="000E0793" w:rsidRDefault="00BF2E5A" w:rsidP="00540213">
    <w:pPr>
      <w:pStyle w:val="Header"/>
      <w:tabs>
        <w:tab w:val="clear" w:pos="6480"/>
        <w:tab w:val="center" w:pos="4680"/>
        <w:tab w:val="right" w:pos="9360"/>
      </w:tabs>
    </w:pPr>
    <w:r>
      <w:t>May</w:t>
    </w:r>
    <w:r w:rsidR="002C2AB1">
      <w:t xml:space="preserve"> 2019</w:t>
    </w:r>
    <w:r w:rsidR="000E0793">
      <w:tab/>
    </w:r>
    <w:r w:rsidR="000E0793">
      <w:tab/>
    </w:r>
    <w:fldSimple w:instr=" TITLE  \* MERGEFORMAT ">
      <w:r w:rsidR="009B6DAD">
        <w:t>doc.: IEEE 802.11-</w:t>
      </w:r>
      <w:r w:rsidR="002C2AB1">
        <w:t>19</w:t>
      </w:r>
      <w:r w:rsidR="009B6DAD">
        <w:t>/</w:t>
      </w:r>
      <w:r w:rsidR="00C31FF5">
        <w:t>0</w:t>
      </w:r>
      <w:r w:rsidR="00FA784B">
        <w:t>746</w:t>
      </w:r>
      <w:r w:rsidR="009B6DAD">
        <w:t>r</w:t>
      </w:r>
    </w:fldSimple>
    <w:r w:rsidR="00FA784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7E54C8"/>
    <w:multiLevelType w:val="hybridMultilevel"/>
    <w:tmpl w:val="51D00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F769F"/>
    <w:multiLevelType w:val="hybridMultilevel"/>
    <w:tmpl w:val="EE28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A043B1"/>
    <w:multiLevelType w:val="hybridMultilevel"/>
    <w:tmpl w:val="586C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C7A63F8"/>
    <w:multiLevelType w:val="hybridMultilevel"/>
    <w:tmpl w:val="DD06DD3A"/>
    <w:lvl w:ilvl="0" w:tplc="7AC8CA7E">
      <w:start w:val="1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2435939"/>
    <w:multiLevelType w:val="hybridMultilevel"/>
    <w:tmpl w:val="6BA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5D303B9"/>
    <w:multiLevelType w:val="hybridMultilevel"/>
    <w:tmpl w:val="8840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39415D"/>
    <w:multiLevelType w:val="hybridMultilevel"/>
    <w:tmpl w:val="BBB4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40"/>
  </w:num>
  <w:num w:numId="4">
    <w:abstractNumId w:val="33"/>
  </w:num>
  <w:num w:numId="5">
    <w:abstractNumId w:val="15"/>
  </w:num>
  <w:num w:numId="6">
    <w:abstractNumId w:val="22"/>
  </w:num>
  <w:num w:numId="7">
    <w:abstractNumId w:val="16"/>
  </w:num>
  <w:num w:numId="8">
    <w:abstractNumId w:val="6"/>
  </w:num>
  <w:num w:numId="9">
    <w:abstractNumId w:val="37"/>
  </w:num>
  <w:num w:numId="10">
    <w:abstractNumId w:val="18"/>
  </w:num>
  <w:num w:numId="11">
    <w:abstractNumId w:val="21"/>
  </w:num>
  <w:num w:numId="12">
    <w:abstractNumId w:val="5"/>
  </w:num>
  <w:num w:numId="13">
    <w:abstractNumId w:val="29"/>
  </w:num>
  <w:num w:numId="14">
    <w:abstractNumId w:val="14"/>
  </w:num>
  <w:num w:numId="15">
    <w:abstractNumId w:val="25"/>
  </w:num>
  <w:num w:numId="16">
    <w:abstractNumId w:val="0"/>
  </w:num>
  <w:num w:numId="17">
    <w:abstractNumId w:val="2"/>
  </w:num>
  <w:num w:numId="18">
    <w:abstractNumId w:val="1"/>
  </w:num>
  <w:num w:numId="19">
    <w:abstractNumId w:val="38"/>
  </w:num>
  <w:num w:numId="20">
    <w:abstractNumId w:val="17"/>
  </w:num>
  <w:num w:numId="21">
    <w:abstractNumId w:val="27"/>
  </w:num>
  <w:num w:numId="22">
    <w:abstractNumId w:val="23"/>
  </w:num>
  <w:num w:numId="23">
    <w:abstractNumId w:val="7"/>
  </w:num>
  <w:num w:numId="24">
    <w:abstractNumId w:val="9"/>
  </w:num>
  <w:num w:numId="25">
    <w:abstractNumId w:val="3"/>
  </w:num>
  <w:num w:numId="26">
    <w:abstractNumId w:val="42"/>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5"/>
  </w:num>
  <w:num w:numId="30">
    <w:abstractNumId w:val="20"/>
  </w:num>
  <w:num w:numId="31">
    <w:abstractNumId w:val="32"/>
  </w:num>
  <w:num w:numId="32">
    <w:abstractNumId w:val="8"/>
  </w:num>
  <w:num w:numId="33">
    <w:abstractNumId w:val="28"/>
  </w:num>
  <w:num w:numId="34">
    <w:abstractNumId w:val="36"/>
  </w:num>
  <w:num w:numId="35">
    <w:abstractNumId w:val="12"/>
  </w:num>
  <w:num w:numId="36">
    <w:abstractNumId w:val="13"/>
  </w:num>
  <w:num w:numId="37">
    <w:abstractNumId w:val="24"/>
  </w:num>
  <w:num w:numId="38">
    <w:abstractNumId w:val="19"/>
  </w:num>
  <w:num w:numId="39">
    <w:abstractNumId w:val="26"/>
  </w:num>
  <w:num w:numId="40">
    <w:abstractNumId w:val="10"/>
  </w:num>
  <w:num w:numId="41">
    <w:abstractNumId w:val="39"/>
  </w:num>
  <w:num w:numId="42">
    <w:abstractNumId w:val="4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1011"/>
    <w:rsid w:val="00002ACB"/>
    <w:rsid w:val="00006094"/>
    <w:rsid w:val="00006E48"/>
    <w:rsid w:val="00015843"/>
    <w:rsid w:val="000162A7"/>
    <w:rsid w:val="00021B74"/>
    <w:rsid w:val="0002344C"/>
    <w:rsid w:val="000302DB"/>
    <w:rsid w:val="00030B66"/>
    <w:rsid w:val="00036978"/>
    <w:rsid w:val="00036E49"/>
    <w:rsid w:val="00042AFB"/>
    <w:rsid w:val="0004369E"/>
    <w:rsid w:val="000436AC"/>
    <w:rsid w:val="00050157"/>
    <w:rsid w:val="00051226"/>
    <w:rsid w:val="00052CDA"/>
    <w:rsid w:val="00057546"/>
    <w:rsid w:val="00060791"/>
    <w:rsid w:val="0006096E"/>
    <w:rsid w:val="00061216"/>
    <w:rsid w:val="0006260A"/>
    <w:rsid w:val="00067D04"/>
    <w:rsid w:val="000704FA"/>
    <w:rsid w:val="00072A37"/>
    <w:rsid w:val="000771C7"/>
    <w:rsid w:val="00086E31"/>
    <w:rsid w:val="00090D80"/>
    <w:rsid w:val="0009459F"/>
    <w:rsid w:val="000A092E"/>
    <w:rsid w:val="000B2531"/>
    <w:rsid w:val="000B454A"/>
    <w:rsid w:val="000B6410"/>
    <w:rsid w:val="000C02E5"/>
    <w:rsid w:val="000C0A26"/>
    <w:rsid w:val="000C3D51"/>
    <w:rsid w:val="000C5213"/>
    <w:rsid w:val="000C6F7A"/>
    <w:rsid w:val="000D0C7F"/>
    <w:rsid w:val="000D36B8"/>
    <w:rsid w:val="000D5D7B"/>
    <w:rsid w:val="000D7315"/>
    <w:rsid w:val="000D7C14"/>
    <w:rsid w:val="000E0793"/>
    <w:rsid w:val="000E3038"/>
    <w:rsid w:val="000E307E"/>
    <w:rsid w:val="000E5530"/>
    <w:rsid w:val="000F181D"/>
    <w:rsid w:val="000F1982"/>
    <w:rsid w:val="00102B4B"/>
    <w:rsid w:val="00103066"/>
    <w:rsid w:val="0010511B"/>
    <w:rsid w:val="00110987"/>
    <w:rsid w:val="00110F50"/>
    <w:rsid w:val="00112C74"/>
    <w:rsid w:val="00112ECA"/>
    <w:rsid w:val="0011783C"/>
    <w:rsid w:val="00120F2D"/>
    <w:rsid w:val="00125D1F"/>
    <w:rsid w:val="001266B5"/>
    <w:rsid w:val="00127455"/>
    <w:rsid w:val="001321F2"/>
    <w:rsid w:val="00134BEE"/>
    <w:rsid w:val="00141004"/>
    <w:rsid w:val="00146351"/>
    <w:rsid w:val="00146B45"/>
    <w:rsid w:val="001535E2"/>
    <w:rsid w:val="00153B74"/>
    <w:rsid w:val="001553DF"/>
    <w:rsid w:val="0015733C"/>
    <w:rsid w:val="00157F26"/>
    <w:rsid w:val="001627F9"/>
    <w:rsid w:val="00164505"/>
    <w:rsid w:val="00166474"/>
    <w:rsid w:val="0018081C"/>
    <w:rsid w:val="001811D9"/>
    <w:rsid w:val="00184B05"/>
    <w:rsid w:val="00187582"/>
    <w:rsid w:val="00187BB9"/>
    <w:rsid w:val="00191748"/>
    <w:rsid w:val="0019196C"/>
    <w:rsid w:val="00192D13"/>
    <w:rsid w:val="00194612"/>
    <w:rsid w:val="001A0C6F"/>
    <w:rsid w:val="001A4B14"/>
    <w:rsid w:val="001B1FFB"/>
    <w:rsid w:val="001B2159"/>
    <w:rsid w:val="001B5ACD"/>
    <w:rsid w:val="001B602B"/>
    <w:rsid w:val="001C1E36"/>
    <w:rsid w:val="001C2288"/>
    <w:rsid w:val="001C2E51"/>
    <w:rsid w:val="001C35F3"/>
    <w:rsid w:val="001C3EE2"/>
    <w:rsid w:val="001C55D2"/>
    <w:rsid w:val="001C692D"/>
    <w:rsid w:val="001C6D8E"/>
    <w:rsid w:val="001D0758"/>
    <w:rsid w:val="001D141F"/>
    <w:rsid w:val="001D723B"/>
    <w:rsid w:val="001E3A3B"/>
    <w:rsid w:val="00205841"/>
    <w:rsid w:val="00207A6E"/>
    <w:rsid w:val="00210BA0"/>
    <w:rsid w:val="00220704"/>
    <w:rsid w:val="00222A64"/>
    <w:rsid w:val="00223597"/>
    <w:rsid w:val="00224813"/>
    <w:rsid w:val="00226935"/>
    <w:rsid w:val="00236877"/>
    <w:rsid w:val="00240529"/>
    <w:rsid w:val="00240CB6"/>
    <w:rsid w:val="00241D6E"/>
    <w:rsid w:val="00243A88"/>
    <w:rsid w:val="002461F7"/>
    <w:rsid w:val="0024723F"/>
    <w:rsid w:val="00247A5F"/>
    <w:rsid w:val="0025214A"/>
    <w:rsid w:val="00261D7D"/>
    <w:rsid w:val="00264552"/>
    <w:rsid w:val="00264ECD"/>
    <w:rsid w:val="00265267"/>
    <w:rsid w:val="00270FEC"/>
    <w:rsid w:val="00271132"/>
    <w:rsid w:val="00272BD4"/>
    <w:rsid w:val="0027681F"/>
    <w:rsid w:val="002816BD"/>
    <w:rsid w:val="002860A5"/>
    <w:rsid w:val="0029020B"/>
    <w:rsid w:val="00290927"/>
    <w:rsid w:val="00293CA5"/>
    <w:rsid w:val="00296E33"/>
    <w:rsid w:val="002A2374"/>
    <w:rsid w:val="002A2D0A"/>
    <w:rsid w:val="002A419F"/>
    <w:rsid w:val="002A4FB1"/>
    <w:rsid w:val="002A6B17"/>
    <w:rsid w:val="002A6F20"/>
    <w:rsid w:val="002B3C95"/>
    <w:rsid w:val="002B5BAB"/>
    <w:rsid w:val="002B7841"/>
    <w:rsid w:val="002C033F"/>
    <w:rsid w:val="002C0800"/>
    <w:rsid w:val="002C2AB1"/>
    <w:rsid w:val="002C452D"/>
    <w:rsid w:val="002C536D"/>
    <w:rsid w:val="002C6F47"/>
    <w:rsid w:val="002D087D"/>
    <w:rsid w:val="002D3CCB"/>
    <w:rsid w:val="002D44BE"/>
    <w:rsid w:val="002D47AB"/>
    <w:rsid w:val="002D567B"/>
    <w:rsid w:val="002D7D0B"/>
    <w:rsid w:val="002E025F"/>
    <w:rsid w:val="002E4BD3"/>
    <w:rsid w:val="002F2522"/>
    <w:rsid w:val="002F3E28"/>
    <w:rsid w:val="002F61BC"/>
    <w:rsid w:val="0030122A"/>
    <w:rsid w:val="00301428"/>
    <w:rsid w:val="003038F0"/>
    <w:rsid w:val="00311699"/>
    <w:rsid w:val="0031210E"/>
    <w:rsid w:val="00312431"/>
    <w:rsid w:val="003221A6"/>
    <w:rsid w:val="003313FC"/>
    <w:rsid w:val="00343E67"/>
    <w:rsid w:val="00344D1F"/>
    <w:rsid w:val="00344EBC"/>
    <w:rsid w:val="00345D1A"/>
    <w:rsid w:val="00347FD8"/>
    <w:rsid w:val="003511C4"/>
    <w:rsid w:val="0035317D"/>
    <w:rsid w:val="00371A50"/>
    <w:rsid w:val="0037338E"/>
    <w:rsid w:val="003752B5"/>
    <w:rsid w:val="00375EED"/>
    <w:rsid w:val="00376F32"/>
    <w:rsid w:val="00382D45"/>
    <w:rsid w:val="00385E90"/>
    <w:rsid w:val="003A3DAA"/>
    <w:rsid w:val="003A6B9F"/>
    <w:rsid w:val="003B7E31"/>
    <w:rsid w:val="003C1F5A"/>
    <w:rsid w:val="003C283F"/>
    <w:rsid w:val="003C46CD"/>
    <w:rsid w:val="003C492A"/>
    <w:rsid w:val="003C5D0D"/>
    <w:rsid w:val="003C6439"/>
    <w:rsid w:val="003C6997"/>
    <w:rsid w:val="003C7798"/>
    <w:rsid w:val="003D26C5"/>
    <w:rsid w:val="003D5230"/>
    <w:rsid w:val="003D720F"/>
    <w:rsid w:val="003E02B1"/>
    <w:rsid w:val="003E51C2"/>
    <w:rsid w:val="003E5E6F"/>
    <w:rsid w:val="003E6362"/>
    <w:rsid w:val="003E7E3F"/>
    <w:rsid w:val="003F446F"/>
    <w:rsid w:val="003F6C68"/>
    <w:rsid w:val="004010F6"/>
    <w:rsid w:val="00405FC5"/>
    <w:rsid w:val="004115D4"/>
    <w:rsid w:val="004133AA"/>
    <w:rsid w:val="004151E6"/>
    <w:rsid w:val="004152D3"/>
    <w:rsid w:val="00415B2D"/>
    <w:rsid w:val="00417085"/>
    <w:rsid w:val="00417678"/>
    <w:rsid w:val="00422D88"/>
    <w:rsid w:val="0042375C"/>
    <w:rsid w:val="00425612"/>
    <w:rsid w:val="00426ED9"/>
    <w:rsid w:val="00433BF4"/>
    <w:rsid w:val="00437D99"/>
    <w:rsid w:val="00441746"/>
    <w:rsid w:val="00442037"/>
    <w:rsid w:val="0044416A"/>
    <w:rsid w:val="00446ECC"/>
    <w:rsid w:val="00450947"/>
    <w:rsid w:val="00452B17"/>
    <w:rsid w:val="004613FE"/>
    <w:rsid w:val="00464F9E"/>
    <w:rsid w:val="0046555C"/>
    <w:rsid w:val="0048084B"/>
    <w:rsid w:val="00487334"/>
    <w:rsid w:val="004879BD"/>
    <w:rsid w:val="0049061F"/>
    <w:rsid w:val="0049073F"/>
    <w:rsid w:val="00492EFF"/>
    <w:rsid w:val="004A0E52"/>
    <w:rsid w:val="004A2ED5"/>
    <w:rsid w:val="004A3889"/>
    <w:rsid w:val="004A5A99"/>
    <w:rsid w:val="004A6DAF"/>
    <w:rsid w:val="004B064B"/>
    <w:rsid w:val="004B566B"/>
    <w:rsid w:val="004C1E1F"/>
    <w:rsid w:val="004C1F59"/>
    <w:rsid w:val="004C36F4"/>
    <w:rsid w:val="004C7D9D"/>
    <w:rsid w:val="004D20FB"/>
    <w:rsid w:val="004D4B32"/>
    <w:rsid w:val="004D7D38"/>
    <w:rsid w:val="004E12F5"/>
    <w:rsid w:val="004E1679"/>
    <w:rsid w:val="004E1F55"/>
    <w:rsid w:val="004F03D3"/>
    <w:rsid w:val="004F1657"/>
    <w:rsid w:val="004F1F11"/>
    <w:rsid w:val="004F6888"/>
    <w:rsid w:val="004F69EB"/>
    <w:rsid w:val="004F721A"/>
    <w:rsid w:val="0050501F"/>
    <w:rsid w:val="00505C6A"/>
    <w:rsid w:val="00507A3E"/>
    <w:rsid w:val="00507BD7"/>
    <w:rsid w:val="005115B4"/>
    <w:rsid w:val="00522C35"/>
    <w:rsid w:val="005271A8"/>
    <w:rsid w:val="005272EB"/>
    <w:rsid w:val="005303E1"/>
    <w:rsid w:val="005327F3"/>
    <w:rsid w:val="0053291B"/>
    <w:rsid w:val="00537F72"/>
    <w:rsid w:val="00540213"/>
    <w:rsid w:val="005420D1"/>
    <w:rsid w:val="0054714B"/>
    <w:rsid w:val="005540AC"/>
    <w:rsid w:val="005546B6"/>
    <w:rsid w:val="005552DD"/>
    <w:rsid w:val="00555571"/>
    <w:rsid w:val="005606DE"/>
    <w:rsid w:val="00564670"/>
    <w:rsid w:val="00564E37"/>
    <w:rsid w:val="005677FA"/>
    <w:rsid w:val="00573303"/>
    <w:rsid w:val="005825C4"/>
    <w:rsid w:val="005856AD"/>
    <w:rsid w:val="00586359"/>
    <w:rsid w:val="005869AF"/>
    <w:rsid w:val="00590540"/>
    <w:rsid w:val="005A4A41"/>
    <w:rsid w:val="005A5A2C"/>
    <w:rsid w:val="005A7407"/>
    <w:rsid w:val="005B1B9C"/>
    <w:rsid w:val="005B6F41"/>
    <w:rsid w:val="005B71B4"/>
    <w:rsid w:val="005C13C6"/>
    <w:rsid w:val="005C268F"/>
    <w:rsid w:val="005C7C16"/>
    <w:rsid w:val="005C7E9A"/>
    <w:rsid w:val="005D0B43"/>
    <w:rsid w:val="005D6C83"/>
    <w:rsid w:val="005D7357"/>
    <w:rsid w:val="005E114B"/>
    <w:rsid w:val="005E141C"/>
    <w:rsid w:val="005E4649"/>
    <w:rsid w:val="005E688B"/>
    <w:rsid w:val="005F1B99"/>
    <w:rsid w:val="005F58A8"/>
    <w:rsid w:val="005F73DB"/>
    <w:rsid w:val="006006F1"/>
    <w:rsid w:val="00600926"/>
    <w:rsid w:val="006015AF"/>
    <w:rsid w:val="0060237B"/>
    <w:rsid w:val="00604A02"/>
    <w:rsid w:val="00613545"/>
    <w:rsid w:val="006142C3"/>
    <w:rsid w:val="00614DCD"/>
    <w:rsid w:val="00615D22"/>
    <w:rsid w:val="0062110B"/>
    <w:rsid w:val="00621638"/>
    <w:rsid w:val="006225EF"/>
    <w:rsid w:val="0062440B"/>
    <w:rsid w:val="00624532"/>
    <w:rsid w:val="00626B9F"/>
    <w:rsid w:val="00630E18"/>
    <w:rsid w:val="006310B6"/>
    <w:rsid w:val="00631BB8"/>
    <w:rsid w:val="0063744D"/>
    <w:rsid w:val="00642098"/>
    <w:rsid w:val="00642EB5"/>
    <w:rsid w:val="00643716"/>
    <w:rsid w:val="00643DD4"/>
    <w:rsid w:val="006441AA"/>
    <w:rsid w:val="006442E8"/>
    <w:rsid w:val="00647D0F"/>
    <w:rsid w:val="00650133"/>
    <w:rsid w:val="00650DEA"/>
    <w:rsid w:val="0065116F"/>
    <w:rsid w:val="00651DD9"/>
    <w:rsid w:val="00660402"/>
    <w:rsid w:val="0066501A"/>
    <w:rsid w:val="00666F0F"/>
    <w:rsid w:val="006677FF"/>
    <w:rsid w:val="00667F88"/>
    <w:rsid w:val="00672825"/>
    <w:rsid w:val="006803D3"/>
    <w:rsid w:val="00680A9A"/>
    <w:rsid w:val="00682E14"/>
    <w:rsid w:val="0068714F"/>
    <w:rsid w:val="00687A28"/>
    <w:rsid w:val="00695021"/>
    <w:rsid w:val="006A0D3D"/>
    <w:rsid w:val="006A23CE"/>
    <w:rsid w:val="006A5A9A"/>
    <w:rsid w:val="006A75B2"/>
    <w:rsid w:val="006A7B0F"/>
    <w:rsid w:val="006B0992"/>
    <w:rsid w:val="006B0B5A"/>
    <w:rsid w:val="006B3EDD"/>
    <w:rsid w:val="006B5BE1"/>
    <w:rsid w:val="006C0727"/>
    <w:rsid w:val="006C29EF"/>
    <w:rsid w:val="006D3877"/>
    <w:rsid w:val="006D42B4"/>
    <w:rsid w:val="006E145F"/>
    <w:rsid w:val="006F066A"/>
    <w:rsid w:val="006F0A92"/>
    <w:rsid w:val="006F2E37"/>
    <w:rsid w:val="00701DD6"/>
    <w:rsid w:val="00702709"/>
    <w:rsid w:val="00702E5A"/>
    <w:rsid w:val="007039FF"/>
    <w:rsid w:val="00707D9C"/>
    <w:rsid w:val="0071080B"/>
    <w:rsid w:val="007121F5"/>
    <w:rsid w:val="00714149"/>
    <w:rsid w:val="00717799"/>
    <w:rsid w:val="007217F1"/>
    <w:rsid w:val="00726A89"/>
    <w:rsid w:val="00735E98"/>
    <w:rsid w:val="0074033D"/>
    <w:rsid w:val="00741208"/>
    <w:rsid w:val="007419FA"/>
    <w:rsid w:val="00744F21"/>
    <w:rsid w:val="00762256"/>
    <w:rsid w:val="00766D19"/>
    <w:rsid w:val="00770572"/>
    <w:rsid w:val="00772EB6"/>
    <w:rsid w:val="0077410E"/>
    <w:rsid w:val="00774F4C"/>
    <w:rsid w:val="0078286B"/>
    <w:rsid w:val="00783B84"/>
    <w:rsid w:val="00783C21"/>
    <w:rsid w:val="007860D8"/>
    <w:rsid w:val="00790978"/>
    <w:rsid w:val="0079155C"/>
    <w:rsid w:val="00793962"/>
    <w:rsid w:val="007A0468"/>
    <w:rsid w:val="007A0A66"/>
    <w:rsid w:val="007A0CC2"/>
    <w:rsid w:val="007A6958"/>
    <w:rsid w:val="007B04CF"/>
    <w:rsid w:val="007B3E4B"/>
    <w:rsid w:val="007B580E"/>
    <w:rsid w:val="007B6BA8"/>
    <w:rsid w:val="007C00AC"/>
    <w:rsid w:val="007C21CD"/>
    <w:rsid w:val="007C5CE4"/>
    <w:rsid w:val="007C5F57"/>
    <w:rsid w:val="007D0309"/>
    <w:rsid w:val="007D7D46"/>
    <w:rsid w:val="007E068C"/>
    <w:rsid w:val="007E1075"/>
    <w:rsid w:val="007E3577"/>
    <w:rsid w:val="007E3AE0"/>
    <w:rsid w:val="007F1238"/>
    <w:rsid w:val="007F208E"/>
    <w:rsid w:val="007F3E82"/>
    <w:rsid w:val="00805324"/>
    <w:rsid w:val="008070E4"/>
    <w:rsid w:val="00816436"/>
    <w:rsid w:val="00816ACC"/>
    <w:rsid w:val="00816EE0"/>
    <w:rsid w:val="0082029C"/>
    <w:rsid w:val="00820A65"/>
    <w:rsid w:val="008266F6"/>
    <w:rsid w:val="00843A5A"/>
    <w:rsid w:val="008477E8"/>
    <w:rsid w:val="008533CB"/>
    <w:rsid w:val="00853956"/>
    <w:rsid w:val="00856C3D"/>
    <w:rsid w:val="00856EF1"/>
    <w:rsid w:val="00860D91"/>
    <w:rsid w:val="00866190"/>
    <w:rsid w:val="00866406"/>
    <w:rsid w:val="0087081E"/>
    <w:rsid w:val="00875561"/>
    <w:rsid w:val="00875884"/>
    <w:rsid w:val="00877479"/>
    <w:rsid w:val="00880ED4"/>
    <w:rsid w:val="00883B28"/>
    <w:rsid w:val="00887EF1"/>
    <w:rsid w:val="00896971"/>
    <w:rsid w:val="008A1FB5"/>
    <w:rsid w:val="008A3365"/>
    <w:rsid w:val="008A5081"/>
    <w:rsid w:val="008A51D1"/>
    <w:rsid w:val="008A53B4"/>
    <w:rsid w:val="008A57D1"/>
    <w:rsid w:val="008A724D"/>
    <w:rsid w:val="008B0301"/>
    <w:rsid w:val="008B17FF"/>
    <w:rsid w:val="008B3A42"/>
    <w:rsid w:val="008B3EF1"/>
    <w:rsid w:val="008C0AD1"/>
    <w:rsid w:val="008C3A27"/>
    <w:rsid w:val="008C4435"/>
    <w:rsid w:val="008D6E7C"/>
    <w:rsid w:val="008E1D44"/>
    <w:rsid w:val="008E4DDC"/>
    <w:rsid w:val="008F0431"/>
    <w:rsid w:val="008F26FD"/>
    <w:rsid w:val="008F3E8A"/>
    <w:rsid w:val="008F7BC1"/>
    <w:rsid w:val="0090175B"/>
    <w:rsid w:val="00902067"/>
    <w:rsid w:val="0090477F"/>
    <w:rsid w:val="00910026"/>
    <w:rsid w:val="00912AB3"/>
    <w:rsid w:val="00912E76"/>
    <w:rsid w:val="00913040"/>
    <w:rsid w:val="009309DA"/>
    <w:rsid w:val="00940267"/>
    <w:rsid w:val="00940A4F"/>
    <w:rsid w:val="009410E7"/>
    <w:rsid w:val="009424FD"/>
    <w:rsid w:val="009474CF"/>
    <w:rsid w:val="00951ADE"/>
    <w:rsid w:val="00954DB0"/>
    <w:rsid w:val="00961915"/>
    <w:rsid w:val="0096370A"/>
    <w:rsid w:val="00963FCA"/>
    <w:rsid w:val="009643D1"/>
    <w:rsid w:val="00965DEA"/>
    <w:rsid w:val="00972CA7"/>
    <w:rsid w:val="00973FC4"/>
    <w:rsid w:val="00974C79"/>
    <w:rsid w:val="00975C4B"/>
    <w:rsid w:val="00976D7F"/>
    <w:rsid w:val="0097780F"/>
    <w:rsid w:val="00977994"/>
    <w:rsid w:val="00992BE5"/>
    <w:rsid w:val="0099572E"/>
    <w:rsid w:val="00995801"/>
    <w:rsid w:val="00995E31"/>
    <w:rsid w:val="009A1734"/>
    <w:rsid w:val="009A296E"/>
    <w:rsid w:val="009A4BA8"/>
    <w:rsid w:val="009A57CA"/>
    <w:rsid w:val="009B2E93"/>
    <w:rsid w:val="009B4886"/>
    <w:rsid w:val="009B6DAD"/>
    <w:rsid w:val="009B782F"/>
    <w:rsid w:val="009C73AE"/>
    <w:rsid w:val="009D735E"/>
    <w:rsid w:val="009E0719"/>
    <w:rsid w:val="009E5586"/>
    <w:rsid w:val="009F1274"/>
    <w:rsid w:val="009F2FBC"/>
    <w:rsid w:val="009F6A3F"/>
    <w:rsid w:val="00A02C1F"/>
    <w:rsid w:val="00A04416"/>
    <w:rsid w:val="00A13F86"/>
    <w:rsid w:val="00A143B8"/>
    <w:rsid w:val="00A15934"/>
    <w:rsid w:val="00A2252B"/>
    <w:rsid w:val="00A249F0"/>
    <w:rsid w:val="00A259B6"/>
    <w:rsid w:val="00A25AA2"/>
    <w:rsid w:val="00A31FF7"/>
    <w:rsid w:val="00A33AB0"/>
    <w:rsid w:val="00A43930"/>
    <w:rsid w:val="00A5550A"/>
    <w:rsid w:val="00A60F6A"/>
    <w:rsid w:val="00A62766"/>
    <w:rsid w:val="00A637D3"/>
    <w:rsid w:val="00A647D5"/>
    <w:rsid w:val="00A6531E"/>
    <w:rsid w:val="00A660C6"/>
    <w:rsid w:val="00A66470"/>
    <w:rsid w:val="00A71C92"/>
    <w:rsid w:val="00A724DB"/>
    <w:rsid w:val="00A747D9"/>
    <w:rsid w:val="00A76597"/>
    <w:rsid w:val="00A7772B"/>
    <w:rsid w:val="00A77C26"/>
    <w:rsid w:val="00A823B6"/>
    <w:rsid w:val="00A825F2"/>
    <w:rsid w:val="00A83489"/>
    <w:rsid w:val="00A83CAD"/>
    <w:rsid w:val="00A90462"/>
    <w:rsid w:val="00A927A2"/>
    <w:rsid w:val="00A9392C"/>
    <w:rsid w:val="00A939D8"/>
    <w:rsid w:val="00A97506"/>
    <w:rsid w:val="00A9765A"/>
    <w:rsid w:val="00AA2A80"/>
    <w:rsid w:val="00AA2B41"/>
    <w:rsid w:val="00AA3675"/>
    <w:rsid w:val="00AA427C"/>
    <w:rsid w:val="00AA545B"/>
    <w:rsid w:val="00AA6876"/>
    <w:rsid w:val="00AB2953"/>
    <w:rsid w:val="00AB32A0"/>
    <w:rsid w:val="00AC2A46"/>
    <w:rsid w:val="00AD1106"/>
    <w:rsid w:val="00AD2252"/>
    <w:rsid w:val="00AD6B39"/>
    <w:rsid w:val="00AE30FD"/>
    <w:rsid w:val="00AE472D"/>
    <w:rsid w:val="00AE7FFE"/>
    <w:rsid w:val="00AF633F"/>
    <w:rsid w:val="00B03377"/>
    <w:rsid w:val="00B06C02"/>
    <w:rsid w:val="00B10A70"/>
    <w:rsid w:val="00B1227A"/>
    <w:rsid w:val="00B126F0"/>
    <w:rsid w:val="00B34721"/>
    <w:rsid w:val="00B34F34"/>
    <w:rsid w:val="00B35361"/>
    <w:rsid w:val="00B40197"/>
    <w:rsid w:val="00B40D12"/>
    <w:rsid w:val="00B41AEB"/>
    <w:rsid w:val="00B41C66"/>
    <w:rsid w:val="00B43810"/>
    <w:rsid w:val="00B474C6"/>
    <w:rsid w:val="00B63071"/>
    <w:rsid w:val="00B64F47"/>
    <w:rsid w:val="00B6530A"/>
    <w:rsid w:val="00B675A9"/>
    <w:rsid w:val="00B676BC"/>
    <w:rsid w:val="00B702F3"/>
    <w:rsid w:val="00B7438B"/>
    <w:rsid w:val="00B743ED"/>
    <w:rsid w:val="00B80F99"/>
    <w:rsid w:val="00B81111"/>
    <w:rsid w:val="00B8136D"/>
    <w:rsid w:val="00B9376F"/>
    <w:rsid w:val="00B96811"/>
    <w:rsid w:val="00BA5662"/>
    <w:rsid w:val="00BA6CC7"/>
    <w:rsid w:val="00BB63B3"/>
    <w:rsid w:val="00BB7BB4"/>
    <w:rsid w:val="00BC0270"/>
    <w:rsid w:val="00BC3B91"/>
    <w:rsid w:val="00BC4FC4"/>
    <w:rsid w:val="00BD38A6"/>
    <w:rsid w:val="00BD62D2"/>
    <w:rsid w:val="00BE22E7"/>
    <w:rsid w:val="00BE2FD9"/>
    <w:rsid w:val="00BE45B8"/>
    <w:rsid w:val="00BE68C2"/>
    <w:rsid w:val="00BF1758"/>
    <w:rsid w:val="00BF2E5A"/>
    <w:rsid w:val="00BF6270"/>
    <w:rsid w:val="00C00868"/>
    <w:rsid w:val="00C041D0"/>
    <w:rsid w:val="00C2229D"/>
    <w:rsid w:val="00C22CB7"/>
    <w:rsid w:val="00C24642"/>
    <w:rsid w:val="00C26369"/>
    <w:rsid w:val="00C27B09"/>
    <w:rsid w:val="00C315EC"/>
    <w:rsid w:val="00C31FF5"/>
    <w:rsid w:val="00C32B22"/>
    <w:rsid w:val="00C348D2"/>
    <w:rsid w:val="00C358FA"/>
    <w:rsid w:val="00C36017"/>
    <w:rsid w:val="00C37A5F"/>
    <w:rsid w:val="00C4058E"/>
    <w:rsid w:val="00C40915"/>
    <w:rsid w:val="00C41092"/>
    <w:rsid w:val="00C415B3"/>
    <w:rsid w:val="00C429D0"/>
    <w:rsid w:val="00C53541"/>
    <w:rsid w:val="00C56E5D"/>
    <w:rsid w:val="00C57A23"/>
    <w:rsid w:val="00C57F7B"/>
    <w:rsid w:val="00C60A50"/>
    <w:rsid w:val="00C664E1"/>
    <w:rsid w:val="00C66EBD"/>
    <w:rsid w:val="00C7093F"/>
    <w:rsid w:val="00C70A56"/>
    <w:rsid w:val="00C7108E"/>
    <w:rsid w:val="00C76B1D"/>
    <w:rsid w:val="00C76C9C"/>
    <w:rsid w:val="00C77294"/>
    <w:rsid w:val="00C77FF1"/>
    <w:rsid w:val="00C810E6"/>
    <w:rsid w:val="00C856B8"/>
    <w:rsid w:val="00C86428"/>
    <w:rsid w:val="00C92E7A"/>
    <w:rsid w:val="00C937AE"/>
    <w:rsid w:val="00C979D6"/>
    <w:rsid w:val="00CA01B1"/>
    <w:rsid w:val="00CA027E"/>
    <w:rsid w:val="00CA09B2"/>
    <w:rsid w:val="00CA1DEA"/>
    <w:rsid w:val="00CB0134"/>
    <w:rsid w:val="00CB094E"/>
    <w:rsid w:val="00CB0E04"/>
    <w:rsid w:val="00CC12C6"/>
    <w:rsid w:val="00CD4C5B"/>
    <w:rsid w:val="00CE1D26"/>
    <w:rsid w:val="00CE43C6"/>
    <w:rsid w:val="00CE5421"/>
    <w:rsid w:val="00CE6659"/>
    <w:rsid w:val="00CE6CEA"/>
    <w:rsid w:val="00CF1E44"/>
    <w:rsid w:val="00D05EB9"/>
    <w:rsid w:val="00D12FF9"/>
    <w:rsid w:val="00D13172"/>
    <w:rsid w:val="00D1441C"/>
    <w:rsid w:val="00D15578"/>
    <w:rsid w:val="00D1771B"/>
    <w:rsid w:val="00D24DCD"/>
    <w:rsid w:val="00D36595"/>
    <w:rsid w:val="00D37C2C"/>
    <w:rsid w:val="00D43CD3"/>
    <w:rsid w:val="00D44876"/>
    <w:rsid w:val="00D55C6B"/>
    <w:rsid w:val="00D56198"/>
    <w:rsid w:val="00D666A5"/>
    <w:rsid w:val="00D723A4"/>
    <w:rsid w:val="00D83936"/>
    <w:rsid w:val="00D83EB0"/>
    <w:rsid w:val="00D90D32"/>
    <w:rsid w:val="00D91918"/>
    <w:rsid w:val="00D92AB2"/>
    <w:rsid w:val="00D95112"/>
    <w:rsid w:val="00D9548B"/>
    <w:rsid w:val="00DA22B7"/>
    <w:rsid w:val="00DA4BE5"/>
    <w:rsid w:val="00DC5A7B"/>
    <w:rsid w:val="00DC6A98"/>
    <w:rsid w:val="00DC715B"/>
    <w:rsid w:val="00DC7CAC"/>
    <w:rsid w:val="00DD25F0"/>
    <w:rsid w:val="00DD3530"/>
    <w:rsid w:val="00DE1C45"/>
    <w:rsid w:val="00DE611E"/>
    <w:rsid w:val="00DF1462"/>
    <w:rsid w:val="00E048D1"/>
    <w:rsid w:val="00E05B03"/>
    <w:rsid w:val="00E11414"/>
    <w:rsid w:val="00E11753"/>
    <w:rsid w:val="00E12375"/>
    <w:rsid w:val="00E1779C"/>
    <w:rsid w:val="00E20961"/>
    <w:rsid w:val="00E21571"/>
    <w:rsid w:val="00E2257B"/>
    <w:rsid w:val="00E255E3"/>
    <w:rsid w:val="00E26D50"/>
    <w:rsid w:val="00E307ED"/>
    <w:rsid w:val="00E31481"/>
    <w:rsid w:val="00E31C03"/>
    <w:rsid w:val="00E4110C"/>
    <w:rsid w:val="00E45BAC"/>
    <w:rsid w:val="00E476F5"/>
    <w:rsid w:val="00E530FE"/>
    <w:rsid w:val="00E55307"/>
    <w:rsid w:val="00E56037"/>
    <w:rsid w:val="00E6085B"/>
    <w:rsid w:val="00E63C20"/>
    <w:rsid w:val="00E65277"/>
    <w:rsid w:val="00E67E7F"/>
    <w:rsid w:val="00E7292A"/>
    <w:rsid w:val="00E73E38"/>
    <w:rsid w:val="00E83DA3"/>
    <w:rsid w:val="00E841D2"/>
    <w:rsid w:val="00E85838"/>
    <w:rsid w:val="00E909B7"/>
    <w:rsid w:val="00E94B98"/>
    <w:rsid w:val="00EA72D6"/>
    <w:rsid w:val="00EA7843"/>
    <w:rsid w:val="00EB264C"/>
    <w:rsid w:val="00EB5F3D"/>
    <w:rsid w:val="00EB785D"/>
    <w:rsid w:val="00EB79F4"/>
    <w:rsid w:val="00EC02CD"/>
    <w:rsid w:val="00EC1D5A"/>
    <w:rsid w:val="00EC3CF2"/>
    <w:rsid w:val="00ED4E2D"/>
    <w:rsid w:val="00EE07F9"/>
    <w:rsid w:val="00EE5778"/>
    <w:rsid w:val="00EE5F59"/>
    <w:rsid w:val="00EE607A"/>
    <w:rsid w:val="00EE7D3D"/>
    <w:rsid w:val="00EF0368"/>
    <w:rsid w:val="00EF7200"/>
    <w:rsid w:val="00F01343"/>
    <w:rsid w:val="00F042B5"/>
    <w:rsid w:val="00F0511C"/>
    <w:rsid w:val="00F0743D"/>
    <w:rsid w:val="00F12DD2"/>
    <w:rsid w:val="00F1305A"/>
    <w:rsid w:val="00F1414B"/>
    <w:rsid w:val="00F23ACE"/>
    <w:rsid w:val="00F26294"/>
    <w:rsid w:val="00F265F9"/>
    <w:rsid w:val="00F266C7"/>
    <w:rsid w:val="00F3523C"/>
    <w:rsid w:val="00F36C4D"/>
    <w:rsid w:val="00F430E9"/>
    <w:rsid w:val="00F43651"/>
    <w:rsid w:val="00F45220"/>
    <w:rsid w:val="00F52782"/>
    <w:rsid w:val="00F5285B"/>
    <w:rsid w:val="00F5546E"/>
    <w:rsid w:val="00F57578"/>
    <w:rsid w:val="00F578A5"/>
    <w:rsid w:val="00F57D4B"/>
    <w:rsid w:val="00F641D4"/>
    <w:rsid w:val="00F6493C"/>
    <w:rsid w:val="00F65392"/>
    <w:rsid w:val="00F66037"/>
    <w:rsid w:val="00F67E6F"/>
    <w:rsid w:val="00F70CAC"/>
    <w:rsid w:val="00F71EF0"/>
    <w:rsid w:val="00F8097B"/>
    <w:rsid w:val="00F80B9C"/>
    <w:rsid w:val="00F83F8B"/>
    <w:rsid w:val="00F857A7"/>
    <w:rsid w:val="00F8757E"/>
    <w:rsid w:val="00F96808"/>
    <w:rsid w:val="00FA0328"/>
    <w:rsid w:val="00FA1508"/>
    <w:rsid w:val="00FA4868"/>
    <w:rsid w:val="00FA784B"/>
    <w:rsid w:val="00FB0AF0"/>
    <w:rsid w:val="00FB5B65"/>
    <w:rsid w:val="00FB6086"/>
    <w:rsid w:val="00FC0D90"/>
    <w:rsid w:val="00FC389E"/>
    <w:rsid w:val="00FC59B5"/>
    <w:rsid w:val="00FC5A35"/>
    <w:rsid w:val="00FD0FED"/>
    <w:rsid w:val="00FD37BF"/>
    <w:rsid w:val="00FD3E3D"/>
    <w:rsid w:val="00FD698D"/>
    <w:rsid w:val="00FE07F6"/>
    <w:rsid w:val="00FE1407"/>
    <w:rsid w:val="00FE222D"/>
    <w:rsid w:val="00FE4F3C"/>
    <w:rsid w:val="00FE7730"/>
    <w:rsid w:val="00FF065B"/>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9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paragraph" w:customStyle="1" w:styleId="IEEEStdsTableColumnHead">
    <w:name w:val="IEEEStds Table Column Head"/>
    <w:basedOn w:val="IEEEStdsParagraph"/>
    <w:rsid w:val="000E3038"/>
    <w:pPr>
      <w:keepNext/>
      <w:keepLines/>
      <w:spacing w:after="0"/>
      <w:jc w:val="center"/>
    </w:pPr>
    <w:rPr>
      <w:rFonts w:eastAsia="MS Mincho"/>
      <w:b/>
      <w:sz w:val="18"/>
    </w:rPr>
  </w:style>
  <w:style w:type="paragraph" w:customStyle="1" w:styleId="IEEEStdsTableData-Left">
    <w:name w:val="IEEEStds Table Data - Left"/>
    <w:basedOn w:val="IEEEStdsParagraph"/>
    <w:rsid w:val="000E3038"/>
    <w:pPr>
      <w:keepNext/>
      <w:keepLines/>
      <w:spacing w:after="0"/>
      <w:jc w:val="left"/>
    </w:pPr>
    <w:rPr>
      <w:rFonts w:eastAsia="MS Mincho"/>
      <w:sz w:val="18"/>
    </w:rPr>
  </w:style>
  <w:style w:type="character" w:styleId="UnresolvedMention">
    <w:name w:val="Unresolved Mention"/>
    <w:basedOn w:val="DefaultParagraphFont"/>
    <w:uiPriority w:val="99"/>
    <w:semiHidden/>
    <w:unhideWhenUsed/>
    <w:rsid w:val="00B67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314">
      <w:bodyDiv w:val="1"/>
      <w:marLeft w:val="0"/>
      <w:marRight w:val="0"/>
      <w:marTop w:val="0"/>
      <w:marBottom w:val="0"/>
      <w:divBdr>
        <w:top w:val="none" w:sz="0" w:space="0" w:color="auto"/>
        <w:left w:val="none" w:sz="0" w:space="0" w:color="auto"/>
        <w:bottom w:val="none" w:sz="0" w:space="0" w:color="auto"/>
        <w:right w:val="none" w:sz="0" w:space="0" w:color="auto"/>
      </w:divBdr>
    </w:div>
    <w:div w:id="407968880">
      <w:bodyDiv w:val="1"/>
      <w:marLeft w:val="0"/>
      <w:marRight w:val="0"/>
      <w:marTop w:val="0"/>
      <w:marBottom w:val="0"/>
      <w:divBdr>
        <w:top w:val="none" w:sz="0" w:space="0" w:color="auto"/>
        <w:left w:val="none" w:sz="0" w:space="0" w:color="auto"/>
        <w:bottom w:val="none" w:sz="0" w:space="0" w:color="auto"/>
        <w:right w:val="none" w:sz="0" w:space="0" w:color="auto"/>
      </w:divBdr>
    </w:div>
    <w:div w:id="412359352">
      <w:bodyDiv w:val="1"/>
      <w:marLeft w:val="0"/>
      <w:marRight w:val="0"/>
      <w:marTop w:val="0"/>
      <w:marBottom w:val="0"/>
      <w:divBdr>
        <w:top w:val="none" w:sz="0" w:space="0" w:color="auto"/>
        <w:left w:val="none" w:sz="0" w:space="0" w:color="auto"/>
        <w:bottom w:val="none" w:sz="0" w:space="0" w:color="auto"/>
        <w:right w:val="none" w:sz="0" w:space="0" w:color="auto"/>
      </w:divBdr>
    </w:div>
    <w:div w:id="607858251">
      <w:bodyDiv w:val="1"/>
      <w:marLeft w:val="0"/>
      <w:marRight w:val="0"/>
      <w:marTop w:val="0"/>
      <w:marBottom w:val="0"/>
      <w:divBdr>
        <w:top w:val="none" w:sz="0" w:space="0" w:color="auto"/>
        <w:left w:val="none" w:sz="0" w:space="0" w:color="auto"/>
        <w:bottom w:val="none" w:sz="0" w:space="0" w:color="auto"/>
        <w:right w:val="none" w:sz="0" w:space="0" w:color="auto"/>
      </w:divBdr>
    </w:div>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1798454496">
      <w:bodyDiv w:val="1"/>
      <w:marLeft w:val="0"/>
      <w:marRight w:val="0"/>
      <w:marTop w:val="0"/>
      <w:marBottom w:val="0"/>
      <w:divBdr>
        <w:top w:val="none" w:sz="0" w:space="0" w:color="auto"/>
        <w:left w:val="none" w:sz="0" w:space="0" w:color="auto"/>
        <w:bottom w:val="none" w:sz="0" w:space="0" w:color="auto"/>
        <w:right w:val="none" w:sz="0" w:space="0" w:color="auto"/>
      </w:divBdr>
    </w:div>
    <w:div w:id="1916742033">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tana@qti.qualcom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rlos.cordeiro@intel.com" TargetMode="External"/><Relationship Id="rId4" Type="http://schemas.openxmlformats.org/officeDocument/2006/relationships/webSettings" Target="webSettings.xml"/><Relationship Id="rId9" Type="http://schemas.openxmlformats.org/officeDocument/2006/relationships/hyperlink" Target="mailto:akasher@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15</TotalTime>
  <Pages>3</Pages>
  <Words>337</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802.11-18/nnnnr0</vt:lpstr>
    </vt:vector>
  </TitlesOfParts>
  <Company>Qualcomm</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802.11-18/nnnnr0</dc:title>
  <dc:subject>Submission</dc:subject>
  <dc:creator>Solomon Trainin</dc:creator>
  <cp:keywords> </cp:keywords>
  <dc:description/>
  <cp:lastModifiedBy>Solomon Trainin</cp:lastModifiedBy>
  <cp:revision>13</cp:revision>
  <cp:lastPrinted>2017-02-23T01:37:00Z</cp:lastPrinted>
  <dcterms:created xsi:type="dcterms:W3CDTF">2019-05-07T07:12:00Z</dcterms:created>
  <dcterms:modified xsi:type="dcterms:W3CDTF">2019-05-07T07:26:00Z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