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1911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4364ED" w:rsidRPr="00FA777D" w14:paraId="1EA5CB0C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7747F598" w14:textId="6791C9AD" w:rsidR="004364ED" w:rsidRPr="00FA777D" w:rsidRDefault="004364ED" w:rsidP="004364ED">
            <w:pPr>
              <w:pStyle w:val="T2"/>
            </w:pPr>
            <w:r>
              <w:t>LB240 comment and resolution for PHY</w:t>
            </w:r>
            <w:r w:rsidR="00DA0417">
              <w:t xml:space="preserve"> </w:t>
            </w:r>
            <w:r w:rsidR="005D6ADF">
              <w:t>structure</w:t>
            </w:r>
          </w:p>
        </w:tc>
      </w:tr>
      <w:tr w:rsidR="004364ED" w:rsidRPr="00D61EDD" w14:paraId="0330DF97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596B4487" w14:textId="1ADAF66D" w:rsidR="004364ED" w:rsidRPr="00D61EDD" w:rsidRDefault="004364ED" w:rsidP="004364ED">
            <w:pPr>
              <w:pStyle w:val="T2"/>
              <w:ind w:left="0"/>
              <w:rPr>
                <w:sz w:val="24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2019-05-0</w:t>
            </w:r>
            <w:r w:rsidR="00BA5FD4">
              <w:rPr>
                <w:b w:val="0"/>
                <w:sz w:val="20"/>
              </w:rPr>
              <w:t>1</w:t>
            </w:r>
          </w:p>
        </w:tc>
      </w:tr>
      <w:tr w:rsidR="00CA09B2" w:rsidRPr="00D61EDD" w14:paraId="2B667532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04FE5097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14:paraId="5393D4EA" w14:textId="77777777" w:rsidTr="00FC390A">
        <w:trPr>
          <w:jc w:val="center"/>
        </w:trPr>
        <w:tc>
          <w:tcPr>
            <w:tcW w:w="1711" w:type="dxa"/>
            <w:vAlign w:val="center"/>
          </w:tcPr>
          <w:p w14:paraId="14AABC73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14:paraId="750C4255" w14:textId="77777777"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14:paraId="7259A210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3AB26B0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14:paraId="07F816EA" w14:textId="77777777"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4364ED" w:rsidRPr="00D61EDD" w14:paraId="03A26C5B" w14:textId="77777777" w:rsidTr="00FC390A">
        <w:trPr>
          <w:jc w:val="center"/>
        </w:trPr>
        <w:tc>
          <w:tcPr>
            <w:tcW w:w="1711" w:type="dxa"/>
            <w:vAlign w:val="center"/>
          </w:tcPr>
          <w:p w14:paraId="695C00E7" w14:textId="77777777" w:rsidR="004364ED" w:rsidRPr="00D61EDD" w:rsidRDefault="004364ED" w:rsidP="004364ED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Tianyu</w:t>
            </w:r>
            <w:proofErr w:type="spellEnd"/>
            <w:r>
              <w:rPr>
                <w:b w:val="0"/>
                <w:sz w:val="24"/>
              </w:rPr>
              <w:t xml:space="preserve"> Wu</w:t>
            </w:r>
          </w:p>
        </w:tc>
        <w:tc>
          <w:tcPr>
            <w:tcW w:w="1472" w:type="dxa"/>
            <w:vAlign w:val="center"/>
          </w:tcPr>
          <w:p w14:paraId="099B8D57" w14:textId="0A1C4F8C" w:rsidR="004364ED" w:rsidRPr="00D61EDD" w:rsidRDefault="004364ED" w:rsidP="004364ED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2842" w:type="dxa"/>
            <w:vAlign w:val="center"/>
          </w:tcPr>
          <w:p w14:paraId="2F89F9E7" w14:textId="77777777" w:rsidR="004364ED" w:rsidRPr="00D61EDD" w:rsidRDefault="004364ED" w:rsidP="004364ED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B44EEB4" w14:textId="77777777" w:rsidR="004364ED" w:rsidRPr="00D61EDD" w:rsidRDefault="004364ED" w:rsidP="004364ED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2828" w:type="dxa"/>
            <w:vAlign w:val="center"/>
          </w:tcPr>
          <w:p w14:paraId="7E865CC8" w14:textId="03A746EB" w:rsidR="004364ED" w:rsidRPr="00D61EDD" w:rsidRDefault="00C526DE" w:rsidP="004364ED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sz w:val="16"/>
              </w:rPr>
              <w:t>tianyu</w:t>
            </w:r>
            <w:r w:rsidR="004364ED">
              <w:rPr>
                <w:sz w:val="16"/>
              </w:rPr>
              <w:t>@apple.com</w:t>
            </w:r>
          </w:p>
        </w:tc>
      </w:tr>
    </w:tbl>
    <w:p w14:paraId="092390BD" w14:textId="16EE34E6" w:rsidR="00EA4F6A" w:rsidRPr="00D61EDD" w:rsidRDefault="00EA4F6A" w:rsidP="004066BE">
      <w:pPr>
        <w:pStyle w:val="Heading5"/>
        <w:rPr>
          <w:sz w:val="24"/>
          <w:szCs w:val="24"/>
        </w:rPr>
      </w:pPr>
    </w:p>
    <w:p w14:paraId="3474668C" w14:textId="0A8A0ADE" w:rsidR="00CE2745" w:rsidRDefault="00CE2745" w:rsidP="00CE2745">
      <w:pPr>
        <w:pStyle w:val="T1"/>
        <w:spacing w:after="120"/>
      </w:pPr>
    </w:p>
    <w:p w14:paraId="708ED210" w14:textId="33DEDE03" w:rsidR="00CE2745" w:rsidRDefault="00CE2745" w:rsidP="00CE2745">
      <w:pPr>
        <w:pStyle w:val="T1"/>
        <w:spacing w:after="120"/>
      </w:pPr>
      <w:r>
        <w:t>Abstract</w:t>
      </w:r>
    </w:p>
    <w:p w14:paraId="0905B88C" w14:textId="4F15F67F" w:rsidR="004364ED" w:rsidRDefault="004364ED" w:rsidP="004364ED">
      <w:pPr>
        <w:jc w:val="both"/>
      </w:pPr>
      <w:r>
        <w:t>This document proposes comment resolutions to the following CIDs (</w:t>
      </w:r>
      <w:r w:rsidR="00724FFF">
        <w:t>6</w:t>
      </w:r>
      <w:r>
        <w:t xml:space="preserve"> CIDs) for </w:t>
      </w:r>
      <w:proofErr w:type="spellStart"/>
      <w:r>
        <w:t>TGaz</w:t>
      </w:r>
      <w:proofErr w:type="spellEnd"/>
      <w:r>
        <w:t xml:space="preserve"> D1.0:</w:t>
      </w:r>
    </w:p>
    <w:p w14:paraId="0B6EF416" w14:textId="20F6AC63" w:rsidR="001A3230" w:rsidRDefault="004364ED" w:rsidP="005A1FCE">
      <w:pPr>
        <w:jc w:val="both"/>
        <w:rPr>
          <w:rFonts w:ascii="Calibri" w:hAnsi="Calibri" w:cs="Calibri"/>
          <w:color w:val="000000"/>
          <w:szCs w:val="22"/>
        </w:rPr>
      </w:pPr>
      <w:r w:rsidRPr="004F0672">
        <w:rPr>
          <w:rFonts w:ascii="Calibri" w:hAnsi="Calibri" w:cs="Calibri"/>
          <w:color w:val="000000"/>
          <w:szCs w:val="22"/>
        </w:rPr>
        <w:t>1172</w:t>
      </w:r>
      <w:r>
        <w:rPr>
          <w:rFonts w:ascii="Calibri" w:hAnsi="Calibri" w:cs="Calibri"/>
          <w:color w:val="000000"/>
          <w:szCs w:val="22"/>
        </w:rPr>
        <w:tab/>
      </w:r>
      <w:r w:rsidRPr="004F0672">
        <w:rPr>
          <w:rFonts w:ascii="Calibri" w:hAnsi="Calibri" w:cs="Calibri"/>
          <w:color w:val="000000"/>
          <w:szCs w:val="22"/>
        </w:rPr>
        <w:t>1731</w:t>
      </w:r>
      <w:r>
        <w:rPr>
          <w:rFonts w:ascii="Calibri" w:hAnsi="Calibri" w:cs="Calibri"/>
          <w:color w:val="000000"/>
          <w:szCs w:val="22"/>
        </w:rPr>
        <w:tab/>
      </w:r>
      <w:r w:rsidRPr="004F0672">
        <w:rPr>
          <w:rFonts w:ascii="Calibri" w:hAnsi="Calibri" w:cs="Calibri"/>
          <w:color w:val="000000"/>
          <w:szCs w:val="22"/>
        </w:rPr>
        <w:t>2477</w:t>
      </w:r>
      <w:r>
        <w:rPr>
          <w:rFonts w:ascii="Calibri" w:hAnsi="Calibri" w:cs="Calibri"/>
          <w:color w:val="000000"/>
          <w:szCs w:val="22"/>
        </w:rPr>
        <w:tab/>
      </w:r>
      <w:r w:rsidRPr="004F0672">
        <w:rPr>
          <w:rFonts w:ascii="Calibri" w:hAnsi="Calibri" w:cs="Calibri"/>
          <w:color w:val="000000"/>
          <w:szCs w:val="22"/>
        </w:rPr>
        <w:t>2502</w:t>
      </w:r>
      <w:r>
        <w:rPr>
          <w:rFonts w:ascii="Calibri" w:hAnsi="Calibri" w:cs="Calibri"/>
          <w:color w:val="000000"/>
          <w:szCs w:val="22"/>
        </w:rPr>
        <w:tab/>
      </w:r>
      <w:r w:rsidRPr="004F0672">
        <w:rPr>
          <w:rFonts w:ascii="Calibri" w:hAnsi="Calibri" w:cs="Calibri"/>
          <w:color w:val="000000"/>
          <w:szCs w:val="22"/>
        </w:rPr>
        <w:t>2503</w:t>
      </w:r>
      <w:r>
        <w:rPr>
          <w:rFonts w:ascii="Calibri" w:hAnsi="Calibri" w:cs="Calibri"/>
          <w:color w:val="000000"/>
          <w:szCs w:val="22"/>
        </w:rPr>
        <w:tab/>
      </w:r>
      <w:r w:rsidRPr="004F0672">
        <w:rPr>
          <w:rFonts w:ascii="Calibri" w:hAnsi="Calibri" w:cs="Calibri"/>
          <w:color w:val="000000"/>
          <w:szCs w:val="22"/>
        </w:rPr>
        <w:t>2504</w:t>
      </w:r>
      <w:r>
        <w:rPr>
          <w:rFonts w:ascii="Calibri" w:hAnsi="Calibri" w:cs="Calibri"/>
          <w:color w:val="000000"/>
          <w:szCs w:val="22"/>
        </w:rPr>
        <w:tab/>
      </w:r>
    </w:p>
    <w:p w14:paraId="32402510" w14:textId="77777777" w:rsidR="005A1FCE" w:rsidRDefault="005A1FCE" w:rsidP="005A1FCE">
      <w:pPr>
        <w:jc w:val="both"/>
        <w:rPr>
          <w:rFonts w:ascii="Calibri" w:hAnsi="Calibri" w:cs="Calibri"/>
          <w:color w:val="000000"/>
          <w:szCs w:val="22"/>
        </w:rPr>
      </w:pPr>
    </w:p>
    <w:p w14:paraId="3A96A3EB" w14:textId="74BA235F" w:rsidR="001A3230" w:rsidRDefault="001A3230" w:rsidP="001A3230">
      <w:pPr>
        <w:pStyle w:val="ListParagraph"/>
        <w:ind w:left="360"/>
      </w:pPr>
    </w:p>
    <w:p w14:paraId="401B437D" w14:textId="0F0C84BD" w:rsidR="00CE2745" w:rsidRDefault="00CE2745" w:rsidP="00CE2745">
      <w:pPr>
        <w:jc w:val="both"/>
      </w:pPr>
      <w:r>
        <w:t>Revisions:</w:t>
      </w:r>
    </w:p>
    <w:p w14:paraId="70F8F96F" w14:textId="2E2715B8" w:rsidR="00CE2745" w:rsidRDefault="00CE2745" w:rsidP="00CE2745">
      <w:pPr>
        <w:pStyle w:val="ListParagraph"/>
        <w:numPr>
          <w:ilvl w:val="0"/>
          <w:numId w:val="40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861DE2">
        <w:rPr>
          <w:sz w:val="22"/>
          <w:szCs w:val="20"/>
          <w:lang w:val="en-GB"/>
        </w:rPr>
        <w:t xml:space="preserve">Use </w:t>
      </w:r>
      <w:r w:rsidR="00986FBD">
        <w:rPr>
          <w:sz w:val="22"/>
          <w:szCs w:val="20"/>
          <w:lang w:val="en-GB"/>
        </w:rPr>
        <w:t xml:space="preserve">11az </w:t>
      </w:r>
      <w:r w:rsidR="00861DE2">
        <w:rPr>
          <w:sz w:val="22"/>
          <w:szCs w:val="20"/>
          <w:lang w:val="en-GB"/>
        </w:rPr>
        <w:t>D</w:t>
      </w:r>
      <w:r w:rsidR="00986FBD">
        <w:rPr>
          <w:sz w:val="22"/>
          <w:szCs w:val="20"/>
          <w:lang w:val="en-GB"/>
        </w:rPr>
        <w:t>1.0</w:t>
      </w:r>
      <w:r w:rsidR="0019062F">
        <w:rPr>
          <w:sz w:val="22"/>
          <w:szCs w:val="20"/>
          <w:lang w:val="en-GB"/>
        </w:rPr>
        <w:t xml:space="preserve"> as baseline spec text. </w:t>
      </w:r>
    </w:p>
    <w:p w14:paraId="23DA1808" w14:textId="3AD7EF57" w:rsidR="006571E8" w:rsidRDefault="006571E8" w:rsidP="006571E8">
      <w:pPr>
        <w:pStyle w:val="ListParagraph"/>
        <w:contextualSpacing w:val="0"/>
        <w:jc w:val="both"/>
        <w:rPr>
          <w:sz w:val="22"/>
          <w:szCs w:val="20"/>
          <w:lang w:val="en-GB"/>
        </w:rPr>
      </w:pPr>
    </w:p>
    <w:p w14:paraId="00D8BC48" w14:textId="77777777" w:rsidR="00D61EDD" w:rsidRPr="00CE2745" w:rsidRDefault="00D61EDD" w:rsidP="00CF7849">
      <w:pPr>
        <w:rPr>
          <w:lang w:val="en-GB"/>
        </w:rPr>
      </w:pPr>
    </w:p>
    <w:p w14:paraId="15BBD3AD" w14:textId="77777777" w:rsidR="00D61EDD" w:rsidRDefault="00D61EDD" w:rsidP="00CF7849"/>
    <w:p w14:paraId="61B44C31" w14:textId="77777777" w:rsidR="00D61EDD" w:rsidRDefault="00D61EDD" w:rsidP="00CF7849"/>
    <w:p w14:paraId="5CDBEFEB" w14:textId="77777777" w:rsidR="00D61EDD" w:rsidRDefault="00D61EDD" w:rsidP="00CF7849"/>
    <w:p w14:paraId="7C8FF31E" w14:textId="77777777" w:rsidR="00D61EDD" w:rsidRDefault="00D61EDD" w:rsidP="00CF7849"/>
    <w:p w14:paraId="396EC38E" w14:textId="77777777" w:rsidR="00D61EDD" w:rsidRDefault="00D61EDD" w:rsidP="00CF7849"/>
    <w:p w14:paraId="6950E996" w14:textId="77777777" w:rsidR="00D61EDD" w:rsidRDefault="00D61EDD" w:rsidP="00CF7849"/>
    <w:p w14:paraId="601E18E0" w14:textId="77777777" w:rsidR="00D61EDD" w:rsidRDefault="00D61EDD" w:rsidP="00CF7849"/>
    <w:p w14:paraId="7DAD2D1A" w14:textId="77777777" w:rsidR="00D61EDD" w:rsidRDefault="00D61EDD" w:rsidP="00CF7849"/>
    <w:p w14:paraId="77A83594" w14:textId="77777777" w:rsidR="00D61EDD" w:rsidRDefault="00D61EDD" w:rsidP="00CF7849"/>
    <w:p w14:paraId="0B1C67C7" w14:textId="77777777" w:rsidR="00D61EDD" w:rsidRDefault="00D61EDD" w:rsidP="00CF7849"/>
    <w:p w14:paraId="5BC5FE41" w14:textId="77777777" w:rsidR="00D61EDD" w:rsidRDefault="00D61EDD" w:rsidP="00CF7849"/>
    <w:p w14:paraId="55B7EFF5" w14:textId="77777777" w:rsidR="00D61EDD" w:rsidRDefault="00D61EDD" w:rsidP="00CF7849"/>
    <w:p w14:paraId="0C7D7CDF" w14:textId="77777777" w:rsidR="00D61EDD" w:rsidRDefault="00D61EDD" w:rsidP="00CF7849"/>
    <w:p w14:paraId="452C3BF2" w14:textId="77777777" w:rsidR="00D61EDD" w:rsidRDefault="00D61EDD" w:rsidP="00CF7849"/>
    <w:p w14:paraId="4D0490F3" w14:textId="77777777" w:rsidR="00D61EDD" w:rsidRDefault="00D61EDD" w:rsidP="00CF7849"/>
    <w:p w14:paraId="4339928B" w14:textId="77777777" w:rsidR="003A3E90" w:rsidRDefault="003A3E90" w:rsidP="00CF7849"/>
    <w:p w14:paraId="12B7B74A" w14:textId="77777777" w:rsidR="003A3E90" w:rsidRDefault="003A3E90" w:rsidP="00CF7849"/>
    <w:p w14:paraId="2CFF4EBA" w14:textId="77777777" w:rsidR="00D61EDD" w:rsidRDefault="00D61EDD" w:rsidP="00CF7849"/>
    <w:p w14:paraId="597BFBED" w14:textId="77777777" w:rsidR="00D61EDD" w:rsidRPr="00FC390A" w:rsidRDefault="00D61EDD" w:rsidP="00CF7849">
      <w:pPr>
        <w:rPr>
          <w:sz w:val="18"/>
          <w:szCs w:val="18"/>
        </w:rPr>
      </w:pPr>
    </w:p>
    <w:p w14:paraId="047CA272" w14:textId="77777777" w:rsidR="00D61EDD" w:rsidRDefault="00D61EDD" w:rsidP="00CF7849"/>
    <w:p w14:paraId="3C709FBE" w14:textId="77777777" w:rsidR="00D61EDD" w:rsidRDefault="00D61EDD" w:rsidP="00CF7849"/>
    <w:p w14:paraId="47AD1BEE" w14:textId="77777777" w:rsidR="00D61EDD" w:rsidRDefault="00D61EDD" w:rsidP="00CF7849"/>
    <w:p w14:paraId="5715667B" w14:textId="77777777" w:rsidR="00D61EDD" w:rsidRDefault="00D61EDD" w:rsidP="00CF7849"/>
    <w:p w14:paraId="6B096189" w14:textId="77777777" w:rsidR="00FC390A" w:rsidRDefault="00FC390A" w:rsidP="00CF7849"/>
    <w:p w14:paraId="61EFB157" w14:textId="5D2C6BF1" w:rsidR="00D61EDD" w:rsidRDefault="00D61EDD" w:rsidP="00CF7849"/>
    <w:p w14:paraId="0C35ED2C" w14:textId="77777777" w:rsidR="00BA5FD4" w:rsidRDefault="00BA5FD4" w:rsidP="00CF7849"/>
    <w:p w14:paraId="4911B75A" w14:textId="77777777" w:rsidR="000520F9" w:rsidRPr="004F3AF6" w:rsidRDefault="000520F9" w:rsidP="000520F9">
      <w:r w:rsidRPr="004F3AF6">
        <w:lastRenderedPageBreak/>
        <w:t>Interpretation of a Motion to Adopt</w:t>
      </w:r>
    </w:p>
    <w:p w14:paraId="47B3C612" w14:textId="77777777" w:rsidR="000520F9" w:rsidRPr="004C0F0A" w:rsidRDefault="000520F9" w:rsidP="000520F9">
      <w:pPr>
        <w:rPr>
          <w:lang w:eastAsia="ko-KR"/>
        </w:rPr>
      </w:pPr>
    </w:p>
    <w:p w14:paraId="56C27A3A" w14:textId="77777777" w:rsidR="000520F9" w:rsidRPr="004F3AF6" w:rsidRDefault="000520F9" w:rsidP="000520F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z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7DD7ED2A" w14:textId="77777777" w:rsidR="000520F9" w:rsidRPr="004F3AF6" w:rsidRDefault="000520F9" w:rsidP="000520F9">
      <w:pPr>
        <w:rPr>
          <w:lang w:eastAsia="ko-KR"/>
        </w:rPr>
      </w:pPr>
    </w:p>
    <w:p w14:paraId="5FB26C40" w14:textId="77777777" w:rsidR="000520F9" w:rsidRPr="004F3AF6" w:rsidRDefault="000520F9" w:rsidP="000520F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z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AEFC72A" w14:textId="77777777" w:rsidR="000520F9" w:rsidRPr="004F3AF6" w:rsidRDefault="000520F9" w:rsidP="000520F9">
      <w:pPr>
        <w:rPr>
          <w:lang w:eastAsia="ko-KR"/>
        </w:rPr>
      </w:pPr>
    </w:p>
    <w:p w14:paraId="3BB87006" w14:textId="77777777" w:rsidR="000520F9" w:rsidRDefault="000520F9" w:rsidP="000520F9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6501FB7F" w14:textId="25A9A3E3" w:rsidR="00FF0768" w:rsidRDefault="00FF0768" w:rsidP="00CF7849"/>
    <w:p w14:paraId="78010ABC" w14:textId="77777777" w:rsidR="000520F9" w:rsidRDefault="000520F9" w:rsidP="00CF7849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990"/>
        <w:gridCol w:w="2273"/>
        <w:gridCol w:w="3757"/>
      </w:tblGrid>
      <w:tr w:rsidR="000520F9" w:rsidRPr="002531D8" w14:paraId="2F17698F" w14:textId="77777777" w:rsidTr="00B36962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EB964B6" w14:textId="77777777" w:rsidR="000520F9" w:rsidRPr="002531D8" w:rsidRDefault="000520F9" w:rsidP="00B369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31D8">
              <w:rPr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19596E90" w14:textId="77777777" w:rsidR="000520F9" w:rsidRPr="002531D8" w:rsidRDefault="000520F9" w:rsidP="00B369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31D8">
              <w:rPr>
                <w:b/>
                <w:bCs/>
                <w:color w:val="000000"/>
                <w:sz w:val="20"/>
                <w:szCs w:val="20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6F358FD" w14:textId="77777777" w:rsidR="000520F9" w:rsidRPr="002531D8" w:rsidRDefault="000520F9" w:rsidP="00B369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531D8">
              <w:rPr>
                <w:b/>
                <w:bCs/>
                <w:color w:val="000000"/>
                <w:sz w:val="20"/>
                <w:szCs w:val="20"/>
              </w:rPr>
              <w:t>P.L</w:t>
            </w:r>
            <w:proofErr w:type="gramEnd"/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10A9B11D" w14:textId="77777777" w:rsidR="000520F9" w:rsidRPr="002531D8" w:rsidRDefault="000520F9" w:rsidP="00B369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31D8">
              <w:rPr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58FC58C9" w14:textId="77777777" w:rsidR="000520F9" w:rsidRPr="002531D8" w:rsidRDefault="000520F9" w:rsidP="00B369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31D8">
              <w:rPr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14:paraId="63E6FA26" w14:textId="77777777" w:rsidR="000520F9" w:rsidRPr="002531D8" w:rsidRDefault="000520F9" w:rsidP="00B369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31D8">
              <w:rPr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</w:tr>
      <w:tr w:rsidR="000520F9" w:rsidRPr="002531D8" w:rsidDel="006E1EB7" w14:paraId="19720170" w14:textId="77777777" w:rsidTr="00B36962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3039600D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061" w:type="dxa"/>
            <w:shd w:val="clear" w:color="auto" w:fill="auto"/>
            <w:noWrap/>
          </w:tcPr>
          <w:p w14:paraId="2426A90B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531D8">
              <w:rPr>
                <w:bCs/>
                <w:color w:val="000000"/>
                <w:sz w:val="20"/>
                <w:szCs w:val="20"/>
              </w:rPr>
              <w:t>Allert</w:t>
            </w:r>
            <w:proofErr w:type="spellEnd"/>
            <w:r w:rsidRPr="002531D8">
              <w:rPr>
                <w:bCs/>
                <w:color w:val="000000"/>
                <w:sz w:val="20"/>
                <w:szCs w:val="20"/>
              </w:rPr>
              <w:t xml:space="preserve"> Van </w:t>
            </w:r>
            <w:proofErr w:type="spellStart"/>
            <w:r w:rsidRPr="002531D8">
              <w:rPr>
                <w:bCs/>
                <w:color w:val="000000"/>
                <w:sz w:val="20"/>
                <w:szCs w:val="20"/>
              </w:rPr>
              <w:t>Zelst</w:t>
            </w:r>
            <w:proofErr w:type="spellEnd"/>
          </w:p>
          <w:p w14:paraId="7A2FC80F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61AE914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>146.08</w:t>
            </w:r>
          </w:p>
          <w:p w14:paraId="216C6109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auto"/>
            <w:noWrap/>
          </w:tcPr>
          <w:p w14:paraId="55D355A8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  <w:lang w:val="en-GB"/>
              </w:rPr>
              <w:t>Adding to a Chapter that is still in flux, because it is a draft itself, is dangerous and can break 11ax.</w:t>
            </w:r>
          </w:p>
          <w:p w14:paraId="278A017F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</w:tcPr>
          <w:p w14:paraId="74683B74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  <w:lang w:val="en-GB"/>
              </w:rPr>
              <w:t>Move the 11az PHY to its own clause, to not break the 11ax draft.</w:t>
            </w:r>
          </w:p>
          <w:p w14:paraId="5DBDB492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14:paraId="51C52060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 xml:space="preserve">Revised. </w:t>
            </w:r>
          </w:p>
          <w:p w14:paraId="1277ECD4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DC52E5A" w14:textId="4EC530EE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 xml:space="preserve">Agree in principle that it will be </w:t>
            </w:r>
            <w:proofErr w:type="gramStart"/>
            <w:r w:rsidRPr="002531D8">
              <w:rPr>
                <w:bCs/>
                <w:color w:val="000000"/>
                <w:sz w:val="20"/>
                <w:szCs w:val="20"/>
              </w:rPr>
              <w:t>more clear</w:t>
            </w:r>
            <w:proofErr w:type="gramEnd"/>
            <w:r w:rsidRPr="002531D8">
              <w:rPr>
                <w:bCs/>
                <w:color w:val="000000"/>
                <w:sz w:val="20"/>
                <w:szCs w:val="20"/>
              </w:rPr>
              <w:t xml:space="preserve"> to have a separate 11az PHY clause and use 11ax PHY clause 27 as a baseline. </w:t>
            </w:r>
            <w:r w:rsidR="001B7238">
              <w:rPr>
                <w:bCs/>
                <w:color w:val="000000"/>
                <w:sz w:val="20"/>
                <w:szCs w:val="20"/>
              </w:rPr>
              <w:t xml:space="preserve">However, since HE </w:t>
            </w:r>
            <w:proofErr w:type="gramStart"/>
            <w:r w:rsidR="001B7238">
              <w:rPr>
                <w:bCs/>
                <w:color w:val="000000"/>
                <w:sz w:val="20"/>
                <w:szCs w:val="20"/>
              </w:rPr>
              <w:t>Ranging</w:t>
            </w:r>
            <w:proofErr w:type="gramEnd"/>
            <w:r w:rsidR="001B7238">
              <w:rPr>
                <w:bCs/>
                <w:color w:val="000000"/>
                <w:sz w:val="20"/>
                <w:szCs w:val="20"/>
              </w:rPr>
              <w:t xml:space="preserve"> PHY is not a typical major PHY </w:t>
            </w:r>
            <w:r w:rsidR="000F411C">
              <w:rPr>
                <w:bCs/>
                <w:color w:val="000000"/>
                <w:sz w:val="20"/>
                <w:szCs w:val="20"/>
              </w:rPr>
              <w:t>entity</w:t>
            </w:r>
            <w:r w:rsidR="001B7238">
              <w:rPr>
                <w:bCs/>
                <w:color w:val="000000"/>
                <w:sz w:val="20"/>
                <w:szCs w:val="20"/>
              </w:rPr>
              <w:t xml:space="preserve"> but only a variant of HE PHY with a few modifications. We propose to have a few separate sub clause</w:t>
            </w:r>
            <w:r w:rsidR="00450947">
              <w:rPr>
                <w:bCs/>
                <w:color w:val="000000"/>
                <w:sz w:val="20"/>
                <w:szCs w:val="20"/>
              </w:rPr>
              <w:t>s</w:t>
            </w:r>
            <w:r w:rsidR="001B7238">
              <w:rPr>
                <w:bCs/>
                <w:color w:val="000000"/>
                <w:sz w:val="20"/>
                <w:szCs w:val="20"/>
              </w:rPr>
              <w:t xml:space="preserve"> defining HE </w:t>
            </w:r>
            <w:proofErr w:type="gramStart"/>
            <w:r w:rsidR="001B7238">
              <w:rPr>
                <w:bCs/>
                <w:color w:val="000000"/>
                <w:sz w:val="20"/>
                <w:szCs w:val="20"/>
              </w:rPr>
              <w:t>Ranging</w:t>
            </w:r>
            <w:proofErr w:type="gramEnd"/>
            <w:r w:rsidR="001B7238">
              <w:rPr>
                <w:bCs/>
                <w:color w:val="000000"/>
                <w:sz w:val="20"/>
                <w:szCs w:val="20"/>
              </w:rPr>
              <w:t xml:space="preserve"> PHY within HE PHY spec.  </w:t>
            </w:r>
          </w:p>
          <w:p w14:paraId="308FE20D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ADFDEC6" w14:textId="079B7428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531D8">
              <w:rPr>
                <w:bCs/>
                <w:color w:val="000000"/>
                <w:sz w:val="20"/>
                <w:szCs w:val="20"/>
              </w:rPr>
              <w:t>TGaz</w:t>
            </w:r>
            <w:proofErr w:type="spellEnd"/>
            <w:r w:rsidRPr="002531D8">
              <w:rPr>
                <w:bCs/>
                <w:color w:val="000000"/>
                <w:sz w:val="20"/>
                <w:szCs w:val="20"/>
              </w:rPr>
              <w:t xml:space="preserve"> Editor:  Please make changes to IEEE P802.11az D1.0 according to the proposed text changes as resolution to CID 1172</w:t>
            </w:r>
            <w:r w:rsidRPr="002531D8">
              <w:rPr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2531D8">
              <w:rPr>
                <w:bCs/>
                <w:color w:val="000000"/>
                <w:sz w:val="20"/>
                <w:szCs w:val="20"/>
              </w:rPr>
              <w:t>in 11-19/</w:t>
            </w:r>
            <w:r w:rsidR="00BA5FD4">
              <w:rPr>
                <w:bCs/>
                <w:color w:val="000000"/>
                <w:sz w:val="20"/>
                <w:szCs w:val="20"/>
              </w:rPr>
              <w:t>0699</w:t>
            </w:r>
            <w:r w:rsidRPr="002531D8">
              <w:rPr>
                <w:bCs/>
                <w:color w:val="000000"/>
                <w:sz w:val="20"/>
                <w:szCs w:val="20"/>
              </w:rPr>
              <w:t>r0</w:t>
            </w:r>
          </w:p>
        </w:tc>
      </w:tr>
      <w:tr w:rsidR="000520F9" w:rsidRPr="002531D8" w14:paraId="4696F013" w14:textId="77777777" w:rsidTr="00B36962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45ADDF4F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  <w:lang w:val="en-GB"/>
              </w:rPr>
              <w:t>1731</w:t>
            </w:r>
          </w:p>
          <w:p w14:paraId="3A5CA753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0F8BFBE3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531D8">
              <w:rPr>
                <w:bCs/>
                <w:color w:val="000000"/>
                <w:sz w:val="20"/>
                <w:szCs w:val="20"/>
                <w:lang w:val="en-GB"/>
              </w:rPr>
              <w:t>Hongyuan</w:t>
            </w:r>
            <w:proofErr w:type="spellEnd"/>
            <w:r w:rsidRPr="002531D8">
              <w:rPr>
                <w:bCs/>
                <w:color w:val="000000"/>
                <w:sz w:val="20"/>
                <w:szCs w:val="20"/>
                <w:lang w:val="en-GB"/>
              </w:rPr>
              <w:t xml:space="preserve"> Zhang</w:t>
            </w:r>
          </w:p>
          <w:p w14:paraId="084AFA0D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3F677C3F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  <w:lang w:val="en-GB"/>
              </w:rPr>
              <w:t>146.08</w:t>
            </w:r>
          </w:p>
          <w:p w14:paraId="00164738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auto"/>
            <w:noWrap/>
          </w:tcPr>
          <w:p w14:paraId="71B6EA03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  <w:lang w:val="en-GB"/>
              </w:rPr>
              <w:t>It is not convenient to write up PHY by revising on top of an on-going amendment (11ax).</w:t>
            </w:r>
          </w:p>
          <w:p w14:paraId="113C578D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</w:tcPr>
          <w:p w14:paraId="52F7710C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  <w:lang w:val="en-GB"/>
              </w:rPr>
              <w:t>Start a new PHY clause, similar to 11af (TVHT)</w:t>
            </w:r>
          </w:p>
          <w:p w14:paraId="79B8B55E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14:paraId="3E12D973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 xml:space="preserve">Revised. </w:t>
            </w:r>
          </w:p>
          <w:p w14:paraId="742CE5D1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9798958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 xml:space="preserve">See resolution for CID 1172. </w:t>
            </w:r>
          </w:p>
        </w:tc>
      </w:tr>
      <w:tr w:rsidR="000520F9" w:rsidRPr="002531D8" w14:paraId="21C49F79" w14:textId="77777777" w:rsidTr="00E00251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2784F387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>2477</w:t>
            </w:r>
          </w:p>
          <w:p w14:paraId="327F47BA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57EF8190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>Vincent Knowles IV Jones</w:t>
            </w:r>
          </w:p>
          <w:p w14:paraId="1A4A46BC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2E885079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  <w:lang w:val="en-GB"/>
              </w:rPr>
              <w:t>146.08</w:t>
            </w:r>
          </w:p>
          <w:p w14:paraId="3E83F1F2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auto"/>
            <w:noWrap/>
          </w:tcPr>
          <w:p w14:paraId="66E5AF66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 xml:space="preserve">The 11az draft is making many changes to the PHY section of 11ax.  Create a new section which describes the 11az PHY and do not modify Section 28.  This will prevent the industry from 11ax </w:t>
            </w:r>
            <w:proofErr w:type="spellStart"/>
            <w:r w:rsidRPr="002531D8">
              <w:rPr>
                <w:bCs/>
                <w:color w:val="000000"/>
                <w:sz w:val="20"/>
                <w:szCs w:val="20"/>
              </w:rPr>
              <w:t>interoperabiilty</w:t>
            </w:r>
            <w:proofErr w:type="spellEnd"/>
            <w:r w:rsidRPr="002531D8">
              <w:rPr>
                <w:bCs/>
                <w:color w:val="000000"/>
                <w:sz w:val="20"/>
                <w:szCs w:val="20"/>
              </w:rPr>
              <w:t xml:space="preserve"> problems.</w:t>
            </w:r>
          </w:p>
          <w:p w14:paraId="1486B7C5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</w:tcPr>
          <w:p w14:paraId="0F44C0A2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  <w:lang w:val="en-GB"/>
              </w:rPr>
              <w:t>Create a new section which describes the 11az PHY and do not modify Section 28.</w:t>
            </w:r>
          </w:p>
          <w:p w14:paraId="5B9EC5F1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57" w:type="dxa"/>
            <w:shd w:val="clear" w:color="auto" w:fill="auto"/>
          </w:tcPr>
          <w:p w14:paraId="751C8624" w14:textId="77777777" w:rsidR="000520F9" w:rsidRPr="002531D8" w:rsidRDefault="000520F9" w:rsidP="00E00251">
            <w:pPr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 xml:space="preserve">Revised. </w:t>
            </w:r>
          </w:p>
          <w:p w14:paraId="7C425658" w14:textId="75CC0270" w:rsidR="00432277" w:rsidRDefault="00432277" w:rsidP="00E00251">
            <w:pPr>
              <w:rPr>
                <w:bCs/>
                <w:color w:val="000000"/>
                <w:sz w:val="20"/>
                <w:szCs w:val="20"/>
              </w:rPr>
            </w:pPr>
          </w:p>
          <w:p w14:paraId="096749E0" w14:textId="77777777" w:rsidR="00432277" w:rsidRPr="002531D8" w:rsidRDefault="00432277" w:rsidP="00E00251">
            <w:pPr>
              <w:rPr>
                <w:bCs/>
                <w:color w:val="000000"/>
                <w:sz w:val="20"/>
                <w:szCs w:val="20"/>
              </w:rPr>
            </w:pPr>
          </w:p>
          <w:p w14:paraId="24490EAC" w14:textId="77777777" w:rsidR="000520F9" w:rsidRPr="002531D8" w:rsidRDefault="000520F9" w:rsidP="00E00251">
            <w:pPr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>See resolution for CID 1172.</w:t>
            </w:r>
          </w:p>
        </w:tc>
      </w:tr>
      <w:tr w:rsidR="000520F9" w:rsidRPr="002531D8" w14:paraId="6C433CE0" w14:textId="77777777" w:rsidTr="00E00251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0F26A746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>2502</w:t>
            </w:r>
          </w:p>
          <w:p w14:paraId="58EBD263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69F31560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531D8">
              <w:rPr>
                <w:bCs/>
                <w:color w:val="000000"/>
                <w:sz w:val="20"/>
                <w:szCs w:val="20"/>
              </w:rPr>
              <w:t>Youhan</w:t>
            </w:r>
            <w:proofErr w:type="spellEnd"/>
            <w:r w:rsidRPr="002531D8">
              <w:rPr>
                <w:bCs/>
                <w:color w:val="000000"/>
                <w:sz w:val="20"/>
                <w:szCs w:val="20"/>
              </w:rPr>
              <w:t xml:space="preserve"> Kim</w:t>
            </w:r>
          </w:p>
          <w:p w14:paraId="2D87F5EB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3F1FD61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  <w:lang w:val="en-GB"/>
              </w:rPr>
              <w:t>146.08</w:t>
            </w:r>
          </w:p>
          <w:p w14:paraId="0592573F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auto"/>
            <w:noWrap/>
          </w:tcPr>
          <w:p w14:paraId="5A29B9AB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 xml:space="preserve">11az PHY is substantially different from that of 11ax.  For example, GI has zero energy instead of cyclic prefix.  LTF sequences are randomized, and LTF uses 8-PSK.  LTF has repetition.  Introduces a yet another new HE TB PPDU mode with no data symbols.  11ax PE has no GI.  But 11az PE has GI.  Etc.  And a lot of the related text changes are breaking 11ax operation.  Furthermore, 11ax draft is still under development, thus is a moving target.  Making these </w:t>
            </w:r>
            <w:r w:rsidRPr="002531D8">
              <w:rPr>
                <w:bCs/>
                <w:color w:val="000000"/>
                <w:sz w:val="20"/>
                <w:szCs w:val="20"/>
              </w:rPr>
              <w:lastRenderedPageBreak/>
              <w:t>substantial changes on top of a moving target will create issues to both 11ax and 11az.  For example, P147L1 redefines APEP_LENGTH=0 for HE TB PPDU, which ends up disallowing a valid mode used in 11ax (respond to Trigger frame with EOF MPDU delimiters).</w:t>
            </w:r>
          </w:p>
          <w:p w14:paraId="0DC4AE4A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</w:tcPr>
          <w:p w14:paraId="4D5F0634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lastRenderedPageBreak/>
              <w:t>Do not modify 11ax Clause 28.   Rather, create a new PHY clause for 11az.  See, for example, how 11af took 11ac Clause 21 as a baseline, but spelled out changes separately in Clause 22.</w:t>
            </w:r>
          </w:p>
          <w:p w14:paraId="517DD101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57" w:type="dxa"/>
            <w:shd w:val="clear" w:color="auto" w:fill="auto"/>
          </w:tcPr>
          <w:p w14:paraId="62C80494" w14:textId="2E867E78" w:rsidR="000520F9" w:rsidRDefault="000520F9" w:rsidP="00E00251">
            <w:pPr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 xml:space="preserve">Revised. </w:t>
            </w:r>
          </w:p>
          <w:p w14:paraId="78AE9E21" w14:textId="5DF53E57" w:rsidR="00432277" w:rsidRDefault="00432277" w:rsidP="00E00251">
            <w:pPr>
              <w:rPr>
                <w:bCs/>
                <w:color w:val="000000"/>
                <w:sz w:val="20"/>
                <w:szCs w:val="20"/>
              </w:rPr>
            </w:pPr>
          </w:p>
          <w:p w14:paraId="302BEFFE" w14:textId="211CE7A8" w:rsidR="00C01C86" w:rsidRDefault="00432277" w:rsidP="0043227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Agree in principle. </w:t>
            </w:r>
            <w:r w:rsidR="002A06BC">
              <w:rPr>
                <w:bCs/>
                <w:color w:val="000000"/>
                <w:sz w:val="20"/>
                <w:szCs w:val="20"/>
              </w:rPr>
              <w:t xml:space="preserve">11az PHY are designed on top of 11ax PHY but has some </w:t>
            </w:r>
            <w:proofErr w:type="spellStart"/>
            <w:r w:rsidR="002A06BC">
              <w:rPr>
                <w:bCs/>
                <w:color w:val="000000"/>
                <w:sz w:val="20"/>
                <w:szCs w:val="20"/>
              </w:rPr>
              <w:t>modifations</w:t>
            </w:r>
            <w:proofErr w:type="spellEnd"/>
            <w:r w:rsidR="002A06BC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Move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all 11az related PHY </w:t>
            </w:r>
            <w:r w:rsidR="004031D5">
              <w:rPr>
                <w:bCs/>
                <w:color w:val="000000"/>
                <w:sz w:val="20"/>
                <w:szCs w:val="20"/>
              </w:rPr>
              <w:t xml:space="preserve">sub clauses </w:t>
            </w:r>
            <w:r>
              <w:rPr>
                <w:bCs/>
                <w:color w:val="000000"/>
                <w:sz w:val="20"/>
                <w:szCs w:val="20"/>
              </w:rPr>
              <w:t xml:space="preserve">into </w:t>
            </w:r>
            <w:r w:rsidR="00D175A8">
              <w:rPr>
                <w:bCs/>
                <w:color w:val="000000"/>
                <w:sz w:val="20"/>
                <w:szCs w:val="20"/>
              </w:rPr>
              <w:t>a sep</w:t>
            </w:r>
            <w:r w:rsidR="00A22EC2">
              <w:rPr>
                <w:bCs/>
                <w:color w:val="000000"/>
                <w:sz w:val="20"/>
                <w:szCs w:val="20"/>
              </w:rPr>
              <w:t>a</w:t>
            </w:r>
            <w:r w:rsidR="00D175A8">
              <w:rPr>
                <w:bCs/>
                <w:color w:val="000000"/>
                <w:sz w:val="20"/>
                <w:szCs w:val="20"/>
              </w:rPr>
              <w:t>rate</w:t>
            </w:r>
            <w:r>
              <w:rPr>
                <w:bCs/>
                <w:color w:val="000000"/>
                <w:sz w:val="20"/>
                <w:szCs w:val="20"/>
              </w:rPr>
              <w:t xml:space="preserve"> subclause </w:t>
            </w:r>
            <w:r w:rsidR="004031D5">
              <w:rPr>
                <w:bCs/>
                <w:color w:val="000000"/>
                <w:sz w:val="20"/>
                <w:szCs w:val="20"/>
              </w:rPr>
              <w:t>under</w:t>
            </w:r>
            <w:r>
              <w:rPr>
                <w:bCs/>
                <w:color w:val="000000"/>
                <w:sz w:val="20"/>
                <w:szCs w:val="20"/>
              </w:rPr>
              <w:t xml:space="preserve"> 11ax PHY clause</w:t>
            </w:r>
            <w:r w:rsidR="004031D5">
              <w:rPr>
                <w:bCs/>
                <w:color w:val="000000"/>
                <w:sz w:val="20"/>
                <w:szCs w:val="20"/>
              </w:rPr>
              <w:t xml:space="preserve"> but not mix with other 11ax PHY subclauses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2241C6E0" w14:textId="77777777" w:rsidR="00C01C86" w:rsidRDefault="00C01C86" w:rsidP="00432277">
            <w:pPr>
              <w:rPr>
                <w:bCs/>
                <w:color w:val="000000"/>
                <w:sz w:val="20"/>
                <w:szCs w:val="20"/>
              </w:rPr>
            </w:pPr>
          </w:p>
          <w:p w14:paraId="0C619345" w14:textId="77777777" w:rsidR="000520F9" w:rsidRDefault="000520F9" w:rsidP="00432277">
            <w:pPr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>See resolution for CID 1172.</w:t>
            </w:r>
          </w:p>
          <w:p w14:paraId="4DDA8AC3" w14:textId="77777777" w:rsidR="00C01C86" w:rsidRDefault="00C01C86" w:rsidP="00432277">
            <w:pPr>
              <w:rPr>
                <w:bCs/>
                <w:color w:val="000000"/>
                <w:sz w:val="20"/>
                <w:szCs w:val="20"/>
              </w:rPr>
            </w:pPr>
          </w:p>
          <w:p w14:paraId="7EF54ACE" w14:textId="5488C4C5" w:rsidR="00C01C86" w:rsidRDefault="00C01C86" w:rsidP="0043227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For </w:t>
            </w:r>
            <w:r w:rsidR="00D175A8">
              <w:rPr>
                <w:bCs/>
                <w:color w:val="000000"/>
                <w:sz w:val="20"/>
                <w:szCs w:val="20"/>
              </w:rPr>
              <w:t xml:space="preserve">the breaking signaling of HE </w:t>
            </w:r>
            <w:r w:rsidR="00A22EC2">
              <w:rPr>
                <w:bCs/>
                <w:color w:val="000000"/>
                <w:sz w:val="20"/>
                <w:szCs w:val="20"/>
              </w:rPr>
              <w:t xml:space="preserve">TB </w:t>
            </w:r>
            <w:r w:rsidR="00D175A8">
              <w:rPr>
                <w:bCs/>
                <w:color w:val="000000"/>
                <w:sz w:val="20"/>
                <w:szCs w:val="20"/>
              </w:rPr>
              <w:t xml:space="preserve">Ranging </w:t>
            </w:r>
            <w:r w:rsidR="00A22EC2">
              <w:rPr>
                <w:bCs/>
                <w:color w:val="000000"/>
                <w:sz w:val="20"/>
                <w:szCs w:val="20"/>
              </w:rPr>
              <w:t xml:space="preserve">NDP format in </w:t>
            </w:r>
            <w:r w:rsidR="00A22EC2">
              <w:rPr>
                <w:bCs/>
                <w:color w:val="000000"/>
                <w:sz w:val="20"/>
                <w:szCs w:val="20"/>
              </w:rPr>
              <w:lastRenderedPageBreak/>
              <w:t xml:space="preserve">TXVECTOR/RXVECTOR, need to define a separate PHY service interface for 11az.  </w:t>
            </w:r>
          </w:p>
          <w:p w14:paraId="7B373872" w14:textId="77777777" w:rsidR="00C01C86" w:rsidRDefault="00C01C86" w:rsidP="00432277">
            <w:pPr>
              <w:rPr>
                <w:bCs/>
                <w:color w:val="000000"/>
                <w:sz w:val="20"/>
                <w:szCs w:val="20"/>
              </w:rPr>
            </w:pPr>
          </w:p>
          <w:p w14:paraId="628A3C96" w14:textId="668A50B5" w:rsidR="00C01C86" w:rsidRPr="002531D8" w:rsidRDefault="00C01C86" w:rsidP="0043227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See resolution for CID 2360. </w:t>
            </w:r>
          </w:p>
        </w:tc>
      </w:tr>
      <w:tr w:rsidR="000520F9" w:rsidRPr="002531D8" w14:paraId="16527558" w14:textId="77777777" w:rsidTr="00E00251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6A835D46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>2503</w:t>
            </w:r>
          </w:p>
          <w:p w14:paraId="4C9E4907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6F648262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531D8">
              <w:rPr>
                <w:bCs/>
                <w:color w:val="000000"/>
                <w:sz w:val="20"/>
                <w:szCs w:val="20"/>
              </w:rPr>
              <w:t>Youhan</w:t>
            </w:r>
            <w:proofErr w:type="spellEnd"/>
            <w:r w:rsidRPr="002531D8">
              <w:rPr>
                <w:bCs/>
                <w:color w:val="000000"/>
                <w:sz w:val="20"/>
                <w:szCs w:val="20"/>
              </w:rPr>
              <w:t xml:space="preserve"> Kim</w:t>
            </w:r>
          </w:p>
          <w:p w14:paraId="7DEAD891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35833354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>147.01</w:t>
            </w:r>
          </w:p>
          <w:p w14:paraId="0554F2B7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auto"/>
            <w:noWrap/>
          </w:tcPr>
          <w:p w14:paraId="26EFF7C0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>In 11ax, APEP_LENGTH=0 for HE TB PPDU means that the STA has no MPDUs to transmit.  But now, 11az is redefining APEP_LENGHT=0 in HE TBPPPDU to mean randomizing the LTF sequence.  This breaks 11ax UL OFDMA/MU-MIMO operation.</w:t>
            </w:r>
          </w:p>
          <w:p w14:paraId="5F004D1A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</w:tcPr>
          <w:p w14:paraId="299ABBCF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>Do not break 11ax.  Move 11az to a new PHY clause.</w:t>
            </w:r>
          </w:p>
          <w:p w14:paraId="3023B41D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57" w:type="dxa"/>
            <w:shd w:val="clear" w:color="auto" w:fill="auto"/>
          </w:tcPr>
          <w:p w14:paraId="64C1940D" w14:textId="77777777" w:rsidR="000520F9" w:rsidRPr="002531D8" w:rsidRDefault="000520F9" w:rsidP="00E00251">
            <w:pPr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 xml:space="preserve">Revised. </w:t>
            </w:r>
          </w:p>
          <w:p w14:paraId="7159968E" w14:textId="77777777" w:rsidR="000520F9" w:rsidRPr="002531D8" w:rsidRDefault="000520F9" w:rsidP="00E00251">
            <w:pPr>
              <w:rPr>
                <w:bCs/>
                <w:color w:val="000000"/>
                <w:sz w:val="20"/>
                <w:szCs w:val="20"/>
              </w:rPr>
            </w:pPr>
          </w:p>
          <w:p w14:paraId="14F1ABA4" w14:textId="7B2334D7" w:rsidR="000520F9" w:rsidRPr="002531D8" w:rsidRDefault="000520F9" w:rsidP="00E00251">
            <w:pPr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 xml:space="preserve">See resolution for CID </w:t>
            </w:r>
            <w:r w:rsidR="00C01C86">
              <w:rPr>
                <w:bCs/>
                <w:color w:val="000000"/>
                <w:sz w:val="20"/>
                <w:szCs w:val="20"/>
              </w:rPr>
              <w:t>2502</w:t>
            </w:r>
            <w:r w:rsidRPr="002531D8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520F9" w:rsidRPr="002531D8" w14:paraId="5D447B2F" w14:textId="77777777" w:rsidTr="00E00251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746C5E5F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>2504</w:t>
            </w:r>
          </w:p>
          <w:p w14:paraId="7C6D658F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0BDE1351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531D8">
              <w:rPr>
                <w:bCs/>
                <w:color w:val="000000"/>
                <w:sz w:val="20"/>
                <w:szCs w:val="20"/>
              </w:rPr>
              <w:t>Youhan</w:t>
            </w:r>
            <w:proofErr w:type="spellEnd"/>
            <w:r w:rsidRPr="002531D8">
              <w:rPr>
                <w:bCs/>
                <w:color w:val="000000"/>
                <w:sz w:val="20"/>
                <w:szCs w:val="20"/>
              </w:rPr>
              <w:t xml:space="preserve"> Kim</w:t>
            </w:r>
          </w:p>
          <w:p w14:paraId="6197C159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15E152A5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>148.01</w:t>
            </w:r>
          </w:p>
          <w:p w14:paraId="002C3938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auto"/>
            <w:noWrap/>
          </w:tcPr>
          <w:p w14:paraId="3B9BD271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  <w:lang w:val="en-GB"/>
              </w:rPr>
              <w:t>In 11ax, APEP_LENGTH=0 for HE TB PPDU means that the STA has no MPDUs to transmit.  With this change on P148, 11az has removed ability of 11ax STAs to respond to Trigger frames w/ EOF MPDU delimiters.</w:t>
            </w:r>
          </w:p>
        </w:tc>
        <w:tc>
          <w:tcPr>
            <w:tcW w:w="2273" w:type="dxa"/>
            <w:shd w:val="clear" w:color="auto" w:fill="auto"/>
            <w:noWrap/>
          </w:tcPr>
          <w:p w14:paraId="63E4FC43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  <w:lang w:val="en-GB"/>
              </w:rPr>
              <w:t>Do not break 11ax.  Move 11az to a new PHY clause.</w:t>
            </w:r>
          </w:p>
          <w:p w14:paraId="62AE7BF1" w14:textId="77777777" w:rsidR="000520F9" w:rsidRPr="002531D8" w:rsidRDefault="000520F9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57" w:type="dxa"/>
            <w:shd w:val="clear" w:color="auto" w:fill="auto"/>
          </w:tcPr>
          <w:p w14:paraId="5AD5B214" w14:textId="77777777" w:rsidR="000520F9" w:rsidRPr="002531D8" w:rsidRDefault="000520F9" w:rsidP="00E00251">
            <w:pPr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 xml:space="preserve">Revised. </w:t>
            </w:r>
          </w:p>
          <w:p w14:paraId="531D87D3" w14:textId="77777777" w:rsidR="000520F9" w:rsidRPr="002531D8" w:rsidRDefault="000520F9" w:rsidP="00E00251">
            <w:pPr>
              <w:rPr>
                <w:bCs/>
                <w:color w:val="000000"/>
                <w:sz w:val="20"/>
                <w:szCs w:val="20"/>
              </w:rPr>
            </w:pPr>
          </w:p>
          <w:p w14:paraId="2EF08C56" w14:textId="0D4699E6" w:rsidR="000520F9" w:rsidRPr="002531D8" w:rsidRDefault="000520F9" w:rsidP="00E00251">
            <w:pPr>
              <w:rPr>
                <w:bCs/>
                <w:color w:val="000000"/>
                <w:sz w:val="20"/>
                <w:szCs w:val="20"/>
              </w:rPr>
            </w:pPr>
            <w:r w:rsidRPr="002531D8">
              <w:rPr>
                <w:bCs/>
                <w:color w:val="000000"/>
                <w:sz w:val="20"/>
                <w:szCs w:val="20"/>
              </w:rPr>
              <w:t xml:space="preserve">See resolution for CID </w:t>
            </w:r>
            <w:r w:rsidR="00C01C86">
              <w:rPr>
                <w:bCs/>
                <w:color w:val="000000"/>
                <w:sz w:val="20"/>
                <w:szCs w:val="20"/>
              </w:rPr>
              <w:t>2502</w:t>
            </w:r>
            <w:r w:rsidRPr="002531D8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14:paraId="3BD2A01E" w14:textId="77777777" w:rsidR="00DF13F5" w:rsidRDefault="00DF13F5" w:rsidP="000520F9">
      <w:pPr>
        <w:rPr>
          <w:b/>
          <w:bCs/>
          <w:i/>
          <w:iCs/>
        </w:rPr>
      </w:pPr>
    </w:p>
    <w:p w14:paraId="2DA3438B" w14:textId="77777777" w:rsidR="00450947" w:rsidRDefault="00450947" w:rsidP="000520F9">
      <w:pPr>
        <w:rPr>
          <w:b/>
          <w:bCs/>
          <w:i/>
          <w:iCs/>
          <w:highlight w:val="yellow"/>
        </w:rPr>
      </w:pPr>
    </w:p>
    <w:p w14:paraId="50970880" w14:textId="4477A8B2" w:rsidR="00450947" w:rsidRDefault="00450947" w:rsidP="000520F9">
      <w:pPr>
        <w:rPr>
          <w:b/>
          <w:bCs/>
          <w:i/>
          <w:iCs/>
          <w:highlight w:val="yellow"/>
        </w:rPr>
      </w:pPr>
    </w:p>
    <w:p w14:paraId="3D8F9C97" w14:textId="77777777" w:rsidR="007372ED" w:rsidRDefault="007372ED" w:rsidP="000520F9">
      <w:pPr>
        <w:rPr>
          <w:b/>
          <w:bCs/>
          <w:i/>
          <w:iCs/>
          <w:highlight w:val="yellow"/>
        </w:rPr>
      </w:pPr>
    </w:p>
    <w:p w14:paraId="773901F6" w14:textId="77777777" w:rsidR="00450947" w:rsidRDefault="00450947" w:rsidP="000520F9">
      <w:pPr>
        <w:rPr>
          <w:b/>
          <w:bCs/>
          <w:i/>
          <w:iCs/>
          <w:highlight w:val="yellow"/>
        </w:rPr>
      </w:pPr>
    </w:p>
    <w:p w14:paraId="049A0A28" w14:textId="4D2DF5BC" w:rsidR="000520F9" w:rsidRDefault="000520F9" w:rsidP="000520F9">
      <w:pPr>
        <w:rPr>
          <w:b/>
          <w:bCs/>
          <w:i/>
          <w:iCs/>
        </w:rPr>
      </w:pPr>
      <w:proofErr w:type="spellStart"/>
      <w:r w:rsidRPr="005F20AC">
        <w:rPr>
          <w:b/>
          <w:bCs/>
          <w:i/>
          <w:iCs/>
          <w:highlight w:val="yellow"/>
        </w:rPr>
        <w:t>TGaz</w:t>
      </w:r>
      <w:proofErr w:type="spellEnd"/>
      <w:r w:rsidRPr="005F20AC">
        <w:rPr>
          <w:b/>
          <w:bCs/>
          <w:i/>
          <w:iCs/>
          <w:highlight w:val="yellow"/>
        </w:rPr>
        <w:t xml:space="preserve"> Editor: Change the </w:t>
      </w:r>
      <w:r w:rsidR="004D0BD1" w:rsidRPr="005F20AC">
        <w:rPr>
          <w:b/>
          <w:bCs/>
          <w:i/>
          <w:iCs/>
          <w:highlight w:val="yellow"/>
        </w:rPr>
        <w:t xml:space="preserve">structure of clause 28 </w:t>
      </w:r>
      <w:r w:rsidRPr="005F20AC">
        <w:rPr>
          <w:b/>
          <w:bCs/>
          <w:i/>
          <w:iCs/>
          <w:highlight w:val="yellow"/>
        </w:rPr>
        <w:t>as follows:</w:t>
      </w:r>
    </w:p>
    <w:p w14:paraId="7C0F8242" w14:textId="77777777" w:rsidR="004454BA" w:rsidRPr="004454BA" w:rsidRDefault="004454BA" w:rsidP="004454BA">
      <w:pPr>
        <w:pStyle w:val="NormalWeb"/>
        <w:rPr>
          <w:strike/>
          <w:color w:val="FF0000"/>
        </w:rPr>
      </w:pPr>
      <w:r w:rsidRPr="004454BA">
        <w:rPr>
          <w:rFonts w:ascii="Arial" w:hAnsi="Arial" w:cs="Arial"/>
          <w:b/>
          <w:bCs/>
          <w:strike/>
          <w:color w:val="FF0000"/>
        </w:rPr>
        <w:t xml:space="preserve">28 High Efficiency (HE) PHY specification </w:t>
      </w:r>
    </w:p>
    <w:p w14:paraId="503CF42E" w14:textId="2FD564C6" w:rsidR="004454BA" w:rsidRDefault="004454BA" w:rsidP="004454BA">
      <w:pPr>
        <w:pStyle w:val="NormalWeb"/>
        <w:rPr>
          <w:rFonts w:ascii="Arial" w:hAnsi="Arial" w:cs="Arial"/>
          <w:b/>
          <w:bCs/>
          <w:color w:val="FF0000"/>
        </w:rPr>
      </w:pPr>
      <w:r w:rsidRPr="004454BA">
        <w:rPr>
          <w:rFonts w:ascii="Arial" w:hAnsi="Arial" w:cs="Arial"/>
          <w:b/>
          <w:bCs/>
          <w:color w:val="FF0000"/>
        </w:rPr>
        <w:t>2</w:t>
      </w:r>
      <w:r>
        <w:rPr>
          <w:rFonts w:ascii="Arial" w:hAnsi="Arial" w:cs="Arial"/>
          <w:b/>
          <w:bCs/>
          <w:color w:val="FF0000"/>
        </w:rPr>
        <w:t>7.6</w:t>
      </w:r>
      <w:r w:rsidRPr="004454BA">
        <w:rPr>
          <w:rFonts w:ascii="Arial" w:hAnsi="Arial" w:cs="Arial"/>
          <w:b/>
          <w:bCs/>
          <w:color w:val="FF0000"/>
        </w:rPr>
        <w:t xml:space="preserve"> HE</w:t>
      </w:r>
      <w:r>
        <w:rPr>
          <w:rFonts w:ascii="Arial" w:hAnsi="Arial" w:cs="Arial"/>
          <w:b/>
          <w:bCs/>
          <w:color w:val="FF0000"/>
        </w:rPr>
        <w:t xml:space="preserve"> </w:t>
      </w:r>
      <w:proofErr w:type="gramStart"/>
      <w:r>
        <w:rPr>
          <w:rFonts w:ascii="Arial" w:hAnsi="Arial" w:cs="Arial"/>
          <w:b/>
          <w:bCs/>
          <w:color w:val="FF0000"/>
        </w:rPr>
        <w:t>Ranging</w:t>
      </w:r>
      <w:proofErr w:type="gramEnd"/>
      <w:r w:rsidRPr="004454BA">
        <w:rPr>
          <w:rFonts w:ascii="Arial" w:hAnsi="Arial" w:cs="Arial"/>
          <w:b/>
          <w:bCs/>
          <w:color w:val="FF0000"/>
        </w:rPr>
        <w:t xml:space="preserve"> PHY specification </w:t>
      </w:r>
    </w:p>
    <w:p w14:paraId="3B292705" w14:textId="77777777" w:rsidR="00195C13" w:rsidRDefault="00195C13" w:rsidP="00195C13">
      <w:pPr>
        <w:pStyle w:val="NormalWeb"/>
        <w:ind w:firstLine="72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27.6.1 Introduction</w:t>
      </w:r>
    </w:p>
    <w:p w14:paraId="2887CC35" w14:textId="7F58FC3F" w:rsidR="000A4D72" w:rsidRDefault="00C033A3" w:rsidP="00195C13">
      <w:pPr>
        <w:pStyle w:val="NormalWeb"/>
        <w:ind w:firstLine="72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T</w:t>
      </w:r>
      <w:r w:rsidR="00195C13">
        <w:rPr>
          <w:rFonts w:ascii="Arial" w:hAnsi="Arial" w:cs="Arial"/>
          <w:b/>
          <w:bCs/>
          <w:color w:val="FF0000"/>
        </w:rPr>
        <w:t>his subclause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CF745C">
        <w:rPr>
          <w:rFonts w:ascii="Arial" w:hAnsi="Arial" w:cs="Arial"/>
          <w:b/>
          <w:bCs/>
          <w:color w:val="FF0000"/>
        </w:rPr>
        <w:t xml:space="preserve">specifies the HE </w:t>
      </w:r>
      <w:proofErr w:type="gramStart"/>
      <w:r w:rsidR="00CF745C">
        <w:rPr>
          <w:rFonts w:ascii="Arial" w:hAnsi="Arial" w:cs="Arial"/>
          <w:b/>
          <w:bCs/>
          <w:color w:val="FF0000"/>
        </w:rPr>
        <w:t>Ranging</w:t>
      </w:r>
      <w:proofErr w:type="gramEnd"/>
      <w:r w:rsidR="00CF745C">
        <w:rPr>
          <w:rFonts w:ascii="Arial" w:hAnsi="Arial" w:cs="Arial"/>
          <w:b/>
          <w:bCs/>
          <w:color w:val="FF0000"/>
        </w:rPr>
        <w:t xml:space="preserve"> PHY </w:t>
      </w:r>
      <w:r w:rsidR="00FE1AAA">
        <w:rPr>
          <w:rFonts w:ascii="Arial" w:hAnsi="Arial" w:cs="Arial"/>
          <w:b/>
          <w:bCs/>
          <w:color w:val="FF0000"/>
        </w:rPr>
        <w:t>based on</w:t>
      </w:r>
      <w:r w:rsidR="00CF745C">
        <w:rPr>
          <w:rFonts w:ascii="Arial" w:hAnsi="Arial" w:cs="Arial"/>
          <w:b/>
          <w:bCs/>
          <w:color w:val="FF0000"/>
        </w:rPr>
        <w:t xml:space="preserve"> HE PHY specification. PHY service interface, Ranging PPDU formats and preamble for Ranging PPDUs are defined </w:t>
      </w:r>
      <w:r w:rsidR="00A624B5">
        <w:rPr>
          <w:rFonts w:ascii="Arial" w:hAnsi="Arial" w:cs="Arial"/>
          <w:b/>
          <w:bCs/>
          <w:color w:val="FF0000"/>
        </w:rPr>
        <w:t xml:space="preserve">in this sub clause </w:t>
      </w:r>
      <w:r w:rsidR="00CF745C">
        <w:rPr>
          <w:rFonts w:ascii="Arial" w:hAnsi="Arial" w:cs="Arial"/>
          <w:b/>
          <w:bCs/>
          <w:color w:val="FF0000"/>
        </w:rPr>
        <w:t xml:space="preserve">to support HE </w:t>
      </w:r>
      <w:proofErr w:type="gramStart"/>
      <w:r w:rsidR="00CF745C">
        <w:rPr>
          <w:rFonts w:ascii="Arial" w:hAnsi="Arial" w:cs="Arial"/>
          <w:b/>
          <w:bCs/>
          <w:color w:val="FF0000"/>
        </w:rPr>
        <w:t>ranging</w:t>
      </w:r>
      <w:proofErr w:type="gramEnd"/>
      <w:r w:rsidR="001E01FB">
        <w:rPr>
          <w:rFonts w:ascii="Arial" w:hAnsi="Arial" w:cs="Arial"/>
          <w:b/>
          <w:bCs/>
          <w:color w:val="FF0000"/>
        </w:rPr>
        <w:t xml:space="preserve"> PHY</w:t>
      </w:r>
      <w:r w:rsidR="00CF745C">
        <w:rPr>
          <w:rFonts w:ascii="Arial" w:hAnsi="Arial" w:cs="Arial"/>
          <w:b/>
          <w:bCs/>
          <w:color w:val="FF0000"/>
        </w:rPr>
        <w:t xml:space="preserve">.  </w:t>
      </w:r>
      <w:r w:rsidR="00195C13">
        <w:rPr>
          <w:rFonts w:ascii="Arial" w:hAnsi="Arial" w:cs="Arial"/>
          <w:b/>
          <w:bCs/>
          <w:color w:val="FF0000"/>
        </w:rPr>
        <w:t xml:space="preserve"> </w:t>
      </w:r>
    </w:p>
    <w:p w14:paraId="7B9E1935" w14:textId="445D4F60" w:rsidR="004454BA" w:rsidRDefault="004454BA" w:rsidP="00251CE6">
      <w:pPr>
        <w:pStyle w:val="NormalWeb"/>
        <w:ind w:firstLine="720"/>
        <w:rPr>
          <w:rFonts w:ascii="Arial" w:hAnsi="Arial" w:cs="Arial"/>
          <w:b/>
          <w:bCs/>
          <w:strike/>
          <w:color w:val="FF0000"/>
          <w:sz w:val="22"/>
          <w:szCs w:val="22"/>
        </w:rPr>
      </w:pPr>
      <w:r w:rsidRPr="004454BA">
        <w:rPr>
          <w:rFonts w:ascii="Arial" w:hAnsi="Arial" w:cs="Arial"/>
          <w:b/>
          <w:bCs/>
          <w:strike/>
          <w:color w:val="FF0000"/>
          <w:sz w:val="22"/>
          <w:szCs w:val="22"/>
        </w:rPr>
        <w:t xml:space="preserve">28.2 HE PHY service interface </w:t>
      </w:r>
    </w:p>
    <w:p w14:paraId="4ABADD22" w14:textId="605D646B" w:rsidR="004454BA" w:rsidRDefault="004454BA" w:rsidP="009422D4">
      <w:pPr>
        <w:pStyle w:val="NormalWeb"/>
        <w:ind w:firstLine="720"/>
        <w:rPr>
          <w:rFonts w:ascii="Arial" w:hAnsi="Arial" w:cs="Arial"/>
          <w:b/>
          <w:bCs/>
          <w:color w:val="FF0000"/>
          <w:sz w:val="22"/>
          <w:szCs w:val="22"/>
        </w:rPr>
      </w:pPr>
      <w:r w:rsidRPr="004454BA">
        <w:rPr>
          <w:rFonts w:ascii="Arial" w:hAnsi="Arial" w:cs="Arial"/>
          <w:b/>
          <w:bCs/>
          <w:color w:val="FF0000"/>
          <w:sz w:val="22"/>
          <w:szCs w:val="22"/>
        </w:rPr>
        <w:t>27.6.</w:t>
      </w:r>
      <w:r w:rsidR="00195C13">
        <w:rPr>
          <w:rFonts w:ascii="Arial" w:hAnsi="Arial" w:cs="Arial"/>
          <w:b/>
          <w:bCs/>
          <w:color w:val="FF0000"/>
          <w:sz w:val="22"/>
          <w:szCs w:val="22"/>
        </w:rPr>
        <w:t>2</w:t>
      </w:r>
      <w:r w:rsidRPr="004454BA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HE </w:t>
      </w:r>
      <w:proofErr w:type="gramStart"/>
      <w:r>
        <w:rPr>
          <w:rFonts w:ascii="Arial" w:hAnsi="Arial" w:cs="Arial"/>
          <w:b/>
          <w:bCs/>
          <w:color w:val="FF0000"/>
          <w:sz w:val="22"/>
          <w:szCs w:val="22"/>
        </w:rPr>
        <w:t>Ranging</w:t>
      </w:r>
      <w:proofErr w:type="gramEnd"/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PHY service interface</w:t>
      </w:r>
    </w:p>
    <w:p w14:paraId="09AB6247" w14:textId="0B268F97" w:rsidR="000A4D72" w:rsidRDefault="00251CE6" w:rsidP="00836E15">
      <w:pPr>
        <w:pStyle w:val="NormalWeb"/>
        <w:ind w:left="720" w:firstLine="720"/>
        <w:rPr>
          <w:rFonts w:ascii="Arial" w:hAnsi="Arial" w:cs="Arial"/>
          <w:b/>
          <w:bCs/>
          <w:color w:val="FF0000"/>
          <w:sz w:val="20"/>
          <w:szCs w:val="20"/>
        </w:rPr>
      </w:pPr>
      <w:r w:rsidRPr="00251CE6">
        <w:rPr>
          <w:rFonts w:ascii="Arial" w:hAnsi="Arial" w:cs="Arial"/>
          <w:b/>
          <w:bCs/>
          <w:strike/>
          <w:color w:val="FF0000"/>
          <w:sz w:val="22"/>
          <w:szCs w:val="22"/>
        </w:rPr>
        <w:t>28.2.2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0A4D72">
        <w:rPr>
          <w:rFonts w:ascii="Arial" w:hAnsi="Arial" w:cs="Arial"/>
          <w:b/>
          <w:bCs/>
          <w:color w:val="FF0000"/>
          <w:sz w:val="22"/>
          <w:szCs w:val="22"/>
        </w:rPr>
        <w:t>27.6.</w:t>
      </w:r>
      <w:r w:rsidR="00195C13">
        <w:rPr>
          <w:rFonts w:ascii="Arial" w:hAnsi="Arial" w:cs="Arial"/>
          <w:b/>
          <w:bCs/>
          <w:color w:val="FF0000"/>
          <w:sz w:val="22"/>
          <w:szCs w:val="22"/>
        </w:rPr>
        <w:t>2</w:t>
      </w:r>
      <w:r w:rsidR="000A4D72">
        <w:rPr>
          <w:rFonts w:ascii="Arial" w:hAnsi="Arial" w:cs="Arial"/>
          <w:b/>
          <w:bCs/>
          <w:color w:val="FF0000"/>
          <w:sz w:val="22"/>
          <w:szCs w:val="22"/>
        </w:rPr>
        <w:t xml:space="preserve">.1 </w:t>
      </w:r>
      <w:r w:rsidR="000A4D72" w:rsidRPr="000A4D72">
        <w:rPr>
          <w:rFonts w:ascii="Arial" w:hAnsi="Arial" w:cs="Arial"/>
          <w:b/>
          <w:bCs/>
          <w:color w:val="FF0000"/>
          <w:sz w:val="20"/>
          <w:szCs w:val="20"/>
        </w:rPr>
        <w:t xml:space="preserve">TXVECTOR and RXVECTOR parameters </w:t>
      </w:r>
    </w:p>
    <w:p w14:paraId="4275FD57" w14:textId="420C964F" w:rsidR="000A4D72" w:rsidRDefault="00634DCA" w:rsidP="00836E15">
      <w:pPr>
        <w:pStyle w:val="NormalWeb"/>
        <w:ind w:left="720" w:firstLine="720"/>
        <w:rPr>
          <w:rFonts w:ascii="Arial" w:hAnsi="Arial" w:cs="Arial"/>
          <w:b/>
          <w:bCs/>
          <w:color w:val="FF0000"/>
          <w:sz w:val="22"/>
          <w:szCs w:val="22"/>
        </w:rPr>
      </w:pPr>
      <w:r w:rsidRPr="00634DCA">
        <w:rPr>
          <w:rFonts w:ascii="Arial" w:hAnsi="Arial" w:cs="Arial"/>
          <w:b/>
          <w:bCs/>
          <w:strike/>
          <w:color w:val="FF0000"/>
          <w:sz w:val="22"/>
          <w:szCs w:val="22"/>
        </w:rPr>
        <w:t>28.2.3a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0A4D72">
        <w:rPr>
          <w:rFonts w:ascii="Arial" w:hAnsi="Arial" w:cs="Arial"/>
          <w:b/>
          <w:bCs/>
          <w:color w:val="FF0000"/>
          <w:sz w:val="22"/>
          <w:szCs w:val="22"/>
        </w:rPr>
        <w:t>27.6.</w:t>
      </w:r>
      <w:r w:rsidR="00195C13">
        <w:rPr>
          <w:rFonts w:ascii="Arial" w:hAnsi="Arial" w:cs="Arial"/>
          <w:b/>
          <w:bCs/>
          <w:color w:val="FF0000"/>
          <w:sz w:val="22"/>
          <w:szCs w:val="22"/>
        </w:rPr>
        <w:t>2</w:t>
      </w:r>
      <w:r w:rsidR="000A4D72">
        <w:rPr>
          <w:rFonts w:ascii="Arial" w:hAnsi="Arial" w:cs="Arial"/>
          <w:b/>
          <w:bCs/>
          <w:color w:val="FF0000"/>
          <w:sz w:val="22"/>
          <w:szCs w:val="22"/>
        </w:rPr>
        <w:t xml:space="preserve">.2 </w:t>
      </w:r>
      <w:r w:rsidR="00836E15">
        <w:rPr>
          <w:rFonts w:ascii="Arial" w:hAnsi="Arial" w:cs="Arial"/>
          <w:b/>
          <w:bCs/>
          <w:color w:val="FF0000"/>
          <w:sz w:val="22"/>
          <w:szCs w:val="22"/>
        </w:rPr>
        <w:t>LTFVECTOR parameters</w:t>
      </w:r>
    </w:p>
    <w:p w14:paraId="6FF7F2DE" w14:textId="77777777" w:rsidR="00836E15" w:rsidRDefault="00836E15" w:rsidP="00836E15">
      <w:pPr>
        <w:pStyle w:val="NormalWeb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ab/>
      </w:r>
    </w:p>
    <w:p w14:paraId="72905CF0" w14:textId="73B862B8" w:rsidR="004454BA" w:rsidRDefault="00634DCA" w:rsidP="00836E15">
      <w:pPr>
        <w:pStyle w:val="NormalWeb"/>
        <w:ind w:firstLine="720"/>
        <w:rPr>
          <w:rFonts w:ascii="Arial" w:hAnsi="Arial" w:cs="Arial"/>
          <w:b/>
          <w:bCs/>
          <w:color w:val="FF0000"/>
          <w:sz w:val="22"/>
          <w:szCs w:val="22"/>
        </w:rPr>
      </w:pPr>
      <w:r w:rsidRPr="00634DCA">
        <w:rPr>
          <w:rFonts w:ascii="Arial" w:hAnsi="Arial" w:cs="Arial"/>
          <w:b/>
          <w:bCs/>
          <w:strike/>
          <w:color w:val="FF0000"/>
          <w:sz w:val="22"/>
          <w:szCs w:val="22"/>
        </w:rPr>
        <w:lastRenderedPageBreak/>
        <w:t>28.3.4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836E15">
        <w:rPr>
          <w:rFonts w:ascii="Arial" w:hAnsi="Arial" w:cs="Arial"/>
          <w:b/>
          <w:bCs/>
          <w:color w:val="FF0000"/>
          <w:sz w:val="22"/>
          <w:szCs w:val="22"/>
        </w:rPr>
        <w:t>27.6.3</w:t>
      </w:r>
      <w:r w:rsidR="009422D4">
        <w:rPr>
          <w:rFonts w:ascii="Arial" w:hAnsi="Arial" w:cs="Arial"/>
          <w:b/>
          <w:bCs/>
          <w:color w:val="FF0000"/>
          <w:sz w:val="22"/>
          <w:szCs w:val="22"/>
        </w:rPr>
        <w:t xml:space="preserve"> HE </w:t>
      </w:r>
      <w:proofErr w:type="gramStart"/>
      <w:r w:rsidR="009422D4">
        <w:rPr>
          <w:rFonts w:ascii="Arial" w:hAnsi="Arial" w:cs="Arial"/>
          <w:b/>
          <w:bCs/>
          <w:color w:val="FF0000"/>
          <w:sz w:val="22"/>
          <w:szCs w:val="22"/>
        </w:rPr>
        <w:t>Ranging</w:t>
      </w:r>
      <w:proofErr w:type="gramEnd"/>
      <w:r w:rsidR="009422D4">
        <w:rPr>
          <w:rFonts w:ascii="Arial" w:hAnsi="Arial" w:cs="Arial"/>
          <w:b/>
          <w:bCs/>
          <w:color w:val="FF0000"/>
          <w:sz w:val="22"/>
          <w:szCs w:val="22"/>
        </w:rPr>
        <w:t xml:space="preserve"> PPDU formats</w:t>
      </w:r>
    </w:p>
    <w:p w14:paraId="697EF40B" w14:textId="2B01FC00" w:rsidR="000F542C" w:rsidRPr="00634DCA" w:rsidRDefault="000F542C" w:rsidP="000F542C">
      <w:pPr>
        <w:pStyle w:val="NormalWeb"/>
        <w:ind w:left="720"/>
        <w:rPr>
          <w:strike/>
          <w:color w:val="FF0000"/>
        </w:rPr>
      </w:pPr>
      <w:r w:rsidRPr="00634DCA">
        <w:rPr>
          <w:rFonts w:ascii="Arial" w:hAnsi="Arial" w:cs="Arial"/>
          <w:b/>
          <w:bCs/>
          <w:strike/>
          <w:color w:val="FF0000"/>
          <w:sz w:val="20"/>
          <w:szCs w:val="20"/>
        </w:rPr>
        <w:t xml:space="preserve">28.3.19 Receiver specification </w:t>
      </w:r>
    </w:p>
    <w:p w14:paraId="1CAE6103" w14:textId="416BEEEF" w:rsidR="009422D4" w:rsidRDefault="00D16554" w:rsidP="009422D4">
      <w:pPr>
        <w:pStyle w:val="NormalWeb"/>
        <w:ind w:left="720" w:firstLine="720"/>
        <w:rPr>
          <w:rFonts w:ascii="Arial" w:hAnsi="Arial" w:cs="Arial"/>
          <w:b/>
          <w:bCs/>
          <w:color w:val="FF0000"/>
          <w:sz w:val="22"/>
          <w:szCs w:val="22"/>
        </w:rPr>
      </w:pPr>
      <w:r w:rsidRPr="00D16554">
        <w:rPr>
          <w:rFonts w:ascii="Arial" w:hAnsi="Arial" w:cs="Arial"/>
          <w:b/>
          <w:bCs/>
          <w:strike/>
          <w:color w:val="FF0000"/>
          <w:sz w:val="22"/>
          <w:szCs w:val="22"/>
        </w:rPr>
        <w:t>28.3.19a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9422D4">
        <w:rPr>
          <w:rFonts w:ascii="Arial" w:hAnsi="Arial" w:cs="Arial"/>
          <w:b/>
          <w:bCs/>
          <w:color w:val="FF0000"/>
          <w:sz w:val="22"/>
          <w:szCs w:val="22"/>
        </w:rPr>
        <w:t>27.6.</w:t>
      </w:r>
      <w:r w:rsidR="00E3502E">
        <w:rPr>
          <w:rFonts w:ascii="Arial" w:hAnsi="Arial" w:cs="Arial"/>
          <w:b/>
          <w:bCs/>
          <w:color w:val="FF0000"/>
          <w:sz w:val="22"/>
          <w:szCs w:val="22"/>
        </w:rPr>
        <w:t>3</w:t>
      </w:r>
      <w:r w:rsidR="009422D4">
        <w:rPr>
          <w:rFonts w:ascii="Arial" w:hAnsi="Arial" w:cs="Arial"/>
          <w:b/>
          <w:bCs/>
          <w:color w:val="FF0000"/>
          <w:sz w:val="22"/>
          <w:szCs w:val="22"/>
        </w:rPr>
        <w:t xml:space="preserve">.1 HE </w:t>
      </w:r>
      <w:proofErr w:type="gramStart"/>
      <w:r w:rsidR="009422D4">
        <w:rPr>
          <w:rFonts w:ascii="Arial" w:hAnsi="Arial" w:cs="Arial"/>
          <w:b/>
          <w:bCs/>
          <w:color w:val="FF0000"/>
          <w:sz w:val="22"/>
          <w:szCs w:val="22"/>
        </w:rPr>
        <w:t>Ranging</w:t>
      </w:r>
      <w:proofErr w:type="gramEnd"/>
      <w:r w:rsidR="009422D4">
        <w:rPr>
          <w:rFonts w:ascii="Arial" w:hAnsi="Arial" w:cs="Arial"/>
          <w:b/>
          <w:bCs/>
          <w:color w:val="FF0000"/>
          <w:sz w:val="22"/>
          <w:szCs w:val="22"/>
        </w:rPr>
        <w:t xml:space="preserve"> NDP</w:t>
      </w:r>
    </w:p>
    <w:p w14:paraId="09F726DD" w14:textId="3F66B068" w:rsidR="009422D4" w:rsidRDefault="00D16554" w:rsidP="009422D4">
      <w:pPr>
        <w:pStyle w:val="NormalWeb"/>
        <w:ind w:left="720" w:firstLine="720"/>
        <w:rPr>
          <w:rFonts w:ascii="Arial" w:hAnsi="Arial" w:cs="Arial"/>
          <w:b/>
          <w:bCs/>
          <w:color w:val="FF0000"/>
          <w:sz w:val="22"/>
          <w:szCs w:val="22"/>
        </w:rPr>
      </w:pPr>
      <w:r w:rsidRPr="00D16554">
        <w:rPr>
          <w:rFonts w:ascii="Arial" w:hAnsi="Arial" w:cs="Arial"/>
          <w:b/>
          <w:bCs/>
          <w:strike/>
          <w:color w:val="FF0000"/>
          <w:sz w:val="22"/>
          <w:szCs w:val="22"/>
        </w:rPr>
        <w:t>28.3.17b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9422D4">
        <w:rPr>
          <w:rFonts w:ascii="Arial" w:hAnsi="Arial" w:cs="Arial" w:hint="eastAsia"/>
          <w:b/>
          <w:bCs/>
          <w:color w:val="FF0000"/>
          <w:sz w:val="22"/>
          <w:szCs w:val="22"/>
        </w:rPr>
        <w:t>2</w:t>
      </w:r>
      <w:r w:rsidR="009422D4">
        <w:rPr>
          <w:rFonts w:ascii="Arial" w:hAnsi="Arial" w:cs="Arial"/>
          <w:b/>
          <w:bCs/>
          <w:color w:val="FF0000"/>
          <w:sz w:val="22"/>
          <w:szCs w:val="22"/>
        </w:rPr>
        <w:t>7.6.</w:t>
      </w:r>
      <w:r w:rsidR="00E3502E">
        <w:rPr>
          <w:rFonts w:ascii="Arial" w:hAnsi="Arial" w:cs="Arial"/>
          <w:b/>
          <w:bCs/>
          <w:color w:val="FF0000"/>
          <w:sz w:val="22"/>
          <w:szCs w:val="22"/>
        </w:rPr>
        <w:t>3</w:t>
      </w:r>
      <w:r w:rsidR="009422D4">
        <w:rPr>
          <w:rFonts w:ascii="Arial" w:hAnsi="Arial" w:cs="Arial"/>
          <w:b/>
          <w:bCs/>
          <w:color w:val="FF0000"/>
          <w:sz w:val="22"/>
          <w:szCs w:val="22"/>
        </w:rPr>
        <w:t>.2 HE TB Ranging NDP</w:t>
      </w:r>
    </w:p>
    <w:p w14:paraId="58AE52F9" w14:textId="7CE93F10" w:rsidR="00CA6501" w:rsidRDefault="009422D4" w:rsidP="009422D4">
      <w:pPr>
        <w:pStyle w:val="NormalWeb"/>
        <w:ind w:firstLine="720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27.6.</w:t>
      </w:r>
      <w:r w:rsidR="00AD12A3">
        <w:rPr>
          <w:rFonts w:ascii="Arial" w:hAnsi="Arial" w:cs="Arial"/>
          <w:b/>
          <w:bCs/>
          <w:color w:val="FF0000"/>
          <w:sz w:val="22"/>
          <w:szCs w:val="22"/>
        </w:rPr>
        <w:t>4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A5484B">
        <w:rPr>
          <w:rFonts w:ascii="Arial" w:hAnsi="Arial" w:cs="Arial"/>
          <w:b/>
          <w:bCs/>
          <w:color w:val="FF0000"/>
          <w:sz w:val="22"/>
          <w:szCs w:val="22"/>
        </w:rPr>
        <w:t xml:space="preserve">Ranging </w:t>
      </w:r>
      <w:r w:rsidR="00CA6501">
        <w:rPr>
          <w:rFonts w:ascii="Arial" w:hAnsi="Arial" w:cs="Arial"/>
          <w:b/>
          <w:bCs/>
          <w:color w:val="FF0000"/>
          <w:sz w:val="22"/>
          <w:szCs w:val="22"/>
        </w:rPr>
        <w:t>Preamble</w:t>
      </w:r>
    </w:p>
    <w:p w14:paraId="4ABF8584" w14:textId="6BD6181A" w:rsidR="00A5484B" w:rsidRDefault="00A5484B" w:rsidP="009422D4">
      <w:pPr>
        <w:pStyle w:val="NormalWeb"/>
        <w:ind w:firstLine="720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The </w:t>
      </w:r>
      <w:r w:rsidR="00BA6A61">
        <w:rPr>
          <w:rFonts w:ascii="Arial" w:hAnsi="Arial" w:cs="Arial"/>
          <w:b/>
          <w:bCs/>
          <w:color w:val="FF0000"/>
          <w:sz w:val="22"/>
          <w:szCs w:val="22"/>
        </w:rPr>
        <w:t>p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reamble for HE </w:t>
      </w:r>
      <w:proofErr w:type="gramStart"/>
      <w:r>
        <w:rPr>
          <w:rFonts w:ascii="Arial" w:hAnsi="Arial" w:cs="Arial"/>
          <w:b/>
          <w:bCs/>
          <w:color w:val="FF0000"/>
          <w:sz w:val="22"/>
          <w:szCs w:val="22"/>
        </w:rPr>
        <w:t>Ranging</w:t>
      </w:r>
      <w:proofErr w:type="gramEnd"/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NDP PPDU is </w:t>
      </w:r>
      <w:r w:rsidR="00B41B70">
        <w:rPr>
          <w:rFonts w:ascii="Arial" w:hAnsi="Arial" w:cs="Arial"/>
          <w:b/>
          <w:bCs/>
          <w:color w:val="FF0000"/>
          <w:sz w:val="22"/>
          <w:szCs w:val="22"/>
        </w:rPr>
        <w:t xml:space="preserve">the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same as </w:t>
      </w:r>
      <w:r w:rsidR="00BA6A61">
        <w:rPr>
          <w:rFonts w:ascii="Arial" w:hAnsi="Arial" w:cs="Arial"/>
          <w:b/>
          <w:bCs/>
          <w:color w:val="FF0000"/>
          <w:sz w:val="22"/>
          <w:szCs w:val="22"/>
        </w:rPr>
        <w:t>HE SU PPDU except for the HE-LTF field. The preamble for HE TB Ranging NDP PPDU is</w:t>
      </w:r>
      <w:r w:rsidR="00B41B70">
        <w:rPr>
          <w:rFonts w:ascii="Arial" w:hAnsi="Arial" w:cs="Arial"/>
          <w:b/>
          <w:bCs/>
          <w:color w:val="FF0000"/>
          <w:sz w:val="22"/>
          <w:szCs w:val="22"/>
        </w:rPr>
        <w:t xml:space="preserve"> the</w:t>
      </w:r>
      <w:bookmarkStart w:id="0" w:name="_GoBack"/>
      <w:bookmarkEnd w:id="0"/>
      <w:r w:rsidR="00BA6A61">
        <w:rPr>
          <w:rFonts w:ascii="Arial" w:hAnsi="Arial" w:cs="Arial"/>
          <w:b/>
          <w:bCs/>
          <w:color w:val="FF0000"/>
          <w:sz w:val="22"/>
          <w:szCs w:val="22"/>
        </w:rPr>
        <w:t xml:space="preserve"> same as HE TB PPDU except for the HE-LTF field. </w:t>
      </w:r>
    </w:p>
    <w:p w14:paraId="0B8BF3B2" w14:textId="7F15FFB7" w:rsidR="009422D4" w:rsidRDefault="00CA6501" w:rsidP="00CA6501">
      <w:pPr>
        <w:pStyle w:val="NormalWeb"/>
        <w:ind w:left="720" w:firstLine="720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27.6.</w:t>
      </w:r>
      <w:r w:rsidR="00AD12A3">
        <w:rPr>
          <w:rFonts w:ascii="Arial" w:hAnsi="Arial" w:cs="Arial"/>
          <w:b/>
          <w:bCs/>
          <w:color w:val="FF0000"/>
          <w:sz w:val="22"/>
          <w:szCs w:val="22"/>
        </w:rPr>
        <w:t>4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.1 </w:t>
      </w:r>
      <w:r w:rsidR="009422D4">
        <w:rPr>
          <w:rFonts w:ascii="Arial" w:hAnsi="Arial" w:cs="Arial"/>
          <w:b/>
          <w:bCs/>
          <w:color w:val="FF0000"/>
          <w:sz w:val="22"/>
          <w:szCs w:val="22"/>
        </w:rPr>
        <w:t>Secure HE-LTF</w:t>
      </w:r>
    </w:p>
    <w:p w14:paraId="6B9B1ECF" w14:textId="6400F88E" w:rsidR="00822819" w:rsidRDefault="00822819" w:rsidP="009422D4">
      <w:pPr>
        <w:pStyle w:val="NormalWeb"/>
        <w:ind w:firstLine="720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C836A9" w:rsidRPr="00C836A9">
        <w:rPr>
          <w:rFonts w:ascii="Arial" w:hAnsi="Arial" w:cs="Arial"/>
          <w:b/>
          <w:bCs/>
          <w:strike/>
          <w:color w:val="FF0000"/>
          <w:sz w:val="22"/>
          <w:szCs w:val="22"/>
        </w:rPr>
        <w:t>28.3.17c</w:t>
      </w:r>
      <w:r w:rsidR="00C836A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>27.6.</w:t>
      </w:r>
      <w:r w:rsidR="00AD12A3">
        <w:rPr>
          <w:rFonts w:ascii="Arial" w:hAnsi="Arial" w:cs="Arial"/>
          <w:b/>
          <w:bCs/>
          <w:color w:val="FF0000"/>
          <w:sz w:val="22"/>
          <w:szCs w:val="22"/>
        </w:rPr>
        <w:t>4</w:t>
      </w:r>
      <w:r>
        <w:rPr>
          <w:rFonts w:ascii="Arial" w:hAnsi="Arial" w:cs="Arial"/>
          <w:b/>
          <w:bCs/>
          <w:color w:val="FF0000"/>
          <w:sz w:val="22"/>
          <w:szCs w:val="22"/>
        </w:rPr>
        <w:t>.</w:t>
      </w:r>
      <w:r w:rsidR="00CA6501">
        <w:rPr>
          <w:rFonts w:ascii="Arial" w:hAnsi="Arial" w:cs="Arial"/>
          <w:b/>
          <w:bCs/>
          <w:color w:val="FF0000"/>
          <w:sz w:val="22"/>
          <w:szCs w:val="22"/>
        </w:rPr>
        <w:t>1.</w:t>
      </w:r>
      <w:r>
        <w:rPr>
          <w:rFonts w:ascii="Arial" w:hAnsi="Arial" w:cs="Arial"/>
          <w:b/>
          <w:bCs/>
          <w:color w:val="FF0000"/>
          <w:sz w:val="22"/>
          <w:szCs w:val="22"/>
        </w:rPr>
        <w:t>1 Generation of Randomized LTF sequence</w:t>
      </w:r>
    </w:p>
    <w:p w14:paraId="2DADB80D" w14:textId="4E5D3893" w:rsidR="00822819" w:rsidRDefault="00822819" w:rsidP="009422D4">
      <w:pPr>
        <w:pStyle w:val="NormalWeb"/>
        <w:ind w:firstLine="720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C836A9" w:rsidRPr="00C836A9">
        <w:rPr>
          <w:rFonts w:ascii="Arial" w:hAnsi="Arial" w:cs="Arial"/>
          <w:b/>
          <w:bCs/>
          <w:strike/>
          <w:color w:val="FF0000"/>
          <w:sz w:val="22"/>
          <w:szCs w:val="22"/>
        </w:rPr>
        <w:t>28.3.17d</w:t>
      </w:r>
      <w:r w:rsidR="00C836A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>27.6.</w:t>
      </w:r>
      <w:r w:rsidR="00AD12A3">
        <w:rPr>
          <w:rFonts w:ascii="Arial" w:hAnsi="Arial" w:cs="Arial"/>
          <w:b/>
          <w:bCs/>
          <w:color w:val="FF0000"/>
          <w:sz w:val="22"/>
          <w:szCs w:val="22"/>
        </w:rPr>
        <w:t>4</w:t>
      </w:r>
      <w:r>
        <w:rPr>
          <w:rFonts w:ascii="Arial" w:hAnsi="Arial" w:cs="Arial"/>
          <w:b/>
          <w:bCs/>
          <w:color w:val="FF0000"/>
          <w:sz w:val="22"/>
          <w:szCs w:val="22"/>
        </w:rPr>
        <w:t>.</w:t>
      </w:r>
      <w:r w:rsidR="00CA6501">
        <w:rPr>
          <w:rFonts w:ascii="Arial" w:hAnsi="Arial" w:cs="Arial"/>
          <w:b/>
          <w:bCs/>
          <w:color w:val="FF0000"/>
          <w:sz w:val="22"/>
          <w:szCs w:val="22"/>
        </w:rPr>
        <w:t>1.</w:t>
      </w:r>
      <w:r>
        <w:rPr>
          <w:rFonts w:ascii="Arial" w:hAnsi="Arial" w:cs="Arial"/>
          <w:b/>
          <w:bCs/>
          <w:color w:val="FF0000"/>
          <w:sz w:val="22"/>
          <w:szCs w:val="22"/>
        </w:rPr>
        <w:t>2 Construction of Secure HE-LTF</w:t>
      </w:r>
    </w:p>
    <w:p w14:paraId="676A2CA8" w14:textId="77777777" w:rsidR="009422D4" w:rsidRPr="004454BA" w:rsidRDefault="009422D4" w:rsidP="004454BA">
      <w:pPr>
        <w:pStyle w:val="NormalWeb"/>
        <w:rPr>
          <w:color w:val="FF0000"/>
        </w:rPr>
      </w:pPr>
    </w:p>
    <w:p w14:paraId="284DA7CD" w14:textId="77777777" w:rsidR="00BC2449" w:rsidRDefault="00BC2449" w:rsidP="000520F9"/>
    <w:p w14:paraId="5DE37F67" w14:textId="31679FFA" w:rsidR="00AF0BAD" w:rsidRPr="005F20AC" w:rsidRDefault="000520F9" w:rsidP="005F20AC">
      <w:pPr>
        <w:rPr>
          <w:b/>
        </w:rPr>
      </w:pPr>
      <w:r>
        <w:rPr>
          <w:b/>
        </w:rPr>
        <w:t>References:</w:t>
      </w:r>
    </w:p>
    <w:sectPr w:rsidR="00AF0BAD" w:rsidRPr="005F20AC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A50D3" w14:textId="77777777" w:rsidR="008E2540" w:rsidRDefault="008E2540">
      <w:r>
        <w:separator/>
      </w:r>
    </w:p>
  </w:endnote>
  <w:endnote w:type="continuationSeparator" w:id="0">
    <w:p w14:paraId="03A103A7" w14:textId="77777777" w:rsidR="008E2540" w:rsidRDefault="008E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Arial Unicode MS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61CE" w14:textId="7680E232" w:rsidR="00DF65D7" w:rsidRPr="00EF1A28" w:rsidRDefault="00516648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="00DF65D7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DF65D7" w:rsidRPr="00EF1A28">
      <w:rPr>
        <w:lang w:val="fr-FR"/>
      </w:rPr>
      <w:tab/>
      <w:t xml:space="preserve">page </w:t>
    </w:r>
    <w:r w:rsidR="00DF65D7">
      <w:fldChar w:fldCharType="begin"/>
    </w:r>
    <w:r w:rsidR="00DF65D7" w:rsidRPr="00EF1A28">
      <w:rPr>
        <w:lang w:val="fr-FR"/>
      </w:rPr>
      <w:instrText xml:space="preserve">page </w:instrText>
    </w:r>
    <w:r w:rsidR="00DF65D7">
      <w:fldChar w:fldCharType="separate"/>
    </w:r>
    <w:r w:rsidR="00CD58DA">
      <w:rPr>
        <w:noProof/>
        <w:lang w:val="fr-FR"/>
      </w:rPr>
      <w:t>5</w:t>
    </w:r>
    <w:r w:rsidR="00DF65D7">
      <w:fldChar w:fldCharType="end"/>
    </w:r>
    <w:proofErr w:type="gramStart"/>
    <w:r w:rsidR="00DF65D7">
      <w:rPr>
        <w:lang w:val="fr-FR"/>
      </w:rPr>
      <w:tab/>
    </w:r>
    <w:r w:rsidR="005113C1">
      <w:rPr>
        <w:lang w:val="fr-FR"/>
      </w:rPr>
      <w:t xml:space="preserve">  </w:t>
    </w:r>
    <w:proofErr w:type="spellStart"/>
    <w:r w:rsidR="0085141F">
      <w:rPr>
        <w:lang w:val="fr-FR"/>
      </w:rPr>
      <w:t>Tianyu</w:t>
    </w:r>
    <w:proofErr w:type="spellEnd"/>
    <w:proofErr w:type="gramEnd"/>
    <w:r w:rsidR="0085141F">
      <w:rPr>
        <w:lang w:val="fr-FR"/>
      </w:rPr>
      <w:t xml:space="preserve"> Wu</w:t>
    </w:r>
    <w:r w:rsidR="00DF65D7">
      <w:rPr>
        <w:lang w:val="fr-FR"/>
      </w:rPr>
      <w:t xml:space="preserve"> (</w:t>
    </w:r>
    <w:r w:rsidR="004364ED">
      <w:rPr>
        <w:lang w:val="fr-FR"/>
      </w:rPr>
      <w:t>Apple</w:t>
    </w:r>
    <w:r w:rsidR="00DF65D7">
      <w:rPr>
        <w:lang w:val="fr-FR"/>
      </w:rPr>
      <w:t>)</w:t>
    </w:r>
  </w:p>
  <w:p w14:paraId="7B721572" w14:textId="77777777" w:rsidR="00DF65D7" w:rsidRPr="00EF1A28" w:rsidRDefault="00DF65D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C68D2" w14:textId="77777777" w:rsidR="008E2540" w:rsidRDefault="008E2540">
      <w:r>
        <w:separator/>
      </w:r>
    </w:p>
  </w:footnote>
  <w:footnote w:type="continuationSeparator" w:id="0">
    <w:p w14:paraId="6218DA80" w14:textId="77777777" w:rsidR="008E2540" w:rsidRDefault="008E2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D04E2" w14:textId="6E2D602F" w:rsidR="00DF65D7" w:rsidRDefault="000520F9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DF65D7">
      <w:t xml:space="preserve"> 201</w:t>
    </w:r>
    <w:r w:rsidR="004364ED">
      <w:t>9</w:t>
    </w:r>
    <w:r w:rsidR="00DF65D7">
      <w:tab/>
    </w:r>
    <w:r w:rsidR="00DF65D7">
      <w:tab/>
    </w:r>
    <w:r w:rsidR="008E2540">
      <w:fldChar w:fldCharType="begin"/>
    </w:r>
    <w:r w:rsidR="008E2540">
      <w:instrText xml:space="preserve"> TITLE  \* MERGEFORMAT </w:instrText>
    </w:r>
    <w:r w:rsidR="008E2540">
      <w:fldChar w:fldCharType="separate"/>
    </w:r>
    <w:r w:rsidR="00DF65D7">
      <w:t xml:space="preserve">doc.: IEEE </w:t>
    </w:r>
    <w:r w:rsidR="008C202A">
      <w:t>802.11-1</w:t>
    </w:r>
    <w:r w:rsidR="004364ED">
      <w:t>9</w:t>
    </w:r>
    <w:r w:rsidR="00DF65D7">
      <w:t>/</w:t>
    </w:r>
    <w:r w:rsidR="008E2540">
      <w:fldChar w:fldCharType="end"/>
    </w:r>
    <w:r w:rsidR="00BA5FD4">
      <w:t>0699</w:t>
    </w:r>
    <w:r w:rsidR="004364ED">
      <w:t>r0</w:t>
    </w:r>
  </w:p>
  <w:p w14:paraId="4AB0FEE9" w14:textId="77777777" w:rsidR="00A108E3" w:rsidRDefault="00A108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8A55D70"/>
    <w:multiLevelType w:val="multilevel"/>
    <w:tmpl w:val="A4362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963CB"/>
    <w:multiLevelType w:val="multilevel"/>
    <w:tmpl w:val="5E34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262BBB"/>
    <w:multiLevelType w:val="multilevel"/>
    <w:tmpl w:val="D04C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90F4B"/>
    <w:multiLevelType w:val="multilevel"/>
    <w:tmpl w:val="AB86A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8B1B0E"/>
    <w:multiLevelType w:val="hybridMultilevel"/>
    <w:tmpl w:val="A5A2DA52"/>
    <w:lvl w:ilvl="0" w:tplc="B27E2B6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7560E"/>
    <w:multiLevelType w:val="hybridMultilevel"/>
    <w:tmpl w:val="46E8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C63C4"/>
    <w:multiLevelType w:val="multilevel"/>
    <w:tmpl w:val="42589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61C9E"/>
    <w:multiLevelType w:val="multilevel"/>
    <w:tmpl w:val="FE02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6"/>
  </w:num>
  <w:num w:numId="7">
    <w:abstractNumId w:val="23"/>
  </w:num>
  <w:num w:numId="8">
    <w:abstractNumId w:val="37"/>
  </w:num>
  <w:num w:numId="9">
    <w:abstractNumId w:val="19"/>
  </w:num>
  <w:num w:numId="10">
    <w:abstractNumId w:val="13"/>
  </w:num>
  <w:num w:numId="11">
    <w:abstractNumId w:val="44"/>
  </w:num>
  <w:num w:numId="12">
    <w:abstractNumId w:val="38"/>
  </w:num>
  <w:num w:numId="13">
    <w:abstractNumId w:val="14"/>
  </w:num>
  <w:num w:numId="14">
    <w:abstractNumId w:val="40"/>
  </w:num>
  <w:num w:numId="15">
    <w:abstractNumId w:val="12"/>
  </w:num>
  <w:num w:numId="16">
    <w:abstractNumId w:val="10"/>
  </w:num>
  <w:num w:numId="17">
    <w:abstractNumId w:val="8"/>
  </w:num>
  <w:num w:numId="18">
    <w:abstractNumId w:val="33"/>
  </w:num>
  <w:num w:numId="19">
    <w:abstractNumId w:val="15"/>
  </w:num>
  <w:num w:numId="20">
    <w:abstractNumId w:val="45"/>
  </w:num>
  <w:num w:numId="21">
    <w:abstractNumId w:val="39"/>
  </w:num>
  <w:num w:numId="22">
    <w:abstractNumId w:val="0"/>
  </w:num>
  <w:num w:numId="23">
    <w:abstractNumId w:val="6"/>
  </w:num>
  <w:num w:numId="24">
    <w:abstractNumId w:val="42"/>
  </w:num>
  <w:num w:numId="25">
    <w:abstractNumId w:val="4"/>
  </w:num>
  <w:num w:numId="26">
    <w:abstractNumId w:val="28"/>
  </w:num>
  <w:num w:numId="27">
    <w:abstractNumId w:val="2"/>
  </w:num>
  <w:num w:numId="28">
    <w:abstractNumId w:val="11"/>
  </w:num>
  <w:num w:numId="29">
    <w:abstractNumId w:val="30"/>
  </w:num>
  <w:num w:numId="30">
    <w:abstractNumId w:val="34"/>
  </w:num>
  <w:num w:numId="31">
    <w:abstractNumId w:val="18"/>
  </w:num>
  <w:num w:numId="32">
    <w:abstractNumId w:val="27"/>
  </w:num>
  <w:num w:numId="33">
    <w:abstractNumId w:val="7"/>
  </w:num>
  <w:num w:numId="34">
    <w:abstractNumId w:val="24"/>
  </w:num>
  <w:num w:numId="35">
    <w:abstractNumId w:val="35"/>
  </w:num>
  <w:num w:numId="36">
    <w:abstractNumId w:val="17"/>
  </w:num>
  <w:num w:numId="37">
    <w:abstractNumId w:val="41"/>
  </w:num>
  <w:num w:numId="38">
    <w:abstractNumId w:val="22"/>
  </w:num>
  <w:num w:numId="39">
    <w:abstractNumId w:val="29"/>
  </w:num>
  <w:num w:numId="40">
    <w:abstractNumId w:val="31"/>
  </w:num>
  <w:num w:numId="41">
    <w:abstractNumId w:val="26"/>
  </w:num>
  <w:num w:numId="42">
    <w:abstractNumId w:val="43"/>
  </w:num>
  <w:num w:numId="43">
    <w:abstractNumId w:val="21"/>
  </w:num>
  <w:num w:numId="44">
    <w:abstractNumId w:val="32"/>
  </w:num>
  <w:num w:numId="45">
    <w:abstractNumId w:val="20"/>
  </w:num>
  <w:num w:numId="46">
    <w:abstractNumId w:val="3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4C2F"/>
    <w:rsid w:val="00005029"/>
    <w:rsid w:val="00005CEE"/>
    <w:rsid w:val="00006837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984"/>
    <w:rsid w:val="00021DE9"/>
    <w:rsid w:val="00021ECB"/>
    <w:rsid w:val="000227C8"/>
    <w:rsid w:val="00022C02"/>
    <w:rsid w:val="0002331F"/>
    <w:rsid w:val="00023D4A"/>
    <w:rsid w:val="000240C0"/>
    <w:rsid w:val="00024117"/>
    <w:rsid w:val="000244B0"/>
    <w:rsid w:val="000251A0"/>
    <w:rsid w:val="0002595B"/>
    <w:rsid w:val="00025973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8EC"/>
    <w:rsid w:val="00037A06"/>
    <w:rsid w:val="00037DA1"/>
    <w:rsid w:val="00037EB9"/>
    <w:rsid w:val="00040084"/>
    <w:rsid w:val="00040826"/>
    <w:rsid w:val="00042149"/>
    <w:rsid w:val="00042DDD"/>
    <w:rsid w:val="0004312D"/>
    <w:rsid w:val="00043979"/>
    <w:rsid w:val="00043DFC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0F9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4F80"/>
    <w:rsid w:val="00075291"/>
    <w:rsid w:val="000755B3"/>
    <w:rsid w:val="00075764"/>
    <w:rsid w:val="00075DF1"/>
    <w:rsid w:val="00076E9E"/>
    <w:rsid w:val="00077390"/>
    <w:rsid w:val="0007794A"/>
    <w:rsid w:val="00080027"/>
    <w:rsid w:val="00080061"/>
    <w:rsid w:val="000805EE"/>
    <w:rsid w:val="000805FC"/>
    <w:rsid w:val="00081495"/>
    <w:rsid w:val="00081B5A"/>
    <w:rsid w:val="00082EE7"/>
    <w:rsid w:val="00082F90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376"/>
    <w:rsid w:val="00093F6C"/>
    <w:rsid w:val="0009431B"/>
    <w:rsid w:val="0009457F"/>
    <w:rsid w:val="0009501A"/>
    <w:rsid w:val="00095C29"/>
    <w:rsid w:val="00096255"/>
    <w:rsid w:val="0009642C"/>
    <w:rsid w:val="00096820"/>
    <w:rsid w:val="00096B4E"/>
    <w:rsid w:val="00096F4D"/>
    <w:rsid w:val="0009734E"/>
    <w:rsid w:val="0009755E"/>
    <w:rsid w:val="000A066C"/>
    <w:rsid w:val="000A095A"/>
    <w:rsid w:val="000A0BAA"/>
    <w:rsid w:val="000A0DA9"/>
    <w:rsid w:val="000A15E0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4D72"/>
    <w:rsid w:val="000A533C"/>
    <w:rsid w:val="000A626D"/>
    <w:rsid w:val="000A67CD"/>
    <w:rsid w:val="000A6AB3"/>
    <w:rsid w:val="000A6D18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09B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5E9C"/>
    <w:rsid w:val="000E70D9"/>
    <w:rsid w:val="000E76CC"/>
    <w:rsid w:val="000F0143"/>
    <w:rsid w:val="000F03D1"/>
    <w:rsid w:val="000F0756"/>
    <w:rsid w:val="000F098D"/>
    <w:rsid w:val="000F16B9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11C"/>
    <w:rsid w:val="000F43DC"/>
    <w:rsid w:val="000F452F"/>
    <w:rsid w:val="000F542C"/>
    <w:rsid w:val="000F565C"/>
    <w:rsid w:val="000F57DA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AFE"/>
    <w:rsid w:val="00105C92"/>
    <w:rsid w:val="00105CA0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59D"/>
    <w:rsid w:val="00154A52"/>
    <w:rsid w:val="00154CC3"/>
    <w:rsid w:val="00154EEA"/>
    <w:rsid w:val="0015538B"/>
    <w:rsid w:val="00155878"/>
    <w:rsid w:val="00155890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6BC4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326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B53"/>
    <w:rsid w:val="00192532"/>
    <w:rsid w:val="00192709"/>
    <w:rsid w:val="001932E2"/>
    <w:rsid w:val="00193411"/>
    <w:rsid w:val="00193DAB"/>
    <w:rsid w:val="001944F8"/>
    <w:rsid w:val="00194C1B"/>
    <w:rsid w:val="00194D27"/>
    <w:rsid w:val="00194DBE"/>
    <w:rsid w:val="00195281"/>
    <w:rsid w:val="00195AD5"/>
    <w:rsid w:val="00195C13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7983"/>
    <w:rsid w:val="001A7FC2"/>
    <w:rsid w:val="001B0052"/>
    <w:rsid w:val="001B06BA"/>
    <w:rsid w:val="001B09CC"/>
    <w:rsid w:val="001B0B4E"/>
    <w:rsid w:val="001B0CD1"/>
    <w:rsid w:val="001B1B4F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238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4BDB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AF7"/>
    <w:rsid w:val="001D2C44"/>
    <w:rsid w:val="001D2C80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1FB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6288"/>
    <w:rsid w:val="001E6627"/>
    <w:rsid w:val="001E7477"/>
    <w:rsid w:val="001E7739"/>
    <w:rsid w:val="001F041F"/>
    <w:rsid w:val="001F0AEB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516B"/>
    <w:rsid w:val="001F62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569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10203"/>
    <w:rsid w:val="00210BBC"/>
    <w:rsid w:val="00210BE8"/>
    <w:rsid w:val="00210CA6"/>
    <w:rsid w:val="00210EEE"/>
    <w:rsid w:val="002116DE"/>
    <w:rsid w:val="00211916"/>
    <w:rsid w:val="00211D7B"/>
    <w:rsid w:val="00211F1D"/>
    <w:rsid w:val="002123AB"/>
    <w:rsid w:val="00212B47"/>
    <w:rsid w:val="00212BF5"/>
    <w:rsid w:val="00213123"/>
    <w:rsid w:val="00215D2B"/>
    <w:rsid w:val="00216AD0"/>
    <w:rsid w:val="00216FC5"/>
    <w:rsid w:val="00217620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BB2"/>
    <w:rsid w:val="00224FCE"/>
    <w:rsid w:val="00225812"/>
    <w:rsid w:val="002258C2"/>
    <w:rsid w:val="00225E58"/>
    <w:rsid w:val="0022610E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80F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CE6"/>
    <w:rsid w:val="00251DA1"/>
    <w:rsid w:val="00252F78"/>
    <w:rsid w:val="002531D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4B58"/>
    <w:rsid w:val="00264DA5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2AFD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038A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3D3"/>
    <w:rsid w:val="002944F3"/>
    <w:rsid w:val="00294C7B"/>
    <w:rsid w:val="002952A8"/>
    <w:rsid w:val="0029543E"/>
    <w:rsid w:val="00295B6D"/>
    <w:rsid w:val="00295FFA"/>
    <w:rsid w:val="00296246"/>
    <w:rsid w:val="0029638F"/>
    <w:rsid w:val="002963FA"/>
    <w:rsid w:val="002968E8"/>
    <w:rsid w:val="00297ECE"/>
    <w:rsid w:val="002A06BC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78E"/>
    <w:rsid w:val="002A7B75"/>
    <w:rsid w:val="002B024D"/>
    <w:rsid w:val="002B03F6"/>
    <w:rsid w:val="002B0825"/>
    <w:rsid w:val="002B0D01"/>
    <w:rsid w:val="002B1326"/>
    <w:rsid w:val="002B14D3"/>
    <w:rsid w:val="002B1CFD"/>
    <w:rsid w:val="002B1DC8"/>
    <w:rsid w:val="002B228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22"/>
    <w:rsid w:val="002D44BE"/>
    <w:rsid w:val="002D4B7C"/>
    <w:rsid w:val="002D4D25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41E"/>
    <w:rsid w:val="00300FB4"/>
    <w:rsid w:val="00301CA5"/>
    <w:rsid w:val="00301FB1"/>
    <w:rsid w:val="00302719"/>
    <w:rsid w:val="00302951"/>
    <w:rsid w:val="003029D4"/>
    <w:rsid w:val="00302F52"/>
    <w:rsid w:val="003030A7"/>
    <w:rsid w:val="00303261"/>
    <w:rsid w:val="003033BE"/>
    <w:rsid w:val="00303984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0CB2"/>
    <w:rsid w:val="00311333"/>
    <w:rsid w:val="00311544"/>
    <w:rsid w:val="0031173C"/>
    <w:rsid w:val="00311780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0E79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3A7"/>
    <w:rsid w:val="00340CFA"/>
    <w:rsid w:val="00341594"/>
    <w:rsid w:val="00341F38"/>
    <w:rsid w:val="00342395"/>
    <w:rsid w:val="003428D6"/>
    <w:rsid w:val="00342CE8"/>
    <w:rsid w:val="00342F9A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4796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656D"/>
    <w:rsid w:val="003572AA"/>
    <w:rsid w:val="0035780A"/>
    <w:rsid w:val="00360063"/>
    <w:rsid w:val="003600EE"/>
    <w:rsid w:val="0036024A"/>
    <w:rsid w:val="0036047D"/>
    <w:rsid w:val="00360CE1"/>
    <w:rsid w:val="00361291"/>
    <w:rsid w:val="00361546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956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24AD"/>
    <w:rsid w:val="00393135"/>
    <w:rsid w:val="0039345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96FB6"/>
    <w:rsid w:val="003A02FD"/>
    <w:rsid w:val="003A0A19"/>
    <w:rsid w:val="003A0B38"/>
    <w:rsid w:val="003A1046"/>
    <w:rsid w:val="003A20B2"/>
    <w:rsid w:val="003A2233"/>
    <w:rsid w:val="003A28E2"/>
    <w:rsid w:val="003A29FF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2ADD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A9F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384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0EC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F0CB1"/>
    <w:rsid w:val="003F0FBE"/>
    <w:rsid w:val="003F1809"/>
    <w:rsid w:val="003F1B2E"/>
    <w:rsid w:val="003F1F19"/>
    <w:rsid w:val="003F286F"/>
    <w:rsid w:val="003F2F97"/>
    <w:rsid w:val="003F3196"/>
    <w:rsid w:val="003F343F"/>
    <w:rsid w:val="003F3556"/>
    <w:rsid w:val="003F3DC0"/>
    <w:rsid w:val="003F602E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1D5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0E6A"/>
    <w:rsid w:val="004115E5"/>
    <w:rsid w:val="00411C6E"/>
    <w:rsid w:val="0041207D"/>
    <w:rsid w:val="004121AA"/>
    <w:rsid w:val="00413C7C"/>
    <w:rsid w:val="00413FC0"/>
    <w:rsid w:val="0041471F"/>
    <w:rsid w:val="00414836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B5F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277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C51"/>
    <w:rsid w:val="004364ED"/>
    <w:rsid w:val="004370BF"/>
    <w:rsid w:val="00437D90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4BA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947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0C"/>
    <w:rsid w:val="00465CDD"/>
    <w:rsid w:val="00465F30"/>
    <w:rsid w:val="004662E6"/>
    <w:rsid w:val="0046644B"/>
    <w:rsid w:val="00466D2F"/>
    <w:rsid w:val="0046747E"/>
    <w:rsid w:val="00467511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3BB9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2A4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9B"/>
    <w:rsid w:val="004B37F6"/>
    <w:rsid w:val="004B3CE0"/>
    <w:rsid w:val="004B4E21"/>
    <w:rsid w:val="004B5247"/>
    <w:rsid w:val="004B5297"/>
    <w:rsid w:val="004B541E"/>
    <w:rsid w:val="004B5503"/>
    <w:rsid w:val="004B55D7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72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5E1C"/>
    <w:rsid w:val="004C6600"/>
    <w:rsid w:val="004C6627"/>
    <w:rsid w:val="004C6B10"/>
    <w:rsid w:val="004C7D22"/>
    <w:rsid w:val="004D0AA2"/>
    <w:rsid w:val="004D0B12"/>
    <w:rsid w:val="004D0BD1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4BA"/>
    <w:rsid w:val="00503E21"/>
    <w:rsid w:val="005041B6"/>
    <w:rsid w:val="0050495E"/>
    <w:rsid w:val="00504BCE"/>
    <w:rsid w:val="00504DB7"/>
    <w:rsid w:val="00504F1D"/>
    <w:rsid w:val="00505089"/>
    <w:rsid w:val="005050C2"/>
    <w:rsid w:val="00505342"/>
    <w:rsid w:val="005069FD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1ABF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9FD"/>
    <w:rsid w:val="00534CB6"/>
    <w:rsid w:val="00535059"/>
    <w:rsid w:val="00535511"/>
    <w:rsid w:val="00535C0C"/>
    <w:rsid w:val="00536787"/>
    <w:rsid w:val="005367D9"/>
    <w:rsid w:val="00537505"/>
    <w:rsid w:val="005379BE"/>
    <w:rsid w:val="00537DFF"/>
    <w:rsid w:val="005406A6"/>
    <w:rsid w:val="00540D5E"/>
    <w:rsid w:val="00540E2D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47E76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0D19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52A9"/>
    <w:rsid w:val="005852D0"/>
    <w:rsid w:val="005854D0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1FC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6ADF"/>
    <w:rsid w:val="005D7433"/>
    <w:rsid w:val="005E0653"/>
    <w:rsid w:val="005E0935"/>
    <w:rsid w:val="005E0969"/>
    <w:rsid w:val="005E0DF7"/>
    <w:rsid w:val="005E0FF2"/>
    <w:rsid w:val="005E12AF"/>
    <w:rsid w:val="005E22C0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0AC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45B4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0F00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4DCA"/>
    <w:rsid w:val="00635664"/>
    <w:rsid w:val="006359DB"/>
    <w:rsid w:val="006365FB"/>
    <w:rsid w:val="00637981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1E8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77C4A"/>
    <w:rsid w:val="00680BCD"/>
    <w:rsid w:val="00680BD3"/>
    <w:rsid w:val="006812BE"/>
    <w:rsid w:val="00681A85"/>
    <w:rsid w:val="00681C1A"/>
    <w:rsid w:val="0068298F"/>
    <w:rsid w:val="006829D2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CA"/>
    <w:rsid w:val="006936BD"/>
    <w:rsid w:val="006938E4"/>
    <w:rsid w:val="00693D0A"/>
    <w:rsid w:val="00693FD3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16F"/>
    <w:rsid w:val="006A4266"/>
    <w:rsid w:val="006A5275"/>
    <w:rsid w:val="006A5277"/>
    <w:rsid w:val="006A5713"/>
    <w:rsid w:val="006A63C7"/>
    <w:rsid w:val="006A6569"/>
    <w:rsid w:val="006A77B4"/>
    <w:rsid w:val="006A7879"/>
    <w:rsid w:val="006A789D"/>
    <w:rsid w:val="006B0B46"/>
    <w:rsid w:val="006B2079"/>
    <w:rsid w:val="006B270D"/>
    <w:rsid w:val="006B2FB0"/>
    <w:rsid w:val="006B3119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72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72F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9F1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5C5"/>
    <w:rsid w:val="00720967"/>
    <w:rsid w:val="007211B6"/>
    <w:rsid w:val="00721ABF"/>
    <w:rsid w:val="00721B38"/>
    <w:rsid w:val="00721B9A"/>
    <w:rsid w:val="0072301B"/>
    <w:rsid w:val="00723157"/>
    <w:rsid w:val="00723D35"/>
    <w:rsid w:val="00723DEF"/>
    <w:rsid w:val="00723F0F"/>
    <w:rsid w:val="0072420E"/>
    <w:rsid w:val="007242B0"/>
    <w:rsid w:val="007248F3"/>
    <w:rsid w:val="00724950"/>
    <w:rsid w:val="00724FFF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2A7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2ED"/>
    <w:rsid w:val="007376C3"/>
    <w:rsid w:val="0073774D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8D9"/>
    <w:rsid w:val="00771A6C"/>
    <w:rsid w:val="00771C90"/>
    <w:rsid w:val="00771E92"/>
    <w:rsid w:val="007720C1"/>
    <w:rsid w:val="00772BA9"/>
    <w:rsid w:val="00772D4E"/>
    <w:rsid w:val="00772E4E"/>
    <w:rsid w:val="00773681"/>
    <w:rsid w:val="00773761"/>
    <w:rsid w:val="00774445"/>
    <w:rsid w:val="00774736"/>
    <w:rsid w:val="00775B06"/>
    <w:rsid w:val="007763FE"/>
    <w:rsid w:val="007766BB"/>
    <w:rsid w:val="00777276"/>
    <w:rsid w:val="007772DB"/>
    <w:rsid w:val="00777ABE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5C"/>
    <w:rsid w:val="007C1081"/>
    <w:rsid w:val="007C13C7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825"/>
    <w:rsid w:val="007D2C97"/>
    <w:rsid w:val="007D2FCC"/>
    <w:rsid w:val="007D316A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6D7A"/>
    <w:rsid w:val="007F7C37"/>
    <w:rsid w:val="008000C3"/>
    <w:rsid w:val="008004E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961"/>
    <w:rsid w:val="00810F87"/>
    <w:rsid w:val="00811759"/>
    <w:rsid w:val="008121EC"/>
    <w:rsid w:val="008122BB"/>
    <w:rsid w:val="0081232B"/>
    <w:rsid w:val="00812753"/>
    <w:rsid w:val="00812870"/>
    <w:rsid w:val="00812D2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B2E"/>
    <w:rsid w:val="00820DD5"/>
    <w:rsid w:val="00820F8F"/>
    <w:rsid w:val="00821034"/>
    <w:rsid w:val="00821E68"/>
    <w:rsid w:val="00822819"/>
    <w:rsid w:val="00822D20"/>
    <w:rsid w:val="008239E9"/>
    <w:rsid w:val="00824079"/>
    <w:rsid w:val="0082419F"/>
    <w:rsid w:val="00824694"/>
    <w:rsid w:val="008261DE"/>
    <w:rsid w:val="00826B2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0B64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5E82"/>
    <w:rsid w:val="00836621"/>
    <w:rsid w:val="00836C57"/>
    <w:rsid w:val="00836E15"/>
    <w:rsid w:val="008371D2"/>
    <w:rsid w:val="008374B4"/>
    <w:rsid w:val="00837636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15A0"/>
    <w:rsid w:val="00852351"/>
    <w:rsid w:val="00852A48"/>
    <w:rsid w:val="0085554E"/>
    <w:rsid w:val="00855B73"/>
    <w:rsid w:val="00855FF5"/>
    <w:rsid w:val="00856084"/>
    <w:rsid w:val="0085680C"/>
    <w:rsid w:val="00857848"/>
    <w:rsid w:val="00857925"/>
    <w:rsid w:val="00857FFD"/>
    <w:rsid w:val="00860DA5"/>
    <w:rsid w:val="00861211"/>
    <w:rsid w:val="00861DE2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58E0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3E3F"/>
    <w:rsid w:val="008845EC"/>
    <w:rsid w:val="00885182"/>
    <w:rsid w:val="00885256"/>
    <w:rsid w:val="00885638"/>
    <w:rsid w:val="00887124"/>
    <w:rsid w:val="00887149"/>
    <w:rsid w:val="00887283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939"/>
    <w:rsid w:val="008A4D7C"/>
    <w:rsid w:val="008A53E6"/>
    <w:rsid w:val="008A59A9"/>
    <w:rsid w:val="008A5D64"/>
    <w:rsid w:val="008A6124"/>
    <w:rsid w:val="008A6167"/>
    <w:rsid w:val="008A648E"/>
    <w:rsid w:val="008A76AB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BF2"/>
    <w:rsid w:val="008C5D00"/>
    <w:rsid w:val="008C5F02"/>
    <w:rsid w:val="008C6268"/>
    <w:rsid w:val="008C6558"/>
    <w:rsid w:val="008C6947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DB7"/>
    <w:rsid w:val="008E0F8C"/>
    <w:rsid w:val="008E104C"/>
    <w:rsid w:val="008E10E0"/>
    <w:rsid w:val="008E14F1"/>
    <w:rsid w:val="008E17A5"/>
    <w:rsid w:val="008E1C4F"/>
    <w:rsid w:val="008E2467"/>
    <w:rsid w:val="008E2540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881"/>
    <w:rsid w:val="00900BD9"/>
    <w:rsid w:val="00900C4B"/>
    <w:rsid w:val="00901468"/>
    <w:rsid w:val="0090255E"/>
    <w:rsid w:val="00903645"/>
    <w:rsid w:val="00903ED7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0FBC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24DB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109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788"/>
    <w:rsid w:val="0094090C"/>
    <w:rsid w:val="00940AF5"/>
    <w:rsid w:val="00940E0C"/>
    <w:rsid w:val="009411F6"/>
    <w:rsid w:val="009417BB"/>
    <w:rsid w:val="00941BA7"/>
    <w:rsid w:val="009422D4"/>
    <w:rsid w:val="00942F15"/>
    <w:rsid w:val="00943027"/>
    <w:rsid w:val="0094361F"/>
    <w:rsid w:val="0094465E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47EC6"/>
    <w:rsid w:val="009518E4"/>
    <w:rsid w:val="00952286"/>
    <w:rsid w:val="00952832"/>
    <w:rsid w:val="00952D1B"/>
    <w:rsid w:val="00952F78"/>
    <w:rsid w:val="009536BA"/>
    <w:rsid w:val="009539C8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066"/>
    <w:rsid w:val="0096566E"/>
    <w:rsid w:val="00965999"/>
    <w:rsid w:val="009659C5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36"/>
    <w:rsid w:val="00976B79"/>
    <w:rsid w:val="00976C2D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9FA"/>
    <w:rsid w:val="00985A9F"/>
    <w:rsid w:val="00985F7E"/>
    <w:rsid w:val="00986FBD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5CD7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2D4C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C01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1B9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AF8"/>
    <w:rsid w:val="00A03ECC"/>
    <w:rsid w:val="00A03F92"/>
    <w:rsid w:val="00A0451D"/>
    <w:rsid w:val="00A04595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8E3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A0D"/>
    <w:rsid w:val="00A16E86"/>
    <w:rsid w:val="00A175CA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2EC2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007"/>
    <w:rsid w:val="00A525E7"/>
    <w:rsid w:val="00A529E8"/>
    <w:rsid w:val="00A52AB3"/>
    <w:rsid w:val="00A52B84"/>
    <w:rsid w:val="00A52DB5"/>
    <w:rsid w:val="00A541FA"/>
    <w:rsid w:val="00A54501"/>
    <w:rsid w:val="00A546A0"/>
    <w:rsid w:val="00A5484B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96"/>
    <w:rsid w:val="00A607DF"/>
    <w:rsid w:val="00A60890"/>
    <w:rsid w:val="00A60899"/>
    <w:rsid w:val="00A61211"/>
    <w:rsid w:val="00A623B3"/>
    <w:rsid w:val="00A624B5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2C4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36BA"/>
    <w:rsid w:val="00AA394D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9F4"/>
    <w:rsid w:val="00AB4BF8"/>
    <w:rsid w:val="00AB51D6"/>
    <w:rsid w:val="00AB5FEE"/>
    <w:rsid w:val="00AB6C5A"/>
    <w:rsid w:val="00AB779B"/>
    <w:rsid w:val="00AB7805"/>
    <w:rsid w:val="00AB7B44"/>
    <w:rsid w:val="00AC0043"/>
    <w:rsid w:val="00AC0EEE"/>
    <w:rsid w:val="00AC0FC3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6D00"/>
    <w:rsid w:val="00AC77CA"/>
    <w:rsid w:val="00AC7A9D"/>
    <w:rsid w:val="00AC7AD0"/>
    <w:rsid w:val="00AD02E4"/>
    <w:rsid w:val="00AD03B2"/>
    <w:rsid w:val="00AD0934"/>
    <w:rsid w:val="00AD1037"/>
    <w:rsid w:val="00AD12A3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0BAD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168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83F"/>
    <w:rsid w:val="00AF7DED"/>
    <w:rsid w:val="00AF7FAC"/>
    <w:rsid w:val="00B000B0"/>
    <w:rsid w:val="00B0087D"/>
    <w:rsid w:val="00B008C7"/>
    <w:rsid w:val="00B00AE2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6E2A"/>
    <w:rsid w:val="00B07764"/>
    <w:rsid w:val="00B077C5"/>
    <w:rsid w:val="00B10135"/>
    <w:rsid w:val="00B1050F"/>
    <w:rsid w:val="00B10BFC"/>
    <w:rsid w:val="00B118BE"/>
    <w:rsid w:val="00B11AAB"/>
    <w:rsid w:val="00B11B19"/>
    <w:rsid w:val="00B1257E"/>
    <w:rsid w:val="00B12C3E"/>
    <w:rsid w:val="00B13897"/>
    <w:rsid w:val="00B14291"/>
    <w:rsid w:val="00B1430D"/>
    <w:rsid w:val="00B151AE"/>
    <w:rsid w:val="00B154C6"/>
    <w:rsid w:val="00B156B7"/>
    <w:rsid w:val="00B15A70"/>
    <w:rsid w:val="00B1625A"/>
    <w:rsid w:val="00B1776D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270D3"/>
    <w:rsid w:val="00B27A61"/>
    <w:rsid w:val="00B3005A"/>
    <w:rsid w:val="00B30230"/>
    <w:rsid w:val="00B30239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B70"/>
    <w:rsid w:val="00B41DD7"/>
    <w:rsid w:val="00B424E0"/>
    <w:rsid w:val="00B42FD9"/>
    <w:rsid w:val="00B4305B"/>
    <w:rsid w:val="00B431C5"/>
    <w:rsid w:val="00B435F9"/>
    <w:rsid w:val="00B43B0E"/>
    <w:rsid w:val="00B455AB"/>
    <w:rsid w:val="00B4595E"/>
    <w:rsid w:val="00B46402"/>
    <w:rsid w:val="00B46E88"/>
    <w:rsid w:val="00B4717F"/>
    <w:rsid w:val="00B473DE"/>
    <w:rsid w:val="00B47855"/>
    <w:rsid w:val="00B47C1A"/>
    <w:rsid w:val="00B500E3"/>
    <w:rsid w:val="00B50475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B3E"/>
    <w:rsid w:val="00B77C1B"/>
    <w:rsid w:val="00B8053C"/>
    <w:rsid w:val="00B80674"/>
    <w:rsid w:val="00B8090B"/>
    <w:rsid w:val="00B80916"/>
    <w:rsid w:val="00B81018"/>
    <w:rsid w:val="00B81040"/>
    <w:rsid w:val="00B81FE7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1AD3"/>
    <w:rsid w:val="00B91E43"/>
    <w:rsid w:val="00B925D0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5FD4"/>
    <w:rsid w:val="00BA6904"/>
    <w:rsid w:val="00BA6A61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44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DCA"/>
    <w:rsid w:val="00BD2F3C"/>
    <w:rsid w:val="00BD2F86"/>
    <w:rsid w:val="00BD32A7"/>
    <w:rsid w:val="00BD3DF7"/>
    <w:rsid w:val="00BD3FC5"/>
    <w:rsid w:val="00BD4530"/>
    <w:rsid w:val="00BD4619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1A8"/>
    <w:rsid w:val="00C017B5"/>
    <w:rsid w:val="00C017E8"/>
    <w:rsid w:val="00C01C86"/>
    <w:rsid w:val="00C01DB6"/>
    <w:rsid w:val="00C033A3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3D5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19AE"/>
    <w:rsid w:val="00C41C09"/>
    <w:rsid w:val="00C42477"/>
    <w:rsid w:val="00C42B72"/>
    <w:rsid w:val="00C42B76"/>
    <w:rsid w:val="00C43549"/>
    <w:rsid w:val="00C438E1"/>
    <w:rsid w:val="00C43B35"/>
    <w:rsid w:val="00C44A8F"/>
    <w:rsid w:val="00C44E4B"/>
    <w:rsid w:val="00C458C6"/>
    <w:rsid w:val="00C45AD0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6DE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8D2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6A9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87DCE"/>
    <w:rsid w:val="00C90848"/>
    <w:rsid w:val="00C909D5"/>
    <w:rsid w:val="00C91CB9"/>
    <w:rsid w:val="00C929CA"/>
    <w:rsid w:val="00C92BBC"/>
    <w:rsid w:val="00C92E6F"/>
    <w:rsid w:val="00C92F3D"/>
    <w:rsid w:val="00C92F7D"/>
    <w:rsid w:val="00C954B9"/>
    <w:rsid w:val="00C95C6C"/>
    <w:rsid w:val="00C96659"/>
    <w:rsid w:val="00C971C7"/>
    <w:rsid w:val="00C97B76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97"/>
    <w:rsid w:val="00CA2CE5"/>
    <w:rsid w:val="00CA2DDE"/>
    <w:rsid w:val="00CA2EFD"/>
    <w:rsid w:val="00CA3343"/>
    <w:rsid w:val="00CA4ABA"/>
    <w:rsid w:val="00CA4BC6"/>
    <w:rsid w:val="00CA51FF"/>
    <w:rsid w:val="00CA52C6"/>
    <w:rsid w:val="00CA53ED"/>
    <w:rsid w:val="00CA5B44"/>
    <w:rsid w:val="00CA632D"/>
    <w:rsid w:val="00CA6501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7DBB"/>
    <w:rsid w:val="00CD1E13"/>
    <w:rsid w:val="00CD228D"/>
    <w:rsid w:val="00CD2651"/>
    <w:rsid w:val="00CD2C4A"/>
    <w:rsid w:val="00CD2CEF"/>
    <w:rsid w:val="00CD2F24"/>
    <w:rsid w:val="00CD3496"/>
    <w:rsid w:val="00CD3B2F"/>
    <w:rsid w:val="00CD44A7"/>
    <w:rsid w:val="00CD4948"/>
    <w:rsid w:val="00CD5426"/>
    <w:rsid w:val="00CD55AC"/>
    <w:rsid w:val="00CD589F"/>
    <w:rsid w:val="00CD58DA"/>
    <w:rsid w:val="00CD590F"/>
    <w:rsid w:val="00CD6580"/>
    <w:rsid w:val="00CD6CFE"/>
    <w:rsid w:val="00CD79DF"/>
    <w:rsid w:val="00CD7F68"/>
    <w:rsid w:val="00CE0CD8"/>
    <w:rsid w:val="00CE105A"/>
    <w:rsid w:val="00CE1341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3CF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45C"/>
    <w:rsid w:val="00CF7849"/>
    <w:rsid w:val="00D003B2"/>
    <w:rsid w:val="00D00683"/>
    <w:rsid w:val="00D006B8"/>
    <w:rsid w:val="00D0100D"/>
    <w:rsid w:val="00D024DE"/>
    <w:rsid w:val="00D03CC3"/>
    <w:rsid w:val="00D0454F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49C6"/>
    <w:rsid w:val="00D14C20"/>
    <w:rsid w:val="00D1563E"/>
    <w:rsid w:val="00D15769"/>
    <w:rsid w:val="00D1642B"/>
    <w:rsid w:val="00D16554"/>
    <w:rsid w:val="00D1674F"/>
    <w:rsid w:val="00D16B7C"/>
    <w:rsid w:val="00D175A8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7286"/>
    <w:rsid w:val="00D3731F"/>
    <w:rsid w:val="00D37D13"/>
    <w:rsid w:val="00D4112B"/>
    <w:rsid w:val="00D41DC1"/>
    <w:rsid w:val="00D4215E"/>
    <w:rsid w:val="00D42A0E"/>
    <w:rsid w:val="00D43408"/>
    <w:rsid w:val="00D43787"/>
    <w:rsid w:val="00D43B24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E03"/>
    <w:rsid w:val="00D51F31"/>
    <w:rsid w:val="00D526ED"/>
    <w:rsid w:val="00D5297A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664F9"/>
    <w:rsid w:val="00D676C9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4F"/>
    <w:rsid w:val="00D7528B"/>
    <w:rsid w:val="00D75474"/>
    <w:rsid w:val="00D756A3"/>
    <w:rsid w:val="00D75FB9"/>
    <w:rsid w:val="00D76384"/>
    <w:rsid w:val="00D7643B"/>
    <w:rsid w:val="00D7644A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2BF5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05D"/>
    <w:rsid w:val="00D927F8"/>
    <w:rsid w:val="00D92A44"/>
    <w:rsid w:val="00D934E5"/>
    <w:rsid w:val="00D935D4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17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6DC"/>
    <w:rsid w:val="00DA7CDA"/>
    <w:rsid w:val="00DB0094"/>
    <w:rsid w:val="00DB044E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7BF"/>
    <w:rsid w:val="00DC7F4A"/>
    <w:rsid w:val="00DD0635"/>
    <w:rsid w:val="00DD16C8"/>
    <w:rsid w:val="00DD18AB"/>
    <w:rsid w:val="00DD1B20"/>
    <w:rsid w:val="00DD1C3A"/>
    <w:rsid w:val="00DD1FA0"/>
    <w:rsid w:val="00DD1FF2"/>
    <w:rsid w:val="00DD2426"/>
    <w:rsid w:val="00DD25EC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782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13F5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FE2"/>
    <w:rsid w:val="00DF6186"/>
    <w:rsid w:val="00DF65D7"/>
    <w:rsid w:val="00DF74B9"/>
    <w:rsid w:val="00DF75D1"/>
    <w:rsid w:val="00DF787A"/>
    <w:rsid w:val="00DF7D80"/>
    <w:rsid w:val="00E0004A"/>
    <w:rsid w:val="00E00251"/>
    <w:rsid w:val="00E006F5"/>
    <w:rsid w:val="00E029FE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6E46"/>
    <w:rsid w:val="00E07CB0"/>
    <w:rsid w:val="00E10031"/>
    <w:rsid w:val="00E101AE"/>
    <w:rsid w:val="00E1067D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82E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4F8A"/>
    <w:rsid w:val="00E3502E"/>
    <w:rsid w:val="00E357BA"/>
    <w:rsid w:val="00E3640F"/>
    <w:rsid w:val="00E36B13"/>
    <w:rsid w:val="00E37254"/>
    <w:rsid w:val="00E372A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57A48"/>
    <w:rsid w:val="00E57E55"/>
    <w:rsid w:val="00E60033"/>
    <w:rsid w:val="00E60BDC"/>
    <w:rsid w:val="00E613EA"/>
    <w:rsid w:val="00E618DD"/>
    <w:rsid w:val="00E61C73"/>
    <w:rsid w:val="00E61E53"/>
    <w:rsid w:val="00E62154"/>
    <w:rsid w:val="00E62760"/>
    <w:rsid w:val="00E627A9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FD1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73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65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080B"/>
    <w:rsid w:val="00EC1402"/>
    <w:rsid w:val="00EC144F"/>
    <w:rsid w:val="00EC2090"/>
    <w:rsid w:val="00EC224F"/>
    <w:rsid w:val="00EC2E21"/>
    <w:rsid w:val="00EC31CE"/>
    <w:rsid w:val="00EC3F20"/>
    <w:rsid w:val="00EC4690"/>
    <w:rsid w:val="00EC501A"/>
    <w:rsid w:val="00EC55D8"/>
    <w:rsid w:val="00EC5F8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39F7"/>
    <w:rsid w:val="00EE431E"/>
    <w:rsid w:val="00EE4632"/>
    <w:rsid w:val="00EE4796"/>
    <w:rsid w:val="00EE4A4B"/>
    <w:rsid w:val="00EE5349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32C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2C6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2CA1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C96"/>
    <w:rsid w:val="00F61D88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24"/>
    <w:rsid w:val="00F65279"/>
    <w:rsid w:val="00F66020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39A"/>
    <w:rsid w:val="00F72EC5"/>
    <w:rsid w:val="00F72F12"/>
    <w:rsid w:val="00F734CA"/>
    <w:rsid w:val="00F73CFE"/>
    <w:rsid w:val="00F74831"/>
    <w:rsid w:val="00F7576D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49F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4F57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C7544"/>
    <w:rsid w:val="00FD01C0"/>
    <w:rsid w:val="00FD0789"/>
    <w:rsid w:val="00FD0AD1"/>
    <w:rsid w:val="00FD0FE0"/>
    <w:rsid w:val="00FD114D"/>
    <w:rsid w:val="00FD1BEC"/>
    <w:rsid w:val="00FD1D01"/>
    <w:rsid w:val="00FD1EDC"/>
    <w:rsid w:val="00FD23AF"/>
    <w:rsid w:val="00FD23D5"/>
    <w:rsid w:val="00FD26A2"/>
    <w:rsid w:val="00FD2C6E"/>
    <w:rsid w:val="00FD2D5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AAA"/>
    <w:rsid w:val="00FE1B26"/>
    <w:rsid w:val="00FE215D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4A4"/>
    <w:rsid w:val="00FF073D"/>
    <w:rsid w:val="00FF0768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5C887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304DF874-07A1-C44E-8361-B3E76F6F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C:\Users\konfferenssit\201101LA\11ac\802-11-Submission-Portrait.dot</Template>
  <TotalTime>83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5501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Tianyu Wu</cp:lastModifiedBy>
  <cp:revision>68</cp:revision>
  <cp:lastPrinted>2013-12-02T17:26:00Z</cp:lastPrinted>
  <dcterms:created xsi:type="dcterms:W3CDTF">2019-03-27T02:00:00Z</dcterms:created>
  <dcterms:modified xsi:type="dcterms:W3CDTF">2019-05-01T20:49:00Z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</Properties>
</file>