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3A7C41" w:rsidP="00661658">
            <w:pPr>
              <w:pStyle w:val="T2"/>
            </w:pPr>
            <w:r>
              <w:t xml:space="preserve">Liaison from </w:t>
            </w:r>
            <w:r w:rsidR="00661658">
              <w:t>CI</w:t>
            </w:r>
            <w:r w:rsidR="00701AC7">
              <w:t>T</w:t>
            </w:r>
            <w:r w:rsidR="00661658">
              <w:t>S</w:t>
            </w:r>
            <w:r w:rsidR="00701AC7">
              <w:t xml:space="preserve"> </w:t>
            </w:r>
          </w:p>
        </w:tc>
      </w:tr>
      <w:tr w:rsidR="00CA09B2">
        <w:trPr>
          <w:trHeight w:val="359"/>
          <w:jc w:val="center"/>
        </w:trPr>
        <w:tc>
          <w:tcPr>
            <w:tcW w:w="9576" w:type="dxa"/>
            <w:gridSpan w:val="5"/>
            <w:vAlign w:val="center"/>
          </w:tcPr>
          <w:p w:rsidR="00CA09B2" w:rsidRDefault="00CA09B2" w:rsidP="003A7C41">
            <w:pPr>
              <w:pStyle w:val="T2"/>
              <w:ind w:left="0"/>
              <w:rPr>
                <w:sz w:val="20"/>
              </w:rPr>
            </w:pPr>
            <w:r>
              <w:rPr>
                <w:sz w:val="20"/>
              </w:rPr>
              <w:t>Date:</w:t>
            </w:r>
            <w:r>
              <w:rPr>
                <w:b w:val="0"/>
                <w:sz w:val="20"/>
              </w:rPr>
              <w:t xml:space="preserve">  </w:t>
            </w:r>
            <w:r w:rsidR="00661658">
              <w:rPr>
                <w:b w:val="0"/>
                <w:sz w:val="20"/>
              </w:rPr>
              <w:t>2019-04-11</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3A7C41">
            <w:pPr>
              <w:pStyle w:val="T2"/>
              <w:spacing w:after="0"/>
              <w:ind w:left="0" w:right="0"/>
              <w:rPr>
                <w:b w:val="0"/>
                <w:sz w:val="20"/>
              </w:rPr>
            </w:pPr>
            <w:r>
              <w:rPr>
                <w:b w:val="0"/>
                <w:sz w:val="20"/>
              </w:rPr>
              <w:t>Dorothy Stanley</w:t>
            </w:r>
          </w:p>
        </w:tc>
        <w:tc>
          <w:tcPr>
            <w:tcW w:w="2064" w:type="dxa"/>
            <w:vAlign w:val="center"/>
          </w:tcPr>
          <w:p w:rsidR="00CA09B2" w:rsidRDefault="003A7C41">
            <w:pPr>
              <w:pStyle w:val="T2"/>
              <w:spacing w:after="0"/>
              <w:ind w:left="0" w:right="0"/>
              <w:rPr>
                <w:b w:val="0"/>
                <w:sz w:val="20"/>
              </w:rPr>
            </w:pPr>
            <w:r>
              <w:rPr>
                <w:b w:val="0"/>
                <w:sz w:val="20"/>
              </w:rPr>
              <w:t>Hewlett Packard Enterprise</w:t>
            </w:r>
          </w:p>
        </w:tc>
        <w:tc>
          <w:tcPr>
            <w:tcW w:w="2814" w:type="dxa"/>
            <w:vAlign w:val="center"/>
          </w:tcPr>
          <w:p w:rsidR="00CA09B2" w:rsidRDefault="003A7C41">
            <w:pPr>
              <w:pStyle w:val="T2"/>
              <w:spacing w:after="0"/>
              <w:ind w:left="0" w:right="0"/>
              <w:rPr>
                <w:b w:val="0"/>
                <w:sz w:val="20"/>
              </w:rPr>
            </w:pPr>
            <w:r>
              <w:rPr>
                <w:b w:val="0"/>
                <w:sz w:val="20"/>
              </w:rPr>
              <w:t>3333 Scott Blvd.</w:t>
            </w:r>
            <w:r>
              <w:rPr>
                <w:b w:val="0"/>
                <w:sz w:val="20"/>
              </w:rPr>
              <w:br/>
              <w:t>Santa Clara, CA 95054</w:t>
            </w:r>
          </w:p>
        </w:tc>
        <w:tc>
          <w:tcPr>
            <w:tcW w:w="1715" w:type="dxa"/>
            <w:vAlign w:val="center"/>
          </w:tcPr>
          <w:p w:rsidR="00CA09B2" w:rsidRDefault="003A7C41">
            <w:pPr>
              <w:pStyle w:val="T2"/>
              <w:spacing w:after="0"/>
              <w:ind w:left="0" w:right="0"/>
              <w:rPr>
                <w:b w:val="0"/>
                <w:sz w:val="20"/>
              </w:rPr>
            </w:pPr>
            <w:r>
              <w:rPr>
                <w:b w:val="0"/>
                <w:sz w:val="20"/>
              </w:rPr>
              <w:t>+1 630 363 1389</w:t>
            </w:r>
          </w:p>
        </w:tc>
        <w:tc>
          <w:tcPr>
            <w:tcW w:w="1647" w:type="dxa"/>
            <w:vAlign w:val="center"/>
          </w:tcPr>
          <w:p w:rsidR="00CA09B2" w:rsidRDefault="00CB0DC0">
            <w:pPr>
              <w:pStyle w:val="T2"/>
              <w:spacing w:after="0"/>
              <w:ind w:left="0" w:right="0"/>
              <w:rPr>
                <w:b w:val="0"/>
                <w:sz w:val="16"/>
              </w:rPr>
            </w:pPr>
            <w:hyperlink r:id="rId7" w:history="1">
              <w:r w:rsidR="003A7C41" w:rsidRPr="00190805">
                <w:rPr>
                  <w:rStyle w:val="Hyperlink"/>
                  <w:b w:val="0"/>
                  <w:sz w:val="16"/>
                </w:rPr>
                <w:t>dstanley@ieee.org</w:t>
              </w:r>
            </w:hyperlink>
            <w:r w:rsidR="003A7C41">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6A4F55">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-65314</wp:posOffset>
                </wp:positionH>
                <wp:positionV relativeFrom="paragraph">
                  <wp:posOffset>205831</wp:posOffset>
                </wp:positionV>
                <wp:extent cx="5943600" cy="4016828"/>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168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701AC7" w:rsidRDefault="003A7C41" w:rsidP="00661658">
                            <w:r w:rsidRPr="001C1675">
                              <w:t>T</w:t>
                            </w:r>
                            <w:r w:rsidR="00701AC7">
                              <w:t xml:space="preserve">his document contains </w:t>
                            </w:r>
                            <w:r w:rsidR="00661658">
                              <w:t>a liaison received from ITU-T Collaboration on ITS Communication Standards (CITS) committee related to maintaining an online database of ITS communication standards. The received liaison documents are embedded below, and copied on the following pages.</w:t>
                            </w:r>
                          </w:p>
                          <w:p w:rsidR="00661658" w:rsidRDefault="00661658" w:rsidP="00661658"/>
                          <w:p w:rsidR="00661658" w:rsidRDefault="00661658" w:rsidP="00661658"/>
                          <w:p w:rsidR="00661658" w:rsidRDefault="00661658" w:rsidP="00661658">
                            <w:r>
                              <w:object w:dxaOrig="1540"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Package" ShapeID="_x0000_i1025" DrawAspect="Icon" ObjectID="_1616476271" r:id="rId9"/>
                              </w:object>
                            </w:r>
                          </w:p>
                          <w:p w:rsidR="00661658" w:rsidRDefault="00661658" w:rsidP="00661658"/>
                          <w:p w:rsidR="00661658" w:rsidRPr="00661658" w:rsidRDefault="00661658" w:rsidP="00661658"/>
                          <w:p w:rsidR="00783821" w:rsidRDefault="00701AC7" w:rsidP="00701AC7">
                            <w:r>
                              <w:t xml:space="preserve"> </w:t>
                            </w:r>
                          </w:p>
                          <w:p w:rsidR="00701AC7" w:rsidRDefault="00701AC7" w:rsidP="00701AC7"/>
                          <w:p w:rsidR="00701AC7" w:rsidRDefault="00701AC7" w:rsidP="00701AC7">
                            <w:pPr>
                              <w:rPr>
                                <w:rFonts w:asciiTheme="minorHAnsi" w:hAnsiTheme="minorHAnsi" w:cstheme="minorHAnsi"/>
                                <w:i/>
                                <w:sz w:val="20"/>
                                <w:szCs w:val="20"/>
                              </w:rPr>
                            </w:pPr>
                          </w:p>
                          <w:p w:rsidR="00783821" w:rsidRDefault="00783821" w:rsidP="00783821">
                            <w:pPr>
                              <w:rPr>
                                <w:rFonts w:asciiTheme="minorHAnsi" w:hAnsiTheme="minorHAnsi" w:cstheme="minorHAnsi"/>
                                <w:i/>
                                <w:sz w:val="20"/>
                                <w:szCs w:val="20"/>
                              </w:rPr>
                            </w:pPr>
                          </w:p>
                          <w:p w:rsidR="00701FAE" w:rsidRDefault="00701FAE" w:rsidP="003A7C41">
                            <w:pPr>
                              <w:jc w:val="both"/>
                            </w:pPr>
                          </w:p>
                          <w:p w:rsidR="00701FAE" w:rsidRDefault="00701FAE" w:rsidP="003A7C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5pt;margin-top:16.2pt;width:468pt;height:31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w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" o:allowincell="f" stroked="f">
                <v:textbox>
                  <w:txbxContent>
                    <w:p w:rsidR="0029020B" w:rsidRDefault="0029020B">
                      <w:pPr>
                        <w:pStyle w:val="T1"/>
                        <w:spacing w:after="120"/>
                      </w:pPr>
                      <w:r>
                        <w:t>Abstract</w:t>
                      </w:r>
                    </w:p>
                    <w:p w:rsidR="00701AC7" w:rsidRDefault="003A7C41" w:rsidP="00661658">
                      <w:r w:rsidRPr="001C1675">
                        <w:t>T</w:t>
                      </w:r>
                      <w:r w:rsidR="00701AC7">
                        <w:t xml:space="preserve">his document contains </w:t>
                      </w:r>
                      <w:r w:rsidR="00661658">
                        <w:t>a liaison received from ITU-T Collaboration on ITS Communication Standards (CITS) committee related to maintaining an online database of ITS communication standards. The received liaison documents are embedded below, and copied on the following pages.</w:t>
                      </w:r>
                    </w:p>
                    <w:p w:rsidR="00661658" w:rsidRDefault="00661658" w:rsidP="00661658"/>
                    <w:p w:rsidR="00661658" w:rsidRDefault="00661658" w:rsidP="00661658"/>
                    <w:p w:rsidR="00661658" w:rsidRDefault="00661658" w:rsidP="00661658">
                      <w:r>
                        <w:object w:dxaOrig="1540" w:dyaOrig="997">
                          <v:shape id="_x0000_i1025" type="#_x0000_t75" style="width:77.25pt;height:49.5pt" o:ole="">
                            <v:imagedata r:id="rId8" o:title=""/>
                          </v:shape>
                          <o:OLEObject Type="Embed" ProgID="Package" ShapeID="_x0000_i1025" DrawAspect="Icon" ObjectID="_1616476271" r:id="rId10"/>
                        </w:object>
                      </w:r>
                    </w:p>
                    <w:p w:rsidR="00661658" w:rsidRDefault="00661658" w:rsidP="00661658"/>
                    <w:p w:rsidR="00661658" w:rsidRPr="00661658" w:rsidRDefault="00661658" w:rsidP="00661658"/>
                    <w:p w:rsidR="00783821" w:rsidRDefault="00701AC7" w:rsidP="00701AC7">
                      <w:r>
                        <w:t xml:space="preserve"> </w:t>
                      </w:r>
                    </w:p>
                    <w:p w:rsidR="00701AC7" w:rsidRDefault="00701AC7" w:rsidP="00701AC7"/>
                    <w:p w:rsidR="00701AC7" w:rsidRDefault="00701AC7" w:rsidP="00701AC7">
                      <w:pPr>
                        <w:rPr>
                          <w:rFonts w:asciiTheme="minorHAnsi" w:hAnsiTheme="minorHAnsi" w:cstheme="minorHAnsi"/>
                          <w:i/>
                          <w:sz w:val="20"/>
                          <w:szCs w:val="20"/>
                        </w:rPr>
                      </w:pPr>
                    </w:p>
                    <w:p w:rsidR="00783821" w:rsidRDefault="00783821" w:rsidP="00783821">
                      <w:pPr>
                        <w:rPr>
                          <w:rFonts w:asciiTheme="minorHAnsi" w:hAnsiTheme="minorHAnsi" w:cstheme="minorHAnsi"/>
                          <w:i/>
                          <w:sz w:val="20"/>
                          <w:szCs w:val="20"/>
                        </w:rPr>
                      </w:pPr>
                    </w:p>
                    <w:p w:rsidR="00701FAE" w:rsidRDefault="00701FAE" w:rsidP="003A7C41">
                      <w:pPr>
                        <w:jc w:val="both"/>
                      </w:pPr>
                    </w:p>
                    <w:p w:rsidR="00701FAE" w:rsidRDefault="00701FAE" w:rsidP="003A7C41">
                      <w:pPr>
                        <w:jc w:val="both"/>
                      </w:pPr>
                    </w:p>
                  </w:txbxContent>
                </v:textbox>
              </v:shape>
            </w:pict>
          </mc:Fallback>
        </mc:AlternateContent>
      </w:r>
    </w:p>
    <w:p w:rsidR="00CA09B2" w:rsidRDefault="00CA09B2" w:rsidP="009F50A1">
      <w:r>
        <w:br w:type="page"/>
      </w:r>
      <w:bookmarkStart w:id="0" w:name="_GoBack"/>
    </w:p>
    <w:tbl>
      <w:tblPr>
        <w:tblW w:w="9923" w:type="dxa"/>
        <w:tblLayout w:type="fixed"/>
        <w:tblCellMar>
          <w:left w:w="57" w:type="dxa"/>
          <w:right w:w="57" w:type="dxa"/>
        </w:tblCellMar>
        <w:tblLook w:val="0000" w:firstRow="0" w:lastRow="0" w:firstColumn="0" w:lastColumn="0" w:noHBand="0" w:noVBand="0"/>
      </w:tblPr>
      <w:tblGrid>
        <w:gridCol w:w="1191"/>
        <w:gridCol w:w="417"/>
        <w:gridCol w:w="9"/>
        <w:gridCol w:w="511"/>
        <w:gridCol w:w="3114"/>
        <w:gridCol w:w="146"/>
        <w:gridCol w:w="4535"/>
      </w:tblGrid>
      <w:tr w:rsidR="00661658" w:rsidRPr="006C18FE" w:rsidTr="00126B2A">
        <w:trPr>
          <w:cantSplit/>
        </w:trPr>
        <w:tc>
          <w:tcPr>
            <w:tcW w:w="1191" w:type="dxa"/>
            <w:vMerge w:val="restart"/>
          </w:tcPr>
          <w:p w:rsidR="00661658" w:rsidRPr="006C18FE" w:rsidRDefault="00661658" w:rsidP="00126B2A">
            <w:pPr>
              <w:rPr>
                <w:sz w:val="20"/>
                <w:szCs w:val="20"/>
              </w:rPr>
            </w:pPr>
            <w:bookmarkStart w:id="1" w:name="dnum" w:colFirst="2" w:colLast="2"/>
            <w:bookmarkStart w:id="2" w:name="dtableau"/>
            <w:bookmarkEnd w:id="0"/>
            <w:r w:rsidRPr="006C18FE">
              <w:rPr>
                <w:noProof/>
                <w:sz w:val="20"/>
                <w:szCs w:val="20"/>
              </w:rPr>
              <w:lastRenderedPageBreak/>
              <w:drawing>
                <wp:inline distT="0" distB="0" distL="0" distR="0" wp14:anchorId="05C2391E" wp14:editId="0715E654">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4"/>
            <w:vMerge w:val="restart"/>
          </w:tcPr>
          <w:p w:rsidR="00661658" w:rsidRPr="006C18FE" w:rsidRDefault="00661658" w:rsidP="00126B2A">
            <w:pPr>
              <w:rPr>
                <w:sz w:val="16"/>
                <w:szCs w:val="16"/>
              </w:rPr>
            </w:pPr>
            <w:r w:rsidRPr="006C18FE">
              <w:rPr>
                <w:sz w:val="16"/>
                <w:szCs w:val="16"/>
              </w:rPr>
              <w:t>INTERNATIONAL TELECOMMUNICATION UNION</w:t>
            </w:r>
          </w:p>
          <w:p w:rsidR="00661658" w:rsidRPr="006C18FE" w:rsidRDefault="00661658" w:rsidP="00126B2A">
            <w:pPr>
              <w:rPr>
                <w:b/>
                <w:bCs/>
                <w:sz w:val="26"/>
                <w:szCs w:val="26"/>
              </w:rPr>
            </w:pPr>
            <w:r w:rsidRPr="006C18FE">
              <w:rPr>
                <w:b/>
                <w:bCs/>
                <w:sz w:val="26"/>
                <w:szCs w:val="26"/>
              </w:rPr>
              <w:t>TELECOMMUNICATION</w:t>
            </w:r>
            <w:r w:rsidRPr="006C18FE">
              <w:rPr>
                <w:b/>
                <w:bCs/>
                <w:sz w:val="26"/>
                <w:szCs w:val="26"/>
              </w:rPr>
              <w:br/>
              <w:t>STANDARDIZATION SECTOR</w:t>
            </w:r>
          </w:p>
          <w:p w:rsidR="00661658" w:rsidRPr="006C18FE" w:rsidRDefault="00661658" w:rsidP="00126B2A">
            <w:pPr>
              <w:rPr>
                <w:sz w:val="20"/>
                <w:szCs w:val="20"/>
              </w:rPr>
            </w:pPr>
            <w:r w:rsidRPr="006C18FE">
              <w:rPr>
                <w:sz w:val="20"/>
                <w:szCs w:val="20"/>
              </w:rPr>
              <w:t xml:space="preserve">STUDY PERIOD </w:t>
            </w:r>
            <w:bookmarkStart w:id="3" w:name="dstudyperiod"/>
            <w:r w:rsidRPr="006C18FE">
              <w:rPr>
                <w:sz w:val="20"/>
                <w:szCs w:val="20"/>
              </w:rPr>
              <w:t>2017-2020</w:t>
            </w:r>
            <w:bookmarkEnd w:id="3"/>
          </w:p>
        </w:tc>
        <w:tc>
          <w:tcPr>
            <w:tcW w:w="4681" w:type="dxa"/>
            <w:gridSpan w:val="2"/>
            <w:vAlign w:val="center"/>
          </w:tcPr>
          <w:p w:rsidR="00661658" w:rsidRPr="006C18FE" w:rsidRDefault="00661658" w:rsidP="00126B2A">
            <w:pPr>
              <w:pStyle w:val="Docnumber"/>
              <w:rPr>
                <w:sz w:val="32"/>
              </w:rPr>
            </w:pPr>
            <w:r>
              <w:rPr>
                <w:sz w:val="32"/>
              </w:rPr>
              <w:t>CITS-LS12-E</w:t>
            </w:r>
          </w:p>
        </w:tc>
      </w:tr>
      <w:tr w:rsidR="00661658" w:rsidRPr="006C18FE" w:rsidTr="00126B2A">
        <w:trPr>
          <w:cantSplit/>
        </w:trPr>
        <w:tc>
          <w:tcPr>
            <w:tcW w:w="1191" w:type="dxa"/>
            <w:vMerge/>
          </w:tcPr>
          <w:p w:rsidR="00661658" w:rsidRPr="006C18FE" w:rsidRDefault="00661658" w:rsidP="00126B2A">
            <w:pPr>
              <w:rPr>
                <w:smallCaps/>
                <w:sz w:val="20"/>
              </w:rPr>
            </w:pPr>
            <w:bookmarkStart w:id="4" w:name="dsg" w:colFirst="2" w:colLast="2"/>
            <w:bookmarkEnd w:id="1"/>
          </w:p>
        </w:tc>
        <w:tc>
          <w:tcPr>
            <w:tcW w:w="4051" w:type="dxa"/>
            <w:gridSpan w:val="4"/>
            <w:vMerge/>
          </w:tcPr>
          <w:p w:rsidR="00661658" w:rsidRPr="006C18FE" w:rsidRDefault="00661658" w:rsidP="00126B2A">
            <w:pPr>
              <w:rPr>
                <w:smallCaps/>
                <w:sz w:val="20"/>
              </w:rPr>
            </w:pPr>
          </w:p>
        </w:tc>
        <w:tc>
          <w:tcPr>
            <w:tcW w:w="4681" w:type="dxa"/>
            <w:gridSpan w:val="2"/>
          </w:tcPr>
          <w:p w:rsidR="00661658" w:rsidRPr="006C18FE" w:rsidRDefault="00661658" w:rsidP="00126B2A">
            <w:pPr>
              <w:jc w:val="right"/>
              <w:rPr>
                <w:b/>
                <w:bCs/>
                <w:smallCaps/>
                <w:sz w:val="28"/>
                <w:szCs w:val="28"/>
              </w:rPr>
            </w:pPr>
          </w:p>
        </w:tc>
      </w:tr>
      <w:bookmarkEnd w:id="4"/>
      <w:tr w:rsidR="00661658" w:rsidRPr="006C18FE" w:rsidTr="00126B2A">
        <w:trPr>
          <w:cantSplit/>
        </w:trPr>
        <w:tc>
          <w:tcPr>
            <w:tcW w:w="1191" w:type="dxa"/>
            <w:vMerge/>
            <w:tcBorders>
              <w:bottom w:val="single" w:sz="12" w:space="0" w:color="auto"/>
            </w:tcBorders>
          </w:tcPr>
          <w:p w:rsidR="00661658" w:rsidRPr="006C18FE" w:rsidRDefault="00661658" w:rsidP="00126B2A">
            <w:pPr>
              <w:rPr>
                <w:b/>
                <w:bCs/>
                <w:sz w:val="26"/>
              </w:rPr>
            </w:pPr>
          </w:p>
        </w:tc>
        <w:tc>
          <w:tcPr>
            <w:tcW w:w="4051" w:type="dxa"/>
            <w:gridSpan w:val="4"/>
            <w:vMerge/>
            <w:tcBorders>
              <w:bottom w:val="single" w:sz="12" w:space="0" w:color="auto"/>
            </w:tcBorders>
          </w:tcPr>
          <w:p w:rsidR="00661658" w:rsidRPr="006C18FE" w:rsidRDefault="00661658" w:rsidP="00126B2A">
            <w:pPr>
              <w:rPr>
                <w:b/>
                <w:bCs/>
                <w:sz w:val="26"/>
              </w:rPr>
            </w:pPr>
          </w:p>
        </w:tc>
        <w:tc>
          <w:tcPr>
            <w:tcW w:w="4681" w:type="dxa"/>
            <w:gridSpan w:val="2"/>
            <w:tcBorders>
              <w:bottom w:val="single" w:sz="12" w:space="0" w:color="auto"/>
            </w:tcBorders>
            <w:vAlign w:val="center"/>
          </w:tcPr>
          <w:p w:rsidR="00661658" w:rsidRDefault="00661658" w:rsidP="00126B2A">
            <w:pPr>
              <w:jc w:val="right"/>
              <w:rPr>
                <w:b/>
                <w:bCs/>
                <w:sz w:val="28"/>
                <w:szCs w:val="28"/>
              </w:rPr>
            </w:pPr>
            <w:r>
              <w:rPr>
                <w:b/>
                <w:bCs/>
                <w:sz w:val="28"/>
                <w:szCs w:val="28"/>
              </w:rPr>
              <w:t>English Only</w:t>
            </w:r>
          </w:p>
          <w:p w:rsidR="00661658" w:rsidRPr="006C18FE" w:rsidRDefault="00661658" w:rsidP="00126B2A">
            <w:pPr>
              <w:jc w:val="right"/>
              <w:rPr>
                <w:b/>
                <w:bCs/>
                <w:sz w:val="28"/>
                <w:szCs w:val="28"/>
              </w:rPr>
            </w:pPr>
            <w:r w:rsidRPr="006C18FE">
              <w:rPr>
                <w:b/>
                <w:bCs/>
                <w:sz w:val="28"/>
                <w:szCs w:val="28"/>
              </w:rPr>
              <w:t>Original: English</w:t>
            </w:r>
          </w:p>
        </w:tc>
      </w:tr>
      <w:tr w:rsidR="00661658" w:rsidRPr="006C18FE" w:rsidTr="00126B2A">
        <w:trPr>
          <w:cantSplit/>
        </w:trPr>
        <w:tc>
          <w:tcPr>
            <w:tcW w:w="1617" w:type="dxa"/>
            <w:gridSpan w:val="3"/>
          </w:tcPr>
          <w:p w:rsidR="00661658" w:rsidRPr="006C18FE" w:rsidRDefault="00661658" w:rsidP="00126B2A">
            <w:pPr>
              <w:rPr>
                <w:b/>
                <w:bCs/>
              </w:rPr>
            </w:pPr>
            <w:bookmarkStart w:id="5" w:name="dbluepink" w:colFirst="1" w:colLast="1"/>
            <w:bookmarkStart w:id="6" w:name="dmeeting" w:colFirst="2" w:colLast="2"/>
            <w:r>
              <w:rPr>
                <w:b/>
                <w:bCs/>
              </w:rPr>
              <w:t>WG</w:t>
            </w:r>
            <w:r w:rsidRPr="006C18FE">
              <w:rPr>
                <w:b/>
                <w:bCs/>
              </w:rPr>
              <w:t>(s):</w:t>
            </w:r>
          </w:p>
        </w:tc>
        <w:tc>
          <w:tcPr>
            <w:tcW w:w="3625" w:type="dxa"/>
            <w:gridSpan w:val="2"/>
          </w:tcPr>
          <w:p w:rsidR="00661658" w:rsidRPr="006C18FE" w:rsidRDefault="00661658" w:rsidP="00126B2A"/>
        </w:tc>
        <w:tc>
          <w:tcPr>
            <w:tcW w:w="4681" w:type="dxa"/>
            <w:gridSpan w:val="2"/>
          </w:tcPr>
          <w:p w:rsidR="00661658" w:rsidRPr="006C18FE" w:rsidRDefault="00661658" w:rsidP="00126B2A">
            <w:pPr>
              <w:jc w:val="right"/>
            </w:pPr>
            <w:r>
              <w:t>Geneva, 8 March 2019</w:t>
            </w:r>
            <w:r w:rsidRPr="006C18FE">
              <w:t>:</w:t>
            </w:r>
          </w:p>
        </w:tc>
      </w:tr>
      <w:tr w:rsidR="00661658" w:rsidRPr="006C18FE" w:rsidTr="00126B2A">
        <w:trPr>
          <w:cantSplit/>
        </w:trPr>
        <w:tc>
          <w:tcPr>
            <w:tcW w:w="9923" w:type="dxa"/>
            <w:gridSpan w:val="7"/>
          </w:tcPr>
          <w:p w:rsidR="00661658" w:rsidRPr="006C18FE" w:rsidRDefault="00661658" w:rsidP="00126B2A">
            <w:pPr>
              <w:jc w:val="center"/>
              <w:rPr>
                <w:b/>
                <w:bCs/>
              </w:rPr>
            </w:pPr>
            <w:bookmarkStart w:id="7" w:name="ddoctype" w:colFirst="0" w:colLast="0"/>
            <w:bookmarkEnd w:id="5"/>
            <w:bookmarkEnd w:id="6"/>
            <w:r w:rsidRPr="006C18FE">
              <w:rPr>
                <w:b/>
                <w:bCs/>
              </w:rPr>
              <w:t>L</w:t>
            </w:r>
            <w:r>
              <w:rPr>
                <w:b/>
                <w:bCs/>
              </w:rPr>
              <w:t xml:space="preserve">IAISON </w:t>
            </w:r>
            <w:r w:rsidRPr="006C18FE">
              <w:rPr>
                <w:b/>
                <w:bCs/>
              </w:rPr>
              <w:t>S</w:t>
            </w:r>
            <w:r>
              <w:rPr>
                <w:b/>
                <w:bCs/>
              </w:rPr>
              <w:t>TATEMENT</w:t>
            </w:r>
          </w:p>
        </w:tc>
      </w:tr>
      <w:tr w:rsidR="00661658" w:rsidRPr="006C18FE" w:rsidTr="00126B2A">
        <w:trPr>
          <w:cantSplit/>
        </w:trPr>
        <w:tc>
          <w:tcPr>
            <w:tcW w:w="1617" w:type="dxa"/>
            <w:gridSpan w:val="3"/>
          </w:tcPr>
          <w:p w:rsidR="00661658" w:rsidRPr="006C18FE" w:rsidRDefault="00661658" w:rsidP="00126B2A">
            <w:pPr>
              <w:rPr>
                <w:b/>
                <w:bCs/>
              </w:rPr>
            </w:pPr>
            <w:bookmarkStart w:id="8" w:name="dsource" w:colFirst="1" w:colLast="1"/>
            <w:bookmarkEnd w:id="7"/>
            <w:r w:rsidRPr="006C18FE">
              <w:rPr>
                <w:b/>
                <w:bCs/>
              </w:rPr>
              <w:t>Source:</w:t>
            </w:r>
          </w:p>
        </w:tc>
        <w:tc>
          <w:tcPr>
            <w:tcW w:w="8306" w:type="dxa"/>
            <w:gridSpan w:val="4"/>
          </w:tcPr>
          <w:p w:rsidR="00661658" w:rsidRPr="006C18FE" w:rsidRDefault="00661658" w:rsidP="00126B2A">
            <w:r w:rsidRPr="006C18FE">
              <w:t>Collaboration on ITS Communication Standards (CITS)</w:t>
            </w:r>
          </w:p>
        </w:tc>
      </w:tr>
      <w:tr w:rsidR="00661658" w:rsidRPr="006C18FE" w:rsidTr="00126B2A">
        <w:trPr>
          <w:cantSplit/>
        </w:trPr>
        <w:tc>
          <w:tcPr>
            <w:tcW w:w="1617" w:type="dxa"/>
            <w:gridSpan w:val="3"/>
          </w:tcPr>
          <w:p w:rsidR="00661658" w:rsidRPr="006C18FE" w:rsidRDefault="00661658" w:rsidP="00126B2A">
            <w:bookmarkStart w:id="9" w:name="dtitle1" w:colFirst="1" w:colLast="1"/>
            <w:bookmarkEnd w:id="8"/>
            <w:r w:rsidRPr="006C18FE">
              <w:rPr>
                <w:b/>
                <w:bCs/>
              </w:rPr>
              <w:t>Title:</w:t>
            </w:r>
          </w:p>
        </w:tc>
        <w:tc>
          <w:tcPr>
            <w:tcW w:w="8306" w:type="dxa"/>
            <w:gridSpan w:val="4"/>
          </w:tcPr>
          <w:p w:rsidR="00661658" w:rsidRPr="006C18FE" w:rsidRDefault="00661658" w:rsidP="00126B2A">
            <w:r w:rsidRPr="006C18FE">
              <w:t>LS on ITS communication standards online database</w:t>
            </w:r>
          </w:p>
        </w:tc>
      </w:tr>
      <w:bookmarkEnd w:id="2"/>
      <w:bookmarkEnd w:id="9"/>
      <w:tr w:rsidR="00661658" w:rsidTr="00126B2A">
        <w:tblPrEx>
          <w:tblBorders>
            <w:top w:val="single" w:sz="12" w:space="0" w:color="000000"/>
          </w:tblBorders>
        </w:tblPrEx>
        <w:trPr>
          <w:cantSplit/>
          <w:trHeight w:val="357"/>
        </w:trPr>
        <w:tc>
          <w:tcPr>
            <w:tcW w:w="9923" w:type="dxa"/>
            <w:gridSpan w:val="7"/>
            <w:tcBorders>
              <w:top w:val="single" w:sz="12" w:space="0" w:color="000000"/>
            </w:tcBorders>
            <w:shd w:val="clear" w:color="auto" w:fill="auto"/>
          </w:tcPr>
          <w:p w:rsidR="00661658" w:rsidRDefault="00661658" w:rsidP="00126B2A">
            <w:pPr>
              <w:jc w:val="center"/>
              <w:rPr>
                <w:b/>
              </w:rPr>
            </w:pPr>
            <w:r>
              <w:rPr>
                <w:b/>
              </w:rPr>
              <w:t>LIAISON STATEMENT</w:t>
            </w:r>
          </w:p>
        </w:tc>
      </w:tr>
      <w:tr w:rsidR="00661658" w:rsidTr="00126B2A">
        <w:tblPrEx>
          <w:tblBorders>
            <w:top w:val="single" w:sz="12" w:space="0" w:color="000000"/>
          </w:tblBorders>
        </w:tblPrEx>
        <w:trPr>
          <w:cantSplit/>
          <w:trHeight w:val="357"/>
        </w:trPr>
        <w:tc>
          <w:tcPr>
            <w:tcW w:w="2128" w:type="dxa"/>
            <w:gridSpan w:val="4"/>
            <w:shd w:val="clear" w:color="auto" w:fill="auto"/>
          </w:tcPr>
          <w:p w:rsidR="00661658" w:rsidRDefault="00661658" w:rsidP="00126B2A">
            <w:pPr>
              <w:rPr>
                <w:b/>
                <w:bCs/>
              </w:rPr>
            </w:pPr>
            <w:r>
              <w:rPr>
                <w:b/>
                <w:bCs/>
              </w:rPr>
              <w:t>For action to:</w:t>
            </w:r>
          </w:p>
        </w:tc>
        <w:tc>
          <w:tcPr>
            <w:tcW w:w="7795" w:type="dxa"/>
            <w:gridSpan w:val="3"/>
            <w:shd w:val="clear" w:color="auto" w:fill="auto"/>
          </w:tcPr>
          <w:p w:rsidR="00661658" w:rsidRDefault="00661658" w:rsidP="00126B2A">
            <w:pPr>
              <w:pStyle w:val="LSForAction"/>
            </w:pPr>
            <w:r w:rsidRPr="00354494">
              <w:t>5GAA, ATIS Connected Car, CCSA TC10, CEN TC278, ETSI TC ITS, IEEE 1609 WG and IEEE P802.11-TGbd, ISO TC22 and ISO TC204, IETF IPWAVE WG, IMDA, SAE International, TTA PG905, TTC, W3C, WWRF, ITU-T SG12, SG16, SG17, SG20, ITU-R WP5A</w:t>
            </w:r>
          </w:p>
        </w:tc>
      </w:tr>
      <w:tr w:rsidR="00661658" w:rsidTr="00126B2A">
        <w:tblPrEx>
          <w:tblBorders>
            <w:top w:val="single" w:sz="12" w:space="0" w:color="000000"/>
          </w:tblBorders>
        </w:tblPrEx>
        <w:trPr>
          <w:cantSplit/>
          <w:trHeight w:val="357"/>
        </w:trPr>
        <w:tc>
          <w:tcPr>
            <w:tcW w:w="2128" w:type="dxa"/>
            <w:gridSpan w:val="4"/>
            <w:shd w:val="clear" w:color="auto" w:fill="auto"/>
          </w:tcPr>
          <w:p w:rsidR="00661658" w:rsidRDefault="00661658" w:rsidP="00126B2A">
            <w:pPr>
              <w:rPr>
                <w:b/>
                <w:bCs/>
              </w:rPr>
            </w:pPr>
            <w:r>
              <w:rPr>
                <w:b/>
                <w:bCs/>
              </w:rPr>
              <w:t>For comment to:</w:t>
            </w:r>
          </w:p>
        </w:tc>
        <w:tc>
          <w:tcPr>
            <w:tcW w:w="7795" w:type="dxa"/>
            <w:gridSpan w:val="3"/>
            <w:shd w:val="clear" w:color="auto" w:fill="auto"/>
          </w:tcPr>
          <w:p w:rsidR="00661658" w:rsidRDefault="00661658" w:rsidP="00126B2A">
            <w:pPr>
              <w:pStyle w:val="LSForComment"/>
            </w:pPr>
            <w:r>
              <w:t>-</w:t>
            </w:r>
          </w:p>
        </w:tc>
      </w:tr>
      <w:tr w:rsidR="00661658" w:rsidTr="00126B2A">
        <w:tblPrEx>
          <w:tblBorders>
            <w:top w:val="single" w:sz="12" w:space="0" w:color="000000"/>
          </w:tblBorders>
        </w:tblPrEx>
        <w:trPr>
          <w:cantSplit/>
          <w:trHeight w:val="357"/>
        </w:trPr>
        <w:tc>
          <w:tcPr>
            <w:tcW w:w="2128" w:type="dxa"/>
            <w:gridSpan w:val="4"/>
            <w:shd w:val="clear" w:color="auto" w:fill="auto"/>
          </w:tcPr>
          <w:p w:rsidR="00661658" w:rsidRDefault="00661658" w:rsidP="00126B2A">
            <w:pPr>
              <w:rPr>
                <w:b/>
                <w:bCs/>
              </w:rPr>
            </w:pPr>
            <w:r>
              <w:rPr>
                <w:b/>
                <w:bCs/>
              </w:rPr>
              <w:t>For information to:</w:t>
            </w:r>
          </w:p>
        </w:tc>
        <w:tc>
          <w:tcPr>
            <w:tcW w:w="7795" w:type="dxa"/>
            <w:gridSpan w:val="3"/>
            <w:shd w:val="clear" w:color="auto" w:fill="auto"/>
          </w:tcPr>
          <w:p w:rsidR="00661658" w:rsidRDefault="00661658" w:rsidP="00126B2A">
            <w:pPr>
              <w:pStyle w:val="LSForInfo"/>
            </w:pPr>
            <w:r w:rsidRPr="00354494">
              <w:t>ITU-T SG2, SG3, SG5, SG9, SG11, SG13, FG-VM, FG-ML5G</w:t>
            </w:r>
          </w:p>
        </w:tc>
      </w:tr>
      <w:tr w:rsidR="00661658" w:rsidTr="00126B2A">
        <w:tblPrEx>
          <w:tblBorders>
            <w:top w:val="single" w:sz="12" w:space="0" w:color="000000"/>
          </w:tblBorders>
        </w:tblPrEx>
        <w:trPr>
          <w:cantSplit/>
          <w:trHeight w:val="357"/>
        </w:trPr>
        <w:tc>
          <w:tcPr>
            <w:tcW w:w="2128" w:type="dxa"/>
            <w:gridSpan w:val="4"/>
            <w:shd w:val="clear" w:color="auto" w:fill="auto"/>
          </w:tcPr>
          <w:p w:rsidR="00661658" w:rsidRDefault="00661658" w:rsidP="00126B2A">
            <w:pPr>
              <w:rPr>
                <w:b/>
                <w:bCs/>
              </w:rPr>
            </w:pPr>
            <w:r>
              <w:rPr>
                <w:b/>
                <w:bCs/>
              </w:rPr>
              <w:t>Approval:</w:t>
            </w:r>
          </w:p>
        </w:tc>
        <w:tc>
          <w:tcPr>
            <w:tcW w:w="7795" w:type="dxa"/>
            <w:gridSpan w:val="3"/>
            <w:shd w:val="clear" w:color="auto" w:fill="auto"/>
          </w:tcPr>
          <w:p w:rsidR="00661658" w:rsidRPr="000846E3" w:rsidRDefault="00661658" w:rsidP="00126B2A">
            <w:r w:rsidRPr="000846E3">
              <w:t>CITS Meeting (8 March 2019)</w:t>
            </w:r>
          </w:p>
        </w:tc>
      </w:tr>
      <w:tr w:rsidR="00661658" w:rsidTr="00126B2A">
        <w:tblPrEx>
          <w:tblBorders>
            <w:top w:val="single" w:sz="12" w:space="0" w:color="000000"/>
          </w:tblBorders>
        </w:tblPrEx>
        <w:trPr>
          <w:cantSplit/>
          <w:trHeight w:val="357"/>
        </w:trPr>
        <w:tc>
          <w:tcPr>
            <w:tcW w:w="2128" w:type="dxa"/>
            <w:gridSpan w:val="4"/>
            <w:tcBorders>
              <w:bottom w:val="single" w:sz="12" w:space="0" w:color="000000"/>
            </w:tcBorders>
            <w:shd w:val="clear" w:color="auto" w:fill="auto"/>
          </w:tcPr>
          <w:p w:rsidR="00661658" w:rsidRDefault="00661658" w:rsidP="00126B2A">
            <w:pPr>
              <w:rPr>
                <w:b/>
                <w:bCs/>
              </w:rPr>
            </w:pPr>
            <w:r>
              <w:rPr>
                <w:b/>
                <w:bCs/>
              </w:rPr>
              <w:t>Deadline:</w:t>
            </w:r>
          </w:p>
        </w:tc>
        <w:tc>
          <w:tcPr>
            <w:tcW w:w="7795" w:type="dxa"/>
            <w:gridSpan w:val="3"/>
            <w:tcBorders>
              <w:bottom w:val="single" w:sz="12" w:space="0" w:color="000000"/>
            </w:tcBorders>
            <w:shd w:val="clear" w:color="auto" w:fill="auto"/>
          </w:tcPr>
          <w:p w:rsidR="00661658" w:rsidRDefault="00661658" w:rsidP="00126B2A">
            <w:pPr>
              <w:pStyle w:val="LSDeadline"/>
            </w:pPr>
            <w:r>
              <w:t>N/A</w:t>
            </w:r>
          </w:p>
        </w:tc>
      </w:tr>
      <w:tr w:rsidR="00661658" w:rsidRPr="00CC63A1" w:rsidTr="00126B2A">
        <w:tblPrEx>
          <w:tblBorders>
            <w:top w:val="single" w:sz="12" w:space="0" w:color="000000"/>
          </w:tblBorders>
        </w:tblPrEx>
        <w:trPr>
          <w:cantSplit/>
        </w:trPr>
        <w:tc>
          <w:tcPr>
            <w:tcW w:w="1608" w:type="dxa"/>
            <w:gridSpan w:val="2"/>
            <w:tcBorders>
              <w:top w:val="single" w:sz="8" w:space="0" w:color="000000"/>
              <w:bottom w:val="single" w:sz="8" w:space="0" w:color="000000"/>
            </w:tcBorders>
            <w:shd w:val="clear" w:color="auto" w:fill="auto"/>
          </w:tcPr>
          <w:p w:rsidR="00661658" w:rsidRDefault="00661658" w:rsidP="00126B2A">
            <w:pPr>
              <w:rPr>
                <w:b/>
                <w:bCs/>
              </w:rPr>
            </w:pPr>
            <w:r>
              <w:rPr>
                <w:b/>
                <w:bCs/>
              </w:rPr>
              <w:t>Contact:</w:t>
            </w:r>
          </w:p>
        </w:tc>
        <w:tc>
          <w:tcPr>
            <w:tcW w:w="3780" w:type="dxa"/>
            <w:gridSpan w:val="4"/>
            <w:tcBorders>
              <w:top w:val="single" w:sz="8" w:space="0" w:color="000000"/>
              <w:bottom w:val="single" w:sz="8" w:space="0" w:color="000000"/>
            </w:tcBorders>
            <w:shd w:val="clear" w:color="auto" w:fill="auto"/>
          </w:tcPr>
          <w:p w:rsidR="00661658" w:rsidRDefault="00661658" w:rsidP="00126B2A">
            <w:sdt>
              <w:sdtPr>
                <w:alias w:val="ContactNameOrgCountry"/>
                <w:id w:val="1472484889"/>
                <w:text/>
              </w:sdtPr>
              <w:sdtContent>
                <w:r>
                  <w:rPr>
                    <w:lang w:val="en-US"/>
                  </w:rPr>
                  <w:t xml:space="preserve">Stefano </w:t>
                </w:r>
                <w:proofErr w:type="spellStart"/>
                <w:r>
                  <w:rPr>
                    <w:lang w:val="en-US"/>
                  </w:rPr>
                  <w:t>Polidori</w:t>
                </w:r>
                <w:proofErr w:type="spellEnd"/>
                <w:r>
                  <w:rPr>
                    <w:lang w:val="en-US"/>
                  </w:rPr>
                  <w:br/>
                  <w:t>ITU</w:t>
                </w:r>
                <w:r>
                  <w:rPr>
                    <w:lang w:val="en-US"/>
                  </w:rPr>
                  <w:br/>
                  <w:t>Switzerland</w:t>
                </w:r>
              </w:sdtContent>
            </w:sdt>
          </w:p>
        </w:tc>
        <w:tc>
          <w:tcPr>
            <w:tcW w:w="4535" w:type="dxa"/>
            <w:tcBorders>
              <w:top w:val="single" w:sz="8" w:space="0" w:color="000000"/>
              <w:bottom w:val="single" w:sz="8" w:space="0" w:color="000000"/>
            </w:tcBorders>
            <w:shd w:val="clear" w:color="auto" w:fill="auto"/>
          </w:tcPr>
          <w:p w:rsidR="00661658" w:rsidRPr="00781B8B" w:rsidRDefault="00661658" w:rsidP="00126B2A">
            <w:pPr>
              <w:rPr>
                <w:lang w:val="fr-FR"/>
              </w:rPr>
            </w:pPr>
            <w:r>
              <w:rPr>
                <w:lang w:val="pt-BR"/>
              </w:rPr>
              <w:t xml:space="preserve">Tel: +41 79 599 1413 </w:t>
            </w:r>
            <w:r>
              <w:rPr>
                <w:lang w:val="pt-BR"/>
              </w:rPr>
              <w:br/>
              <w:t>E-mail: stefano.polidori@itu.int</w:t>
            </w:r>
          </w:p>
        </w:tc>
      </w:tr>
      <w:tr w:rsidR="00661658" w:rsidRPr="00CC63A1" w:rsidTr="00126B2A">
        <w:tblPrEx>
          <w:tblBorders>
            <w:top w:val="single" w:sz="12" w:space="0" w:color="000000"/>
          </w:tblBorders>
        </w:tblPrEx>
        <w:trPr>
          <w:cantSplit/>
        </w:trPr>
        <w:tc>
          <w:tcPr>
            <w:tcW w:w="1608" w:type="dxa"/>
            <w:gridSpan w:val="2"/>
            <w:tcBorders>
              <w:top w:val="single" w:sz="8" w:space="0" w:color="000000"/>
              <w:bottom w:val="single" w:sz="8" w:space="0" w:color="000000"/>
            </w:tcBorders>
            <w:shd w:val="clear" w:color="auto" w:fill="auto"/>
          </w:tcPr>
          <w:p w:rsidR="00661658" w:rsidRDefault="00661658" w:rsidP="00126B2A">
            <w:pPr>
              <w:rPr>
                <w:b/>
                <w:bCs/>
              </w:rPr>
            </w:pPr>
            <w:r>
              <w:rPr>
                <w:b/>
                <w:bCs/>
              </w:rPr>
              <w:t>Contact:</w:t>
            </w:r>
          </w:p>
        </w:tc>
        <w:tc>
          <w:tcPr>
            <w:tcW w:w="3780" w:type="dxa"/>
            <w:gridSpan w:val="4"/>
            <w:tcBorders>
              <w:top w:val="single" w:sz="8" w:space="0" w:color="000000"/>
              <w:bottom w:val="single" w:sz="8" w:space="0" w:color="000000"/>
            </w:tcBorders>
            <w:shd w:val="clear" w:color="auto" w:fill="auto"/>
          </w:tcPr>
          <w:p w:rsidR="00661658" w:rsidRDefault="00661658" w:rsidP="00126B2A">
            <w:sdt>
              <w:sdtPr>
                <w:alias w:val="ContactNameOrgCountry"/>
                <w:id w:val="1612013621"/>
                <w:text/>
              </w:sdtPr>
              <w:sdtContent>
                <w:r>
                  <w:rPr>
                    <w:lang w:val="en-US"/>
                  </w:rPr>
                  <w:t xml:space="preserve">Arthur </w:t>
                </w:r>
                <w:proofErr w:type="spellStart"/>
                <w:r>
                  <w:rPr>
                    <w:lang w:val="en-US"/>
                  </w:rPr>
                  <w:t>Atangana</w:t>
                </w:r>
                <w:proofErr w:type="spellEnd"/>
                <w:r>
                  <w:rPr>
                    <w:lang w:val="en-US"/>
                  </w:rPr>
                  <w:br/>
                  <w:t>TSB Consultant</w:t>
                </w:r>
                <w:r>
                  <w:rPr>
                    <w:lang w:val="en-US"/>
                  </w:rPr>
                  <w:br/>
                  <w:t>Canada</w:t>
                </w:r>
              </w:sdtContent>
            </w:sdt>
          </w:p>
        </w:tc>
        <w:tc>
          <w:tcPr>
            <w:tcW w:w="4535" w:type="dxa"/>
            <w:tcBorders>
              <w:top w:val="single" w:sz="8" w:space="0" w:color="000000"/>
              <w:bottom w:val="single" w:sz="8" w:space="0" w:color="000000"/>
            </w:tcBorders>
            <w:shd w:val="clear" w:color="auto" w:fill="auto"/>
          </w:tcPr>
          <w:p w:rsidR="00661658" w:rsidRPr="00781B8B" w:rsidRDefault="00661658" w:rsidP="00126B2A">
            <w:pPr>
              <w:rPr>
                <w:lang w:val="fr-FR"/>
              </w:rPr>
            </w:pPr>
            <w:r>
              <w:rPr>
                <w:lang w:val="pt-BR"/>
              </w:rPr>
              <w:t>Tel: +1 647 524 1929</w:t>
            </w:r>
            <w:r>
              <w:rPr>
                <w:lang w:val="pt-BR"/>
              </w:rPr>
              <w:br/>
              <w:t>E-mail: arthur@atangana.co</w:t>
            </w:r>
          </w:p>
        </w:tc>
      </w:tr>
      <w:tr w:rsidR="00661658" w:rsidRPr="00ED6E93" w:rsidTr="00126B2A">
        <w:tblPrEx>
          <w:tblBorders>
            <w:top w:val="single" w:sz="12" w:space="0" w:color="000000"/>
          </w:tblBorders>
        </w:tblPrEx>
        <w:trPr>
          <w:cantSplit/>
        </w:trPr>
        <w:tc>
          <w:tcPr>
            <w:tcW w:w="1608" w:type="dxa"/>
            <w:gridSpan w:val="2"/>
            <w:tcBorders>
              <w:top w:val="single" w:sz="8" w:space="0" w:color="000000"/>
              <w:bottom w:val="single" w:sz="8" w:space="0" w:color="000000"/>
            </w:tcBorders>
            <w:shd w:val="clear" w:color="auto" w:fill="auto"/>
          </w:tcPr>
          <w:p w:rsidR="00661658" w:rsidRDefault="00661658" w:rsidP="00126B2A">
            <w:pPr>
              <w:rPr>
                <w:b/>
                <w:bCs/>
              </w:rPr>
            </w:pPr>
            <w:r>
              <w:rPr>
                <w:b/>
                <w:bCs/>
              </w:rPr>
              <w:t>Contact:</w:t>
            </w:r>
          </w:p>
        </w:tc>
        <w:tc>
          <w:tcPr>
            <w:tcW w:w="3780" w:type="dxa"/>
            <w:gridSpan w:val="4"/>
            <w:tcBorders>
              <w:top w:val="single" w:sz="8" w:space="0" w:color="000000"/>
              <w:bottom w:val="single" w:sz="8" w:space="0" w:color="000000"/>
            </w:tcBorders>
            <w:shd w:val="clear" w:color="auto" w:fill="auto"/>
          </w:tcPr>
          <w:p w:rsidR="00661658" w:rsidRDefault="00661658" w:rsidP="00126B2A">
            <w:r>
              <w:t>Russel Shield</w:t>
            </w:r>
            <w:r>
              <w:br/>
              <w:t>Chair CITS</w:t>
            </w:r>
          </w:p>
        </w:tc>
        <w:tc>
          <w:tcPr>
            <w:tcW w:w="4535" w:type="dxa"/>
            <w:tcBorders>
              <w:top w:val="single" w:sz="8" w:space="0" w:color="000000"/>
              <w:bottom w:val="single" w:sz="8" w:space="0" w:color="000000"/>
            </w:tcBorders>
            <w:shd w:val="clear" w:color="auto" w:fill="auto"/>
          </w:tcPr>
          <w:p w:rsidR="00661658" w:rsidRPr="00ED6E93" w:rsidRDefault="00661658" w:rsidP="00126B2A">
            <w:r>
              <w:t xml:space="preserve">Email: </w:t>
            </w:r>
            <w:r w:rsidRPr="00184524">
              <w:t>trs@ygomi.com</w:t>
            </w:r>
          </w:p>
        </w:tc>
      </w:tr>
    </w:tbl>
    <w:p w:rsidR="00661658" w:rsidRDefault="00661658" w:rsidP="00661658">
      <w:pPr>
        <w:rPr>
          <w:lang w:val="pt-BR"/>
        </w:rPr>
      </w:pPr>
    </w:p>
    <w:tbl>
      <w:tblPr>
        <w:tblW w:w="9923" w:type="dxa"/>
        <w:tblCellMar>
          <w:left w:w="57" w:type="dxa"/>
          <w:right w:w="57" w:type="dxa"/>
        </w:tblCellMar>
        <w:tblLook w:val="0000" w:firstRow="0" w:lastRow="0" w:firstColumn="0" w:lastColumn="0" w:noHBand="0" w:noVBand="0"/>
      </w:tblPr>
      <w:tblGrid>
        <w:gridCol w:w="1641"/>
        <w:gridCol w:w="8282"/>
      </w:tblGrid>
      <w:tr w:rsidR="00661658" w:rsidTr="00126B2A">
        <w:trPr>
          <w:cantSplit/>
        </w:trPr>
        <w:tc>
          <w:tcPr>
            <w:tcW w:w="1641" w:type="dxa"/>
            <w:shd w:val="clear" w:color="auto" w:fill="auto"/>
          </w:tcPr>
          <w:p w:rsidR="00661658" w:rsidRDefault="00661658" w:rsidP="00126B2A">
            <w:pPr>
              <w:rPr>
                <w:b/>
                <w:bCs/>
              </w:rPr>
            </w:pPr>
            <w:r>
              <w:rPr>
                <w:b/>
                <w:bCs/>
              </w:rPr>
              <w:t>Keywords:</w:t>
            </w:r>
          </w:p>
        </w:tc>
        <w:tc>
          <w:tcPr>
            <w:tcW w:w="8281" w:type="dxa"/>
            <w:shd w:val="clear" w:color="auto" w:fill="auto"/>
          </w:tcPr>
          <w:p w:rsidR="00661658" w:rsidRDefault="00661658" w:rsidP="00126B2A">
            <w:sdt>
              <w:sdtPr>
                <w:alias w:val="Keywords"/>
                <w:id w:val="763415943"/>
                <w:dataBinding w:prefixMappings="xmlns:ns0='http://purl.org/dc/elements/1.1/' xmlns:ns1='http://schemas.openxmlformats.org/package/2006/metadata/core-properties' " w:xpath="/ns1:coreProperties[1]/ns1:keywords[1]" w:storeItemID="{6C3C8BC8-F283-45AE-878A-BAB7291924A1}"/>
                <w:text/>
              </w:sdtPr>
              <w:sdtContent>
                <w:r>
                  <w:t>April 2019</w:t>
                </w:r>
              </w:sdtContent>
            </w:sdt>
          </w:p>
        </w:tc>
      </w:tr>
      <w:tr w:rsidR="00661658" w:rsidTr="00126B2A">
        <w:trPr>
          <w:cantSplit/>
        </w:trPr>
        <w:tc>
          <w:tcPr>
            <w:tcW w:w="1641" w:type="dxa"/>
            <w:shd w:val="clear" w:color="auto" w:fill="auto"/>
          </w:tcPr>
          <w:p w:rsidR="00661658" w:rsidRDefault="00661658" w:rsidP="00126B2A">
            <w:bookmarkStart w:id="10" w:name="_Hlk2075331"/>
            <w:r>
              <w:rPr>
                <w:b/>
                <w:bCs/>
              </w:rPr>
              <w:t>Abstract:</w:t>
            </w:r>
          </w:p>
        </w:tc>
        <w:tc>
          <w:tcPr>
            <w:tcW w:w="8281" w:type="dxa"/>
            <w:shd w:val="clear" w:color="auto" w:fill="auto"/>
          </w:tcPr>
          <w:sdt>
            <w:sdtPr>
              <w:alias w:val="ContactTelFaxEmail"/>
              <w:id w:val="211933002"/>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p w:rsidR="00661658" w:rsidRDefault="00661658" w:rsidP="00126B2A">
                <w:r>
                  <w:t xml:space="preserve">This liaison statement aims to inform the various standards developing organizations (SDOs) of the latest decision from the Collaboration on ITS communication standards (CITS) to develop </w:t>
                </w:r>
                <w:proofErr w:type="gramStart"/>
                <w:r>
                  <w:t>an</w:t>
                </w:r>
                <w:proofErr w:type="gramEnd"/>
                <w:r>
                  <w:t xml:space="preserve"> ITS Communication Standards online database. SDOs are also invited to appoint an expert charged to maintain current their standards in the database. SDOs are also invited to link this database from relevant webpages for stakeholders use</w:t>
                </w:r>
              </w:p>
            </w:sdtContent>
          </w:sdt>
        </w:tc>
      </w:tr>
    </w:tbl>
    <w:bookmarkEnd w:id="10"/>
    <w:p w:rsidR="00661658" w:rsidRDefault="00661658" w:rsidP="00661658">
      <w:r>
        <w:t xml:space="preserve">At the recent meeting of the Collaboration on ITS Communication Standards (CITS), held in Geneva on the 8 March 2019, it was agreed to inform relevant standards developing organizations that the CITS will pursue its efforts to develop an online database for ITS Communication Standards. </w:t>
      </w:r>
    </w:p>
    <w:p w:rsidR="00661658" w:rsidRDefault="00661658" w:rsidP="00661658">
      <w:r>
        <w:t>In order to do so, it would be highly beneficial if participating SDOs would review the categorisation of their related-standards and appoint an expert to maintain and update the relevant communication standards in the online database.</w:t>
      </w:r>
    </w:p>
    <w:p w:rsidR="00661658" w:rsidRDefault="00661658" w:rsidP="00661658">
      <w:r>
        <w:t>The draft classification and categorisation of your standards is attached for your review.</w:t>
      </w:r>
    </w:p>
    <w:p w:rsidR="00661658" w:rsidRDefault="00661658" w:rsidP="00661658">
      <w:r>
        <w:t xml:space="preserve">The online database is already accessible </w:t>
      </w:r>
      <w:hyperlink r:id="rId12" w:anchor="?topic=0.131&amp;workgroup=1&amp;searchValue=&amp;page=1&amp;sort=Revelance" w:history="1">
        <w:r w:rsidRPr="000846E3">
          <w:rPr>
            <w:rStyle w:val="Hyperlink"/>
          </w:rPr>
          <w:t>here</w:t>
        </w:r>
      </w:hyperlink>
      <w:r>
        <w:t>. It already includes the ITU relevant ITS communication standards.</w:t>
      </w:r>
    </w:p>
    <w:p w:rsidR="00661658" w:rsidRDefault="00661658" w:rsidP="00661658">
      <w:r>
        <w:lastRenderedPageBreak/>
        <w:t xml:space="preserve">Please inform the CITS Secretariat, Mr Stefano </w:t>
      </w:r>
      <w:proofErr w:type="spellStart"/>
      <w:r>
        <w:t>Polidori</w:t>
      </w:r>
      <w:proofErr w:type="spellEnd"/>
      <w:r>
        <w:t xml:space="preserve">, at </w:t>
      </w:r>
      <w:hyperlink r:id="rId13" w:history="1">
        <w:r w:rsidRPr="00BC30AA">
          <w:rPr>
            <w:rStyle w:val="Hyperlink"/>
          </w:rPr>
          <w:t>tsbcits@itu.int</w:t>
        </w:r>
      </w:hyperlink>
      <w:r>
        <w:t xml:space="preserve"> on the appointed expert to maintain current your standards in the online database. The Secretariat will provide him/her the necessary information and credentials to update the database online.</w:t>
      </w:r>
    </w:p>
    <w:p w:rsidR="00661658" w:rsidRDefault="00661658" w:rsidP="00661658"/>
    <w:p w:rsidR="00661658" w:rsidRDefault="00661658" w:rsidP="00661658">
      <w:r>
        <w:t>We look forward to hearing and working with you.</w:t>
      </w:r>
    </w:p>
    <w:p w:rsidR="00661658" w:rsidRDefault="00661658" w:rsidP="00661658"/>
    <w:p w:rsidR="00661658" w:rsidRPr="000E6E0C" w:rsidRDefault="00661658" w:rsidP="00661658">
      <w:pPr>
        <w:rPr>
          <w:b/>
          <w:bCs/>
        </w:rPr>
      </w:pPr>
      <w:r w:rsidRPr="000E6E0C">
        <w:rPr>
          <w:b/>
          <w:bCs/>
        </w:rPr>
        <w:t>Attachments: 2</w:t>
      </w:r>
    </w:p>
    <w:p w:rsidR="00661658" w:rsidRDefault="00661658" w:rsidP="00661658">
      <w:pPr>
        <w:pStyle w:val="ListParagraph"/>
        <w:numPr>
          <w:ilvl w:val="0"/>
          <w:numId w:val="11"/>
        </w:numPr>
        <w:spacing w:before="0"/>
        <w:ind w:left="567" w:hanging="567"/>
      </w:pPr>
      <w:r>
        <w:t>ITS standards classification</w:t>
      </w:r>
    </w:p>
    <w:p w:rsidR="00661658" w:rsidRDefault="00661658" w:rsidP="00661658">
      <w:pPr>
        <w:pStyle w:val="ListParagraph"/>
        <w:numPr>
          <w:ilvl w:val="0"/>
          <w:numId w:val="11"/>
        </w:numPr>
        <w:spacing w:before="0"/>
        <w:ind w:left="567" w:hanging="567"/>
      </w:pPr>
      <w:r>
        <w:t>Categorization of your ITS standards</w:t>
      </w:r>
    </w:p>
    <w:p w:rsidR="00661658" w:rsidRDefault="00661658" w:rsidP="00661658">
      <w:pPr>
        <w:jc w:val="center"/>
      </w:pPr>
      <w:r>
        <w:t>_________________</w:t>
      </w:r>
    </w:p>
    <w:p w:rsidR="00661658" w:rsidRDefault="00661658">
      <w:pPr>
        <w:rPr>
          <w:b/>
          <w:sz w:val="28"/>
        </w:rPr>
      </w:pPr>
      <w:r>
        <w:rPr>
          <w:b/>
          <w:sz w:val="28"/>
        </w:rPr>
        <w:br w:type="page"/>
      </w:r>
    </w:p>
    <w:p w:rsidR="0019068F" w:rsidRDefault="0019068F" w:rsidP="0019068F">
      <w:pPr>
        <w:jc w:val="center"/>
        <w:rPr>
          <w:b/>
          <w:bCs/>
          <w:sz w:val="32"/>
          <w:szCs w:val="32"/>
        </w:rPr>
      </w:pPr>
      <w:r>
        <w:rPr>
          <w:b/>
          <w:bCs/>
          <w:sz w:val="32"/>
          <w:szCs w:val="32"/>
        </w:rPr>
        <w:lastRenderedPageBreak/>
        <w:t xml:space="preserve">PROJECT: ITS </w:t>
      </w:r>
      <w:r w:rsidRPr="00AE0176">
        <w:rPr>
          <w:b/>
          <w:bCs/>
          <w:sz w:val="32"/>
          <w:szCs w:val="32"/>
        </w:rPr>
        <w:t>Communication</w:t>
      </w:r>
      <w:r>
        <w:rPr>
          <w:b/>
          <w:bCs/>
          <w:sz w:val="32"/>
          <w:szCs w:val="32"/>
        </w:rPr>
        <w:t xml:space="preserve"> Standards Online Database</w:t>
      </w:r>
    </w:p>
    <w:p w:rsidR="0019068F" w:rsidRPr="00AE0176" w:rsidRDefault="0019068F" w:rsidP="0019068F">
      <w:r w:rsidRPr="00AE0176">
        <w:t xml:space="preserve">The following draft classification has been developed for possible categorization of standards </w:t>
      </w:r>
      <w:r w:rsidRPr="00AE0176">
        <w:br/>
        <w:t xml:space="preserve">in the field of ITS Communication. </w:t>
      </w:r>
    </w:p>
    <w:p w:rsidR="0019068F" w:rsidRDefault="0019068F" w:rsidP="0019068F">
      <w:pPr>
        <w:rPr>
          <w:b/>
          <w:bCs/>
        </w:rPr>
      </w:pPr>
      <w:r>
        <w:rPr>
          <w:b/>
          <w:bCs/>
        </w:rPr>
        <w:t>ITS Communication Standards</w:t>
      </w:r>
    </w:p>
    <w:p w:rsidR="0019068F" w:rsidRDefault="0019068F" w:rsidP="0019068F">
      <w:pPr>
        <w:pStyle w:val="ListParagraph"/>
        <w:numPr>
          <w:ilvl w:val="0"/>
          <w:numId w:val="12"/>
        </w:numPr>
        <w:spacing w:before="0" w:after="160" w:line="256" w:lineRule="auto"/>
      </w:pPr>
      <w:r>
        <w:t>Definitions and Taxonomy</w:t>
      </w:r>
    </w:p>
    <w:p w:rsidR="0019068F" w:rsidRDefault="0019068F" w:rsidP="0019068F">
      <w:pPr>
        <w:pStyle w:val="ListParagraph"/>
        <w:numPr>
          <w:ilvl w:val="0"/>
          <w:numId w:val="12"/>
        </w:numPr>
        <w:spacing w:before="0" w:after="160" w:line="256" w:lineRule="auto"/>
      </w:pPr>
      <w:r>
        <w:t>ITS Architecture and Requirements</w:t>
      </w:r>
    </w:p>
    <w:p w:rsidR="0019068F" w:rsidRDefault="0019068F" w:rsidP="0019068F">
      <w:pPr>
        <w:pStyle w:val="ListParagraph"/>
        <w:numPr>
          <w:ilvl w:val="1"/>
          <w:numId w:val="12"/>
        </w:numPr>
        <w:spacing w:before="0" w:after="160" w:line="256" w:lineRule="auto"/>
      </w:pPr>
      <w:r>
        <w:t>V2V</w:t>
      </w:r>
    </w:p>
    <w:p w:rsidR="0019068F" w:rsidRDefault="0019068F" w:rsidP="0019068F">
      <w:pPr>
        <w:pStyle w:val="ListParagraph"/>
        <w:numPr>
          <w:ilvl w:val="1"/>
          <w:numId w:val="12"/>
        </w:numPr>
        <w:spacing w:before="0" w:after="160" w:line="256" w:lineRule="auto"/>
      </w:pPr>
      <w:r>
        <w:t>V2C</w:t>
      </w:r>
    </w:p>
    <w:p w:rsidR="0019068F" w:rsidRDefault="0019068F" w:rsidP="0019068F">
      <w:pPr>
        <w:pStyle w:val="ListParagraph"/>
        <w:numPr>
          <w:ilvl w:val="1"/>
          <w:numId w:val="12"/>
        </w:numPr>
        <w:spacing w:before="0" w:after="160" w:line="256" w:lineRule="auto"/>
      </w:pPr>
      <w:r>
        <w:t>V2P</w:t>
      </w:r>
    </w:p>
    <w:p w:rsidR="0019068F" w:rsidRDefault="0019068F" w:rsidP="0019068F">
      <w:pPr>
        <w:pStyle w:val="ListParagraph"/>
        <w:numPr>
          <w:ilvl w:val="1"/>
          <w:numId w:val="12"/>
        </w:numPr>
        <w:spacing w:before="0" w:after="160" w:line="256" w:lineRule="auto"/>
      </w:pPr>
      <w:r>
        <w:t>V2D</w:t>
      </w:r>
    </w:p>
    <w:p w:rsidR="0019068F" w:rsidRDefault="0019068F" w:rsidP="0019068F">
      <w:pPr>
        <w:pStyle w:val="ListParagraph"/>
        <w:numPr>
          <w:ilvl w:val="1"/>
          <w:numId w:val="12"/>
        </w:numPr>
        <w:spacing w:before="0" w:after="160" w:line="256" w:lineRule="auto"/>
      </w:pPr>
      <w:r>
        <w:t>V2I</w:t>
      </w:r>
    </w:p>
    <w:p w:rsidR="0019068F" w:rsidRDefault="0019068F" w:rsidP="0019068F">
      <w:pPr>
        <w:pStyle w:val="ListParagraph"/>
        <w:numPr>
          <w:ilvl w:val="1"/>
          <w:numId w:val="12"/>
        </w:numPr>
        <w:spacing w:before="0" w:after="160" w:line="256" w:lineRule="auto"/>
      </w:pPr>
      <w:r>
        <w:t>V2X</w:t>
      </w:r>
    </w:p>
    <w:p w:rsidR="0019068F" w:rsidRDefault="0019068F" w:rsidP="0019068F">
      <w:pPr>
        <w:pStyle w:val="ListParagraph"/>
        <w:numPr>
          <w:ilvl w:val="1"/>
          <w:numId w:val="12"/>
        </w:numPr>
        <w:spacing w:before="0" w:after="160" w:line="256" w:lineRule="auto"/>
      </w:pPr>
      <w:r>
        <w:t>Vehicle gateways</w:t>
      </w:r>
      <w:r w:rsidRPr="00FA700F">
        <w:t xml:space="preserve"> </w:t>
      </w:r>
    </w:p>
    <w:p w:rsidR="0019068F" w:rsidRDefault="0019068F" w:rsidP="0019068F">
      <w:pPr>
        <w:pStyle w:val="ListParagraph"/>
        <w:numPr>
          <w:ilvl w:val="1"/>
          <w:numId w:val="12"/>
        </w:numPr>
        <w:spacing w:before="0" w:after="160" w:line="256" w:lineRule="auto"/>
      </w:pPr>
      <w:r>
        <w:t>NGN</w:t>
      </w:r>
    </w:p>
    <w:p w:rsidR="0019068F" w:rsidRDefault="0019068F" w:rsidP="0019068F">
      <w:pPr>
        <w:pStyle w:val="ListParagraph"/>
        <w:numPr>
          <w:ilvl w:val="0"/>
          <w:numId w:val="12"/>
        </w:numPr>
        <w:spacing w:before="0" w:after="160" w:line="256" w:lineRule="auto"/>
      </w:pPr>
      <w:r>
        <w:t>ITS services and Applications</w:t>
      </w:r>
    </w:p>
    <w:p w:rsidR="0019068F" w:rsidRDefault="0019068F" w:rsidP="0019068F">
      <w:pPr>
        <w:pStyle w:val="ListParagraph"/>
        <w:numPr>
          <w:ilvl w:val="1"/>
          <w:numId w:val="12"/>
        </w:numPr>
        <w:spacing w:before="0" w:after="160" w:line="256" w:lineRule="auto"/>
      </w:pPr>
      <w:r>
        <w:t>Vehicle Multimedia and Infotainment</w:t>
      </w:r>
    </w:p>
    <w:p w:rsidR="0019068F" w:rsidRDefault="0019068F" w:rsidP="0019068F">
      <w:pPr>
        <w:pStyle w:val="ListParagraph"/>
        <w:numPr>
          <w:ilvl w:val="1"/>
          <w:numId w:val="12"/>
        </w:numPr>
        <w:spacing w:before="0" w:after="160" w:line="256" w:lineRule="auto"/>
      </w:pPr>
      <w:r>
        <w:t>Safety systems</w:t>
      </w:r>
    </w:p>
    <w:p w:rsidR="0019068F" w:rsidRDefault="0019068F" w:rsidP="0019068F">
      <w:pPr>
        <w:pStyle w:val="ListParagraph"/>
        <w:numPr>
          <w:ilvl w:val="1"/>
          <w:numId w:val="12"/>
        </w:numPr>
        <w:spacing w:before="0" w:after="160" w:line="256" w:lineRule="auto"/>
      </w:pPr>
      <w:r>
        <w:t>Navigation</w:t>
      </w:r>
    </w:p>
    <w:p w:rsidR="0019068F" w:rsidRDefault="0019068F" w:rsidP="0019068F">
      <w:pPr>
        <w:pStyle w:val="ListParagraph"/>
        <w:numPr>
          <w:ilvl w:val="1"/>
          <w:numId w:val="12"/>
        </w:numPr>
        <w:spacing w:before="0" w:after="160" w:line="256" w:lineRule="auto"/>
      </w:pPr>
      <w:r>
        <w:t>Location/Positioning</w:t>
      </w:r>
    </w:p>
    <w:p w:rsidR="0019068F" w:rsidRDefault="0019068F" w:rsidP="0019068F">
      <w:pPr>
        <w:pStyle w:val="ListParagraph"/>
        <w:numPr>
          <w:ilvl w:val="1"/>
          <w:numId w:val="12"/>
        </w:numPr>
        <w:spacing w:before="0" w:after="160" w:line="256" w:lineRule="auto"/>
      </w:pPr>
      <w:r>
        <w:t>Emergency Communications</w:t>
      </w:r>
    </w:p>
    <w:p w:rsidR="0019068F" w:rsidRDefault="0019068F" w:rsidP="0019068F">
      <w:pPr>
        <w:pStyle w:val="ListParagraph"/>
        <w:numPr>
          <w:ilvl w:val="1"/>
          <w:numId w:val="12"/>
        </w:numPr>
        <w:spacing w:before="0" w:after="160" w:line="256" w:lineRule="auto"/>
      </w:pPr>
      <w:r>
        <w:t>Hands Free Communications in Vehicles</w:t>
      </w:r>
    </w:p>
    <w:p w:rsidR="0019068F" w:rsidRDefault="0019068F" w:rsidP="0019068F">
      <w:pPr>
        <w:pStyle w:val="ListParagraph"/>
        <w:numPr>
          <w:ilvl w:val="1"/>
          <w:numId w:val="12"/>
        </w:numPr>
        <w:spacing w:before="0" w:after="160" w:line="256" w:lineRule="auto"/>
      </w:pPr>
      <w:r>
        <w:t>Autonomous Driving</w:t>
      </w:r>
    </w:p>
    <w:p w:rsidR="0019068F" w:rsidRDefault="0019068F" w:rsidP="0019068F">
      <w:pPr>
        <w:pStyle w:val="ListParagraph"/>
        <w:numPr>
          <w:ilvl w:val="0"/>
          <w:numId w:val="12"/>
        </w:numPr>
        <w:spacing w:before="0" w:after="160" w:line="256" w:lineRule="auto"/>
      </w:pPr>
      <w:r>
        <w:t>ITS Communications Protocols</w:t>
      </w:r>
    </w:p>
    <w:p w:rsidR="0019068F" w:rsidRDefault="0019068F" w:rsidP="0019068F">
      <w:pPr>
        <w:pStyle w:val="ListParagraph"/>
        <w:numPr>
          <w:ilvl w:val="1"/>
          <w:numId w:val="12"/>
        </w:numPr>
        <w:spacing w:before="0" w:after="160" w:line="256" w:lineRule="auto"/>
      </w:pPr>
      <w:r>
        <w:t>Satellite Communications</w:t>
      </w:r>
    </w:p>
    <w:p w:rsidR="0019068F" w:rsidRDefault="0019068F" w:rsidP="0019068F">
      <w:pPr>
        <w:pStyle w:val="ListParagraph"/>
        <w:numPr>
          <w:ilvl w:val="1"/>
          <w:numId w:val="12"/>
        </w:numPr>
        <w:spacing w:before="0" w:after="160" w:line="256" w:lineRule="auto"/>
      </w:pPr>
      <w:r>
        <w:t>Mobile Devices/Networks (cellular)</w:t>
      </w:r>
    </w:p>
    <w:p w:rsidR="0019068F" w:rsidRDefault="0019068F" w:rsidP="0019068F">
      <w:pPr>
        <w:pStyle w:val="ListParagraph"/>
        <w:numPr>
          <w:ilvl w:val="1"/>
          <w:numId w:val="12"/>
        </w:numPr>
        <w:spacing w:before="0" w:after="160" w:line="256" w:lineRule="auto"/>
      </w:pPr>
      <w:r>
        <w:t>Short and Mid-Range Devices/Networks</w:t>
      </w:r>
    </w:p>
    <w:p w:rsidR="0019068F" w:rsidRDefault="0019068F" w:rsidP="0019068F">
      <w:pPr>
        <w:pStyle w:val="ListParagraph"/>
        <w:numPr>
          <w:ilvl w:val="1"/>
          <w:numId w:val="12"/>
        </w:numPr>
        <w:spacing w:before="0" w:after="160" w:line="256" w:lineRule="auto"/>
      </w:pPr>
      <w:r>
        <w:t>Wired Networking</w:t>
      </w:r>
      <w:r w:rsidRPr="00FA700F">
        <w:t xml:space="preserve"> </w:t>
      </w:r>
    </w:p>
    <w:p w:rsidR="0019068F" w:rsidRDefault="0019068F" w:rsidP="0019068F">
      <w:pPr>
        <w:pStyle w:val="ListParagraph"/>
        <w:numPr>
          <w:ilvl w:val="0"/>
          <w:numId w:val="12"/>
        </w:numPr>
        <w:spacing w:before="0" w:after="160" w:line="256" w:lineRule="auto"/>
      </w:pPr>
      <w:proofErr w:type="spellStart"/>
      <w:r>
        <w:t>QoS</w:t>
      </w:r>
      <w:proofErr w:type="spellEnd"/>
      <w:r>
        <w:t>/</w:t>
      </w:r>
      <w:proofErr w:type="spellStart"/>
      <w:r>
        <w:t>QoE</w:t>
      </w:r>
      <w:proofErr w:type="spellEnd"/>
      <w:r>
        <w:t xml:space="preserve"> in Vehicles</w:t>
      </w:r>
    </w:p>
    <w:p w:rsidR="0019068F" w:rsidRDefault="0019068F" w:rsidP="0019068F">
      <w:pPr>
        <w:pStyle w:val="ListParagraph"/>
        <w:numPr>
          <w:ilvl w:val="1"/>
          <w:numId w:val="12"/>
        </w:numPr>
        <w:spacing w:before="0" w:after="160" w:line="256" w:lineRule="auto"/>
      </w:pPr>
      <w:r>
        <w:t>Media</w:t>
      </w:r>
    </w:p>
    <w:p w:rsidR="0019068F" w:rsidRDefault="0019068F" w:rsidP="0019068F">
      <w:pPr>
        <w:pStyle w:val="ListParagraph"/>
        <w:numPr>
          <w:ilvl w:val="1"/>
          <w:numId w:val="12"/>
        </w:numPr>
        <w:spacing w:before="0" w:after="160" w:line="256" w:lineRule="auto"/>
      </w:pPr>
      <w:r>
        <w:t>Voice</w:t>
      </w:r>
    </w:p>
    <w:p w:rsidR="0019068F" w:rsidRDefault="0019068F" w:rsidP="0019068F">
      <w:pPr>
        <w:pStyle w:val="ListParagraph"/>
        <w:numPr>
          <w:ilvl w:val="0"/>
          <w:numId w:val="12"/>
        </w:numPr>
        <w:spacing w:before="0" w:after="160" w:line="256" w:lineRule="auto"/>
      </w:pPr>
      <w:r>
        <w:t>ITS Security</w:t>
      </w:r>
    </w:p>
    <w:p w:rsidR="0019068F" w:rsidRDefault="0019068F" w:rsidP="0019068F">
      <w:pPr>
        <w:pStyle w:val="ListParagraph"/>
        <w:numPr>
          <w:ilvl w:val="1"/>
          <w:numId w:val="12"/>
        </w:numPr>
        <w:spacing w:before="0" w:after="160" w:line="256" w:lineRule="auto"/>
      </w:pPr>
      <w:r>
        <w:t>OTA Security</w:t>
      </w:r>
    </w:p>
    <w:p w:rsidR="0019068F" w:rsidRDefault="0019068F" w:rsidP="0019068F">
      <w:pPr>
        <w:pStyle w:val="ListParagraph"/>
        <w:numPr>
          <w:ilvl w:val="1"/>
          <w:numId w:val="12"/>
        </w:numPr>
        <w:spacing w:before="0" w:after="160" w:line="256" w:lineRule="auto"/>
      </w:pPr>
      <w:r>
        <w:t>Threat Intelligence</w:t>
      </w:r>
    </w:p>
    <w:p w:rsidR="0019068F" w:rsidRDefault="0019068F" w:rsidP="0019068F">
      <w:pPr>
        <w:pStyle w:val="ListParagraph"/>
        <w:numPr>
          <w:ilvl w:val="1"/>
          <w:numId w:val="12"/>
        </w:numPr>
        <w:spacing w:before="0" w:after="160" w:line="256" w:lineRule="auto"/>
      </w:pPr>
      <w:r>
        <w:t>Privacy</w:t>
      </w:r>
    </w:p>
    <w:p w:rsidR="0019068F" w:rsidRDefault="0019068F" w:rsidP="0019068F">
      <w:pPr>
        <w:pStyle w:val="ListParagraph"/>
        <w:numPr>
          <w:ilvl w:val="1"/>
          <w:numId w:val="12"/>
        </w:numPr>
        <w:spacing w:before="0" w:after="160" w:line="256" w:lineRule="auto"/>
      </w:pPr>
      <w:r>
        <w:t>Trust</w:t>
      </w:r>
    </w:p>
    <w:p w:rsidR="0019068F" w:rsidRDefault="0019068F" w:rsidP="0019068F">
      <w:pPr>
        <w:pStyle w:val="ListParagraph"/>
        <w:numPr>
          <w:ilvl w:val="1"/>
          <w:numId w:val="12"/>
        </w:numPr>
        <w:spacing w:before="0" w:after="160" w:line="256" w:lineRule="auto"/>
      </w:pPr>
      <w:r>
        <w:t>Cybersecurity</w:t>
      </w:r>
    </w:p>
    <w:p w:rsidR="0019068F" w:rsidRDefault="0019068F" w:rsidP="0019068F">
      <w:pPr>
        <w:pStyle w:val="ListParagraph"/>
        <w:numPr>
          <w:ilvl w:val="0"/>
          <w:numId w:val="12"/>
        </w:numPr>
        <w:spacing w:before="0" w:after="160" w:line="256" w:lineRule="auto"/>
      </w:pPr>
      <w:r>
        <w:t>ITS Test Specifications</w:t>
      </w:r>
    </w:p>
    <w:p w:rsidR="0019068F" w:rsidRDefault="0019068F" w:rsidP="0019068F">
      <w:pPr>
        <w:pStyle w:val="ListParagraph"/>
        <w:numPr>
          <w:ilvl w:val="1"/>
          <w:numId w:val="12"/>
        </w:numPr>
        <w:spacing w:before="0" w:after="160" w:line="256" w:lineRule="auto"/>
      </w:pPr>
      <w:r>
        <w:t>Conformity Testing</w:t>
      </w:r>
    </w:p>
    <w:p w:rsidR="0019068F" w:rsidRDefault="0019068F" w:rsidP="0019068F">
      <w:pPr>
        <w:pStyle w:val="ListParagraph"/>
        <w:numPr>
          <w:ilvl w:val="1"/>
          <w:numId w:val="12"/>
        </w:numPr>
        <w:spacing w:before="0" w:after="160" w:line="256" w:lineRule="auto"/>
      </w:pPr>
      <w:r>
        <w:t>Interoperability Testing</w:t>
      </w:r>
    </w:p>
    <w:p w:rsidR="0019068F" w:rsidRDefault="0019068F" w:rsidP="0019068F"/>
    <w:p w:rsidR="0019068F" w:rsidRPr="00586245" w:rsidRDefault="0019068F" w:rsidP="0019068F">
      <w:pPr>
        <w:pageBreakBefore/>
        <w:spacing w:line="257" w:lineRule="auto"/>
        <w:rPr>
          <w:b/>
          <w:sz w:val="28"/>
        </w:rPr>
      </w:pPr>
      <w:r>
        <w:rPr>
          <w:b/>
          <w:sz w:val="28"/>
        </w:rPr>
        <w:lastRenderedPageBreak/>
        <w:t xml:space="preserve">ANNEX </w:t>
      </w:r>
      <w:r w:rsidRPr="00E879D0">
        <w:rPr>
          <w:b/>
          <w:sz w:val="28"/>
        </w:rPr>
        <w:t>–</w:t>
      </w:r>
      <w:r>
        <w:rPr>
          <w:b/>
          <w:sz w:val="28"/>
        </w:rPr>
        <w:t xml:space="preserve"> </w:t>
      </w:r>
      <w:r w:rsidRPr="00586245">
        <w:rPr>
          <w:b/>
          <w:sz w:val="28"/>
        </w:rPr>
        <w:t>Rational</w:t>
      </w:r>
      <w:r>
        <w:rPr>
          <w:b/>
          <w:sz w:val="28"/>
        </w:rPr>
        <w:t xml:space="preserve"> for the above classification</w:t>
      </w:r>
    </w:p>
    <w:p w:rsidR="0019068F" w:rsidRDefault="0019068F" w:rsidP="0019068F">
      <w:r>
        <w:t>The ITS communications standard classification is an effort by TSB to develop an online database for Intelligent Transport Systems Communications Standards. The goal of such a database is to:</w:t>
      </w:r>
    </w:p>
    <w:p w:rsidR="0019068F" w:rsidRDefault="0019068F" w:rsidP="0019068F">
      <w:pPr>
        <w:pStyle w:val="ListParagraph"/>
        <w:numPr>
          <w:ilvl w:val="0"/>
          <w:numId w:val="13"/>
        </w:numPr>
        <w:spacing w:before="0" w:after="160" w:line="259" w:lineRule="auto"/>
      </w:pPr>
      <w:r>
        <w:t>Aggregate ITU recommendation efforts concerning ITS communications</w:t>
      </w:r>
    </w:p>
    <w:p w:rsidR="0019068F" w:rsidRDefault="0019068F" w:rsidP="0019068F">
      <w:pPr>
        <w:pStyle w:val="ListParagraph"/>
        <w:numPr>
          <w:ilvl w:val="0"/>
          <w:numId w:val="13"/>
        </w:numPr>
        <w:spacing w:before="0" w:after="160" w:line="259" w:lineRule="auto"/>
      </w:pPr>
      <w:r>
        <w:t>Aggregate SDO standards on ITS communications.</w:t>
      </w:r>
    </w:p>
    <w:p w:rsidR="0019068F" w:rsidRDefault="0019068F" w:rsidP="0019068F">
      <w:pPr>
        <w:pStyle w:val="ListParagraph"/>
        <w:numPr>
          <w:ilvl w:val="0"/>
          <w:numId w:val="13"/>
        </w:numPr>
        <w:spacing w:before="0" w:after="160" w:line="259" w:lineRule="auto"/>
      </w:pPr>
      <w:r>
        <w:t>Enable SDOs to easily input their updates on ITS communications standards.</w:t>
      </w:r>
    </w:p>
    <w:p w:rsidR="0019068F" w:rsidRDefault="0019068F" w:rsidP="0019068F">
      <w:pPr>
        <w:pStyle w:val="ListParagraph"/>
        <w:numPr>
          <w:ilvl w:val="0"/>
          <w:numId w:val="13"/>
        </w:numPr>
        <w:spacing w:before="0" w:after="160" w:line="259" w:lineRule="auto"/>
      </w:pPr>
      <w:r>
        <w:t>Make searching for standards and recommendations for ITS communications easier.</w:t>
      </w:r>
    </w:p>
    <w:p w:rsidR="0019068F" w:rsidRDefault="0019068F" w:rsidP="0019068F"/>
    <w:p w:rsidR="0019068F" w:rsidRDefault="0019068F" w:rsidP="0019068F">
      <w:r>
        <w:t>The classification developed for ITS communications standards will utilize the roadmap tool from ITU for the following reasons</w:t>
      </w:r>
    </w:p>
    <w:p w:rsidR="0019068F" w:rsidRDefault="0019068F" w:rsidP="0019068F">
      <w:pPr>
        <w:pStyle w:val="ListParagraph"/>
        <w:numPr>
          <w:ilvl w:val="0"/>
          <w:numId w:val="14"/>
        </w:numPr>
        <w:spacing w:before="0" w:after="160" w:line="259" w:lineRule="auto"/>
      </w:pPr>
      <w:r>
        <w:t>The roadmap is designed to aggregate and reference standards from any SDOs. This interface makes the process of finding standards of a particular topic much easier, as a centralized database for CITS standards has not yet been implemented.</w:t>
      </w:r>
    </w:p>
    <w:p w:rsidR="0019068F" w:rsidRDefault="0019068F" w:rsidP="0019068F">
      <w:pPr>
        <w:pStyle w:val="ListParagraph"/>
        <w:numPr>
          <w:ilvl w:val="0"/>
          <w:numId w:val="14"/>
        </w:numPr>
        <w:spacing w:before="0" w:after="160" w:line="259" w:lineRule="auto"/>
      </w:pPr>
      <w:r>
        <w:t>Enables SDOs to access the database and add and modify their own standards.</w:t>
      </w:r>
    </w:p>
    <w:p w:rsidR="0019068F" w:rsidRDefault="0019068F" w:rsidP="0019068F">
      <w:pPr>
        <w:pStyle w:val="ListParagraph"/>
        <w:numPr>
          <w:ilvl w:val="0"/>
          <w:numId w:val="14"/>
        </w:numPr>
        <w:spacing w:before="0" w:after="160" w:line="259" w:lineRule="auto"/>
      </w:pPr>
      <w:r>
        <w:t>The Roadmap offers an efficient search function, as it has the capability to scan plain text standards.</w:t>
      </w:r>
    </w:p>
    <w:p w:rsidR="0019068F" w:rsidRDefault="0019068F" w:rsidP="0019068F">
      <w:pPr>
        <w:pStyle w:val="ListParagraph"/>
        <w:numPr>
          <w:ilvl w:val="0"/>
          <w:numId w:val="14"/>
        </w:numPr>
        <w:spacing w:before="0" w:after="160" w:line="259" w:lineRule="auto"/>
      </w:pPr>
      <w:r>
        <w:t>It is suggested to categorize each standard under two sub-categories</w:t>
      </w:r>
    </w:p>
    <w:p w:rsidR="0019068F" w:rsidRDefault="0019068F" w:rsidP="0019068F"/>
    <w:p w:rsidR="0019068F" w:rsidRPr="001B78E0" w:rsidRDefault="0019068F" w:rsidP="0019068F">
      <w:pPr>
        <w:rPr>
          <w:b/>
          <w:bCs/>
          <w:u w:val="single"/>
        </w:rPr>
      </w:pPr>
      <w:r w:rsidRPr="001B78E0">
        <w:rPr>
          <w:b/>
          <w:bCs/>
          <w:u w:val="single"/>
        </w:rPr>
        <w:t>Definitions and Taxonomy:</w:t>
      </w:r>
    </w:p>
    <w:p w:rsidR="0019068F" w:rsidRDefault="0019068F" w:rsidP="0019068F">
      <w:r>
        <w:t>Any standard regarding definitions and taxonomy will also be classified under another topic as it would be insufficient for it to be classified only under this category.</w:t>
      </w:r>
    </w:p>
    <w:p w:rsidR="0019068F" w:rsidRPr="001B78E0" w:rsidRDefault="0019068F" w:rsidP="0019068F">
      <w:pPr>
        <w:rPr>
          <w:b/>
          <w:bCs/>
          <w:u w:val="single"/>
        </w:rPr>
      </w:pPr>
      <w:r w:rsidRPr="001B78E0">
        <w:rPr>
          <w:b/>
          <w:bCs/>
          <w:u w:val="single"/>
        </w:rPr>
        <w:t>ITS Architecture and Requirements:</w:t>
      </w:r>
    </w:p>
    <w:p w:rsidR="0019068F" w:rsidRPr="001B78E0" w:rsidRDefault="0019068F" w:rsidP="0019068F">
      <w:pPr>
        <w:rPr>
          <w:b/>
          <w:bCs/>
        </w:rPr>
      </w:pPr>
      <w:r w:rsidRPr="001B78E0">
        <w:rPr>
          <w:b/>
          <w:bCs/>
        </w:rPr>
        <w:t xml:space="preserve">V2V: </w:t>
      </w:r>
    </w:p>
    <w:p w:rsidR="0019068F" w:rsidRDefault="0019068F" w:rsidP="0019068F">
      <w:r>
        <w:t>The Vehicle to Vehicle (V2V) category covers communications between multiple vehicles. V2V communication technologies provide or support information transfers between vehicle, and are applicable in support of safety systems, autonomous driving, and other applications that require mesh networks to function.</w:t>
      </w:r>
    </w:p>
    <w:p w:rsidR="0019068F" w:rsidRPr="001B78E0" w:rsidRDefault="0019068F" w:rsidP="0019068F">
      <w:pPr>
        <w:rPr>
          <w:b/>
          <w:bCs/>
        </w:rPr>
      </w:pPr>
      <w:r w:rsidRPr="001B78E0">
        <w:rPr>
          <w:b/>
          <w:bCs/>
        </w:rPr>
        <w:t xml:space="preserve">V2C: </w:t>
      </w:r>
    </w:p>
    <w:p w:rsidR="0019068F" w:rsidRDefault="0019068F" w:rsidP="0019068F">
      <w:r>
        <w:t xml:space="preserve">The Vehicle to Cloud (V2C) category will be relevant to any communications standards regarding cloud integration to vehicles. As various systems, applications and services will be provided from the cloud and will control the operations of the vehicle, V2C communications are an important aspect of V2X communications standards. It can include cloud—based information, security, entertainment </w:t>
      </w:r>
      <w:proofErr w:type="spellStart"/>
      <w:r>
        <w:t>etc</w:t>
      </w:r>
      <w:proofErr w:type="spellEnd"/>
      <w:r>
        <w:t>…</w:t>
      </w:r>
    </w:p>
    <w:p w:rsidR="0019068F" w:rsidRPr="001B78E0" w:rsidRDefault="0019068F" w:rsidP="0019068F">
      <w:pPr>
        <w:rPr>
          <w:b/>
          <w:bCs/>
        </w:rPr>
      </w:pPr>
      <w:r w:rsidRPr="001B78E0">
        <w:rPr>
          <w:b/>
          <w:bCs/>
        </w:rPr>
        <w:t>V2P:</w:t>
      </w:r>
    </w:p>
    <w:p w:rsidR="0019068F" w:rsidRDefault="0019068F" w:rsidP="0019068F">
      <w:r>
        <w:t xml:space="preserve"> The Vehicle to Pedestrian (V2P) category will be relevant to any communications standards regarding interactions between pedestrian and vehicles. This can include pedestrian detection, collision prevention or pedestrian alerts, and can concern </w:t>
      </w:r>
      <w:proofErr w:type="gramStart"/>
      <w:r>
        <w:t>both pedestrians or</w:t>
      </w:r>
      <w:proofErr w:type="gramEnd"/>
      <w:r>
        <w:t xml:space="preserve"> bicyclists using either smartphones or wearable connected devices.</w:t>
      </w:r>
    </w:p>
    <w:p w:rsidR="0019068F" w:rsidRPr="005117CC" w:rsidRDefault="0019068F" w:rsidP="0019068F">
      <w:pPr>
        <w:rPr>
          <w:b/>
        </w:rPr>
      </w:pPr>
      <w:r w:rsidRPr="005117CC">
        <w:rPr>
          <w:b/>
        </w:rPr>
        <w:t>V2D:</w:t>
      </w:r>
    </w:p>
    <w:p w:rsidR="0019068F" w:rsidRDefault="0019068F" w:rsidP="0019068F">
      <w:r>
        <w:t>The Vehicle to device (V2D), also known as Vehicle to nomadic devices (V2ND or V2N) category is dedicated to communication standards pertaining to communications in between the vehicle and in-vehicle devices.</w:t>
      </w:r>
    </w:p>
    <w:p w:rsidR="0019068F" w:rsidRPr="001B78E0" w:rsidRDefault="0019068F" w:rsidP="0019068F">
      <w:pPr>
        <w:rPr>
          <w:b/>
          <w:bCs/>
        </w:rPr>
      </w:pPr>
      <w:r w:rsidRPr="001B78E0">
        <w:rPr>
          <w:b/>
          <w:bCs/>
        </w:rPr>
        <w:t xml:space="preserve">V2I: </w:t>
      </w:r>
    </w:p>
    <w:p w:rsidR="0019068F" w:rsidRDefault="0019068F" w:rsidP="0019068F">
      <w:r>
        <w:t>The Vehicle to Infrastructure (V2I) category will be relevant to any communications standards regarding communication interactions between vehicles and infrastructure system like highways, or regarding infrastructure control for applications like traffic management etc.…</w:t>
      </w:r>
    </w:p>
    <w:p w:rsidR="0019068F" w:rsidRPr="001B78E0" w:rsidRDefault="0019068F" w:rsidP="0019068F">
      <w:pPr>
        <w:rPr>
          <w:b/>
          <w:bCs/>
        </w:rPr>
      </w:pPr>
      <w:r w:rsidRPr="001B78E0">
        <w:rPr>
          <w:b/>
          <w:bCs/>
        </w:rPr>
        <w:lastRenderedPageBreak/>
        <w:t xml:space="preserve">V2X: </w:t>
      </w:r>
    </w:p>
    <w:p w:rsidR="0019068F" w:rsidRDefault="0019068F" w:rsidP="0019068F">
      <w:r>
        <w:t xml:space="preserve">The V2X category covers a wide range of standards regarding communications between the vehicle and external systems. There is value in breaking down V2X in the classification as SDOs will be working on standards focused on specific applications for V2P, V2C </w:t>
      </w:r>
      <w:proofErr w:type="spellStart"/>
      <w:r>
        <w:t>etc</w:t>
      </w:r>
      <w:proofErr w:type="spellEnd"/>
      <w:r>
        <w:t>, but V2X can be reserved for standards too vague in their V2X classification, or standards that touch multiple aspects of V2X without focusing on a particular V2X technology.</w:t>
      </w:r>
    </w:p>
    <w:p w:rsidR="0019068F" w:rsidRPr="001B78E0" w:rsidRDefault="0019068F" w:rsidP="0019068F">
      <w:pPr>
        <w:rPr>
          <w:b/>
          <w:bCs/>
        </w:rPr>
      </w:pPr>
      <w:r w:rsidRPr="001B78E0">
        <w:rPr>
          <w:b/>
          <w:bCs/>
        </w:rPr>
        <w:t>Vehicle Gateways:</w:t>
      </w:r>
    </w:p>
    <w:p w:rsidR="0019068F" w:rsidRDefault="0019068F" w:rsidP="0019068F">
      <w:r>
        <w:t>The vehicle gateways category covers communication standards about VG devices communications. This category will include standards about vehicle gateways (VG), vehicle gateway platform (VGP), and relationships between VGs and in-vehicle networks, ICT devices, relevant communication protocols, and support to V2X.</w:t>
      </w:r>
    </w:p>
    <w:p w:rsidR="0019068F" w:rsidRPr="001B78E0" w:rsidRDefault="0019068F" w:rsidP="0019068F">
      <w:pPr>
        <w:rPr>
          <w:b/>
          <w:bCs/>
        </w:rPr>
      </w:pPr>
      <w:r w:rsidRPr="001B78E0">
        <w:rPr>
          <w:b/>
          <w:bCs/>
        </w:rPr>
        <w:t>NGN:</w:t>
      </w:r>
    </w:p>
    <w:p w:rsidR="0019068F" w:rsidRDefault="0019068F" w:rsidP="0019068F">
      <w:r>
        <w:t>Next Generation Networks (NGN) refer to the telecommunication architecture using packet based networks. This category will include all the standards dedicated to that architecture.</w:t>
      </w:r>
    </w:p>
    <w:p w:rsidR="0019068F" w:rsidRDefault="0019068F" w:rsidP="0019068F"/>
    <w:p w:rsidR="0019068F" w:rsidRPr="001B78E0" w:rsidRDefault="0019068F" w:rsidP="0019068F">
      <w:pPr>
        <w:rPr>
          <w:b/>
          <w:bCs/>
          <w:u w:val="single"/>
        </w:rPr>
      </w:pPr>
      <w:r w:rsidRPr="001B78E0">
        <w:rPr>
          <w:b/>
          <w:bCs/>
          <w:u w:val="single"/>
        </w:rPr>
        <w:t>ITS Services and Applications:</w:t>
      </w:r>
    </w:p>
    <w:p w:rsidR="0019068F" w:rsidRPr="001B78E0" w:rsidRDefault="0019068F" w:rsidP="0019068F">
      <w:pPr>
        <w:rPr>
          <w:b/>
          <w:bCs/>
        </w:rPr>
      </w:pPr>
      <w:r w:rsidRPr="001B78E0">
        <w:rPr>
          <w:b/>
          <w:bCs/>
        </w:rPr>
        <w:t>Vehicle Multimedia and Infotainment:</w:t>
      </w:r>
    </w:p>
    <w:p w:rsidR="0019068F" w:rsidRDefault="0019068F" w:rsidP="0019068F">
      <w:r>
        <w:t>Any standard involving infotainment and vehicle multimedia specifically will be included in this category.</w:t>
      </w:r>
    </w:p>
    <w:p w:rsidR="0019068F" w:rsidRPr="001B78E0" w:rsidRDefault="0019068F" w:rsidP="0019068F">
      <w:pPr>
        <w:rPr>
          <w:b/>
          <w:bCs/>
        </w:rPr>
      </w:pPr>
      <w:r w:rsidRPr="001B78E0">
        <w:rPr>
          <w:b/>
          <w:bCs/>
        </w:rPr>
        <w:t xml:space="preserve">Safety Systems: </w:t>
      </w:r>
    </w:p>
    <w:p w:rsidR="0019068F" w:rsidRDefault="0019068F" w:rsidP="0019068F">
      <w:r>
        <w:t>Safety system services and applications standards, like breaking assistance and collision avoidance are classified under the safety systems, as opposed to emergency communications that heavily focuses on emergency response.</w:t>
      </w:r>
    </w:p>
    <w:p w:rsidR="0019068F" w:rsidRPr="001B78E0" w:rsidRDefault="0019068F" w:rsidP="0019068F">
      <w:pPr>
        <w:rPr>
          <w:b/>
          <w:bCs/>
        </w:rPr>
      </w:pPr>
      <w:r w:rsidRPr="001B78E0">
        <w:rPr>
          <w:b/>
          <w:bCs/>
        </w:rPr>
        <w:t xml:space="preserve">Navigation: </w:t>
      </w:r>
    </w:p>
    <w:p w:rsidR="0019068F" w:rsidRDefault="0019068F" w:rsidP="0019068F">
      <w:r>
        <w:t xml:space="preserve">Relevant to any standards pertinent to communications regarding navigation when it regards mapping technology, autonomous driving navigation and more. </w:t>
      </w:r>
    </w:p>
    <w:p w:rsidR="0019068F" w:rsidRPr="001B78E0" w:rsidRDefault="0019068F" w:rsidP="0019068F">
      <w:pPr>
        <w:rPr>
          <w:b/>
          <w:bCs/>
        </w:rPr>
      </w:pPr>
      <w:r>
        <w:rPr>
          <w:b/>
          <w:bCs/>
        </w:rPr>
        <w:t>Location and positioning:</w:t>
      </w:r>
    </w:p>
    <w:p w:rsidR="0019068F" w:rsidRDefault="0019068F" w:rsidP="0019068F">
      <w:r>
        <w:t>The location and positioning category will be relevant to any standards pertinent the communications of the location and positioning of an object, be it the vehicle itself or other objects in its environment.</w:t>
      </w:r>
    </w:p>
    <w:p w:rsidR="0019068F" w:rsidRPr="001B78E0" w:rsidRDefault="0019068F" w:rsidP="0019068F">
      <w:pPr>
        <w:rPr>
          <w:b/>
          <w:bCs/>
        </w:rPr>
      </w:pPr>
      <w:r w:rsidRPr="001B78E0">
        <w:rPr>
          <w:b/>
          <w:bCs/>
        </w:rPr>
        <w:t xml:space="preserve">Emergency Communications: </w:t>
      </w:r>
    </w:p>
    <w:p w:rsidR="0019068F" w:rsidRDefault="0019068F" w:rsidP="0019068F">
      <w:r>
        <w:t xml:space="preserve">The emergency communications category will be relevant to any standard pertinent to emergency response systems, standards on </w:t>
      </w:r>
    </w:p>
    <w:p w:rsidR="0019068F" w:rsidRPr="001B78E0" w:rsidRDefault="0019068F" w:rsidP="0019068F">
      <w:pPr>
        <w:rPr>
          <w:b/>
          <w:bCs/>
        </w:rPr>
      </w:pPr>
      <w:r w:rsidRPr="001B78E0">
        <w:rPr>
          <w:b/>
          <w:bCs/>
        </w:rPr>
        <w:t>Hands Free Communications in Vehicles:</w:t>
      </w:r>
    </w:p>
    <w:p w:rsidR="0019068F" w:rsidRDefault="0019068F" w:rsidP="0019068F">
      <w:r>
        <w:t xml:space="preserve">Hands Free Communication in vehicles will be relevant to any standards pertinent to hands free communications,  </w:t>
      </w:r>
    </w:p>
    <w:p w:rsidR="0019068F" w:rsidRPr="001B78E0" w:rsidRDefault="0019068F" w:rsidP="0019068F">
      <w:pPr>
        <w:rPr>
          <w:b/>
          <w:bCs/>
        </w:rPr>
      </w:pPr>
      <w:r w:rsidRPr="001B78E0">
        <w:rPr>
          <w:b/>
          <w:bCs/>
        </w:rPr>
        <w:t>Autonomous Driving:</w:t>
      </w:r>
    </w:p>
    <w:p w:rsidR="0019068F" w:rsidRDefault="0019068F" w:rsidP="0019068F">
      <w:r>
        <w:t>The Autonomous Driving will be relevant to any standards using communications to supply, support and complement autonomous driving.</w:t>
      </w:r>
    </w:p>
    <w:p w:rsidR="0019068F" w:rsidRPr="00E879D0" w:rsidRDefault="0019068F" w:rsidP="0019068F">
      <w:pPr>
        <w:rPr>
          <w:b/>
          <w:bCs/>
          <w:u w:val="single"/>
          <w:lang w:val="fr-CH"/>
        </w:rPr>
      </w:pPr>
      <w:r w:rsidRPr="00E879D0">
        <w:rPr>
          <w:b/>
          <w:bCs/>
          <w:u w:val="single"/>
          <w:lang w:val="fr-CH"/>
        </w:rPr>
        <w:t xml:space="preserve">ITS Communications </w:t>
      </w:r>
      <w:proofErr w:type="spellStart"/>
      <w:r w:rsidRPr="00E879D0">
        <w:rPr>
          <w:b/>
          <w:bCs/>
          <w:u w:val="single"/>
          <w:lang w:val="fr-CH"/>
        </w:rPr>
        <w:t>Protocols</w:t>
      </w:r>
      <w:proofErr w:type="spellEnd"/>
      <w:r w:rsidRPr="00E879D0">
        <w:rPr>
          <w:b/>
          <w:bCs/>
          <w:u w:val="single"/>
          <w:lang w:val="fr-CH"/>
        </w:rPr>
        <w:t>:</w:t>
      </w:r>
    </w:p>
    <w:p w:rsidR="0019068F" w:rsidRPr="00E879D0" w:rsidRDefault="0019068F" w:rsidP="0019068F">
      <w:pPr>
        <w:rPr>
          <w:b/>
          <w:bCs/>
          <w:lang w:val="fr-CH"/>
        </w:rPr>
      </w:pPr>
      <w:r w:rsidRPr="00E879D0">
        <w:rPr>
          <w:b/>
          <w:bCs/>
          <w:lang w:val="fr-CH"/>
        </w:rPr>
        <w:t>Satellite Communications:</w:t>
      </w:r>
    </w:p>
    <w:p w:rsidR="0019068F" w:rsidRPr="00794282" w:rsidRDefault="0019068F" w:rsidP="0019068F">
      <w:pPr>
        <w:rPr>
          <w:bCs/>
        </w:rPr>
      </w:pPr>
      <w:r w:rsidRPr="00794282">
        <w:rPr>
          <w:bCs/>
        </w:rPr>
        <w:t>Relevant to any ITS communications involving satellite, between the vehicle and the network.</w:t>
      </w:r>
    </w:p>
    <w:p w:rsidR="0019068F" w:rsidRPr="00794282" w:rsidRDefault="0019068F" w:rsidP="0019068F">
      <w:pPr>
        <w:rPr>
          <w:b/>
          <w:bCs/>
        </w:rPr>
      </w:pPr>
      <w:r w:rsidRPr="00794282">
        <w:rPr>
          <w:b/>
          <w:bCs/>
        </w:rPr>
        <w:t xml:space="preserve">Mobile </w:t>
      </w:r>
      <w:r>
        <w:rPr>
          <w:b/>
          <w:bCs/>
        </w:rPr>
        <w:t>Devices/</w:t>
      </w:r>
      <w:r w:rsidRPr="00794282">
        <w:rPr>
          <w:b/>
          <w:bCs/>
        </w:rPr>
        <w:t>Networks (Cellular):</w:t>
      </w:r>
    </w:p>
    <w:p w:rsidR="0019068F" w:rsidRDefault="0019068F" w:rsidP="0019068F">
      <w:r>
        <w:t xml:space="preserve">This category is for standard that will detail requirements, architectures and services and applications using cellular networks for ITS communications. Upcoming 5G standards will be relevant to this category. </w:t>
      </w:r>
    </w:p>
    <w:p w:rsidR="0019068F" w:rsidRPr="001B78E0" w:rsidRDefault="0019068F" w:rsidP="0019068F">
      <w:pPr>
        <w:rPr>
          <w:b/>
          <w:bCs/>
        </w:rPr>
      </w:pPr>
      <w:r>
        <w:rPr>
          <w:b/>
          <w:bCs/>
        </w:rPr>
        <w:t xml:space="preserve">Short and </w:t>
      </w:r>
      <w:r w:rsidRPr="001B78E0">
        <w:rPr>
          <w:b/>
          <w:bCs/>
        </w:rPr>
        <w:t>Mid-Range</w:t>
      </w:r>
      <w:r>
        <w:rPr>
          <w:b/>
          <w:bCs/>
        </w:rPr>
        <w:t xml:space="preserve"> Devices/Networks</w:t>
      </w:r>
      <w:r w:rsidRPr="001B78E0">
        <w:rPr>
          <w:b/>
          <w:bCs/>
        </w:rPr>
        <w:t>:</w:t>
      </w:r>
    </w:p>
    <w:p w:rsidR="0019068F" w:rsidRDefault="0019068F" w:rsidP="0019068F">
      <w:r>
        <w:lastRenderedPageBreak/>
        <w:t xml:space="preserve">This category is for short range to mid-range devices and networks. Short and mid-range refers to the distance of transmission. Examples of short and mid-range would be NFC, Bluetooth, DSRC, Wi-Fi </w:t>
      </w:r>
      <w:proofErr w:type="spellStart"/>
      <w:r>
        <w:t>etc</w:t>
      </w:r>
      <w:proofErr w:type="spellEnd"/>
      <w:r>
        <w:t>…</w:t>
      </w:r>
    </w:p>
    <w:p w:rsidR="0019068F" w:rsidRPr="001B78E0" w:rsidRDefault="0019068F" w:rsidP="0019068F">
      <w:pPr>
        <w:rPr>
          <w:b/>
          <w:bCs/>
        </w:rPr>
      </w:pPr>
      <w:r w:rsidRPr="001B78E0">
        <w:rPr>
          <w:b/>
          <w:bCs/>
        </w:rPr>
        <w:t>Wired Networking:</w:t>
      </w:r>
    </w:p>
    <w:p w:rsidR="0019068F" w:rsidRDefault="0019068F" w:rsidP="0019068F">
      <w:r>
        <w:t>The Wired Networking section will refer to the use of wired connections to transmit information. Standards pertaining to Ethernet for example will be classified under wired networking.</w:t>
      </w:r>
    </w:p>
    <w:p w:rsidR="0019068F" w:rsidRDefault="0019068F" w:rsidP="0019068F"/>
    <w:p w:rsidR="0019068F" w:rsidRPr="0073683E" w:rsidRDefault="0019068F" w:rsidP="0019068F">
      <w:pPr>
        <w:rPr>
          <w:b/>
          <w:bCs/>
          <w:u w:val="single"/>
        </w:rPr>
      </w:pPr>
      <w:proofErr w:type="spellStart"/>
      <w:r w:rsidRPr="0073683E">
        <w:rPr>
          <w:b/>
          <w:bCs/>
          <w:u w:val="single"/>
        </w:rPr>
        <w:t>QoS</w:t>
      </w:r>
      <w:proofErr w:type="spellEnd"/>
      <w:r w:rsidRPr="0073683E">
        <w:rPr>
          <w:b/>
          <w:bCs/>
          <w:u w:val="single"/>
        </w:rPr>
        <w:t>/</w:t>
      </w:r>
      <w:proofErr w:type="spellStart"/>
      <w:r w:rsidRPr="0073683E">
        <w:rPr>
          <w:b/>
          <w:bCs/>
          <w:u w:val="single"/>
        </w:rPr>
        <w:t>QoE</w:t>
      </w:r>
      <w:proofErr w:type="spellEnd"/>
      <w:r w:rsidRPr="0073683E">
        <w:rPr>
          <w:b/>
          <w:bCs/>
          <w:u w:val="single"/>
        </w:rPr>
        <w:t xml:space="preserve"> in Vehicles:</w:t>
      </w:r>
    </w:p>
    <w:p w:rsidR="0019068F" w:rsidRPr="0073683E" w:rsidRDefault="0019068F" w:rsidP="0019068F">
      <w:pPr>
        <w:rPr>
          <w:b/>
          <w:bCs/>
        </w:rPr>
      </w:pPr>
      <w:r w:rsidRPr="0073683E">
        <w:rPr>
          <w:b/>
          <w:bCs/>
        </w:rPr>
        <w:t>Media:</w:t>
      </w:r>
    </w:p>
    <w:p w:rsidR="0019068F" w:rsidRPr="0073683E" w:rsidRDefault="0019068F" w:rsidP="0019068F">
      <w:r>
        <w:t>Quality of Service and Quality of Experience pertaining to multimedia and infotainment.</w:t>
      </w:r>
    </w:p>
    <w:p w:rsidR="0019068F" w:rsidRDefault="0019068F" w:rsidP="0019068F">
      <w:pPr>
        <w:rPr>
          <w:b/>
          <w:bCs/>
        </w:rPr>
      </w:pPr>
      <w:r w:rsidRPr="0073683E">
        <w:rPr>
          <w:b/>
          <w:bCs/>
        </w:rPr>
        <w:t>Voice:</w:t>
      </w:r>
    </w:p>
    <w:p w:rsidR="0019068F" w:rsidRDefault="0019068F" w:rsidP="0019068F">
      <w:pPr>
        <w:rPr>
          <w:bCs/>
        </w:rPr>
      </w:pPr>
      <w:r>
        <w:rPr>
          <w:bCs/>
        </w:rPr>
        <w:t>Quality of Service and Quality of Experience pertaining to voice communication in the vehicle and outside of it. This includes voice commands, voice activation, microphone and audio requirements specific to voice transmission.</w:t>
      </w:r>
    </w:p>
    <w:p w:rsidR="0019068F" w:rsidRPr="008609C4" w:rsidRDefault="0019068F" w:rsidP="0019068F">
      <w:pPr>
        <w:rPr>
          <w:bCs/>
        </w:rPr>
      </w:pPr>
    </w:p>
    <w:p w:rsidR="0019068F" w:rsidRPr="001B78E0" w:rsidRDefault="0019068F" w:rsidP="0019068F">
      <w:pPr>
        <w:rPr>
          <w:b/>
          <w:bCs/>
          <w:u w:val="single"/>
        </w:rPr>
      </w:pPr>
      <w:proofErr w:type="gramStart"/>
      <w:r w:rsidRPr="001B78E0">
        <w:rPr>
          <w:b/>
          <w:bCs/>
          <w:u w:val="single"/>
        </w:rPr>
        <w:t>ITS</w:t>
      </w:r>
      <w:proofErr w:type="gramEnd"/>
      <w:r w:rsidRPr="001B78E0">
        <w:rPr>
          <w:b/>
          <w:bCs/>
          <w:u w:val="single"/>
        </w:rPr>
        <w:t xml:space="preserve"> Security:</w:t>
      </w:r>
    </w:p>
    <w:p w:rsidR="0019068F" w:rsidRPr="001B78E0" w:rsidRDefault="0019068F" w:rsidP="0019068F">
      <w:pPr>
        <w:rPr>
          <w:b/>
          <w:bCs/>
        </w:rPr>
      </w:pPr>
      <w:r w:rsidRPr="001B78E0">
        <w:rPr>
          <w:b/>
          <w:bCs/>
        </w:rPr>
        <w:t xml:space="preserve">Over The Air (OTA) Security: </w:t>
      </w:r>
    </w:p>
    <w:p w:rsidR="0019068F" w:rsidRDefault="0019068F" w:rsidP="0019068F">
      <w:r>
        <w:t>The Over the Air Security category will be relevant to any communications standards pertaining to over the air programming, ranging from software updates, configuration settings or encryption keys all using OTA.</w:t>
      </w:r>
    </w:p>
    <w:p w:rsidR="0019068F" w:rsidRPr="001B78E0" w:rsidRDefault="0019068F" w:rsidP="0019068F">
      <w:pPr>
        <w:rPr>
          <w:b/>
          <w:bCs/>
        </w:rPr>
      </w:pPr>
      <w:r w:rsidRPr="001B78E0">
        <w:rPr>
          <w:b/>
          <w:bCs/>
        </w:rPr>
        <w:t>Threat Intelligence:</w:t>
      </w:r>
    </w:p>
    <w:p w:rsidR="0019068F" w:rsidRDefault="0019068F" w:rsidP="0019068F">
      <w:r>
        <w:t>The Threat Intelligence category will be relevant to any communications standards pertaining to threat analysis, threat identification and threat management.</w:t>
      </w:r>
    </w:p>
    <w:p w:rsidR="0019068F" w:rsidRPr="001B78E0" w:rsidRDefault="0019068F" w:rsidP="0019068F">
      <w:pPr>
        <w:rPr>
          <w:b/>
          <w:bCs/>
        </w:rPr>
      </w:pPr>
      <w:r w:rsidRPr="001B78E0">
        <w:rPr>
          <w:b/>
          <w:bCs/>
        </w:rPr>
        <w:t>Privacy:</w:t>
      </w:r>
    </w:p>
    <w:p w:rsidR="0019068F" w:rsidRDefault="0019068F" w:rsidP="0019068F">
      <w:r>
        <w:t xml:space="preserve">ITS privacy ITS privacy standards regarding international regulations, and specific national requirements when it comes to personally identifiable information. </w:t>
      </w:r>
    </w:p>
    <w:p w:rsidR="0019068F" w:rsidRPr="001B78E0" w:rsidRDefault="0019068F" w:rsidP="0019068F">
      <w:pPr>
        <w:rPr>
          <w:b/>
          <w:bCs/>
        </w:rPr>
      </w:pPr>
      <w:r w:rsidRPr="001B78E0">
        <w:rPr>
          <w:b/>
          <w:bCs/>
        </w:rPr>
        <w:t xml:space="preserve">Trust: </w:t>
      </w:r>
    </w:p>
    <w:p w:rsidR="0019068F" w:rsidRDefault="0019068F" w:rsidP="0019068F">
      <w:pPr>
        <w:rPr>
          <w:b/>
          <w:bCs/>
        </w:rPr>
      </w:pPr>
      <w:r>
        <w:t xml:space="preserve">Trust architecture for ITS specific standards, regarding car transactions </w:t>
      </w:r>
    </w:p>
    <w:p w:rsidR="0019068F" w:rsidRPr="001B78E0" w:rsidRDefault="0019068F" w:rsidP="0019068F">
      <w:pPr>
        <w:rPr>
          <w:b/>
          <w:bCs/>
        </w:rPr>
      </w:pPr>
      <w:r w:rsidRPr="001B78E0">
        <w:rPr>
          <w:b/>
          <w:bCs/>
        </w:rPr>
        <w:t xml:space="preserve">Cybersecurity: </w:t>
      </w:r>
    </w:p>
    <w:p w:rsidR="0019068F" w:rsidRDefault="0019068F" w:rsidP="0019068F">
      <w:r>
        <w:t>The Cybersecurity category will be relevant to any communications standards that do not fit in the other subcategories of ITS Security.</w:t>
      </w:r>
    </w:p>
    <w:p w:rsidR="0019068F" w:rsidRDefault="0019068F" w:rsidP="0019068F"/>
    <w:p w:rsidR="0019068F" w:rsidRDefault="0019068F" w:rsidP="0019068F">
      <w:pPr>
        <w:rPr>
          <w:b/>
          <w:bCs/>
          <w:u w:val="single"/>
        </w:rPr>
      </w:pPr>
      <w:proofErr w:type="gramStart"/>
      <w:r w:rsidRPr="001B78E0">
        <w:rPr>
          <w:b/>
          <w:bCs/>
          <w:u w:val="single"/>
        </w:rPr>
        <w:t>ITS</w:t>
      </w:r>
      <w:proofErr w:type="gramEnd"/>
      <w:r w:rsidRPr="001B78E0">
        <w:rPr>
          <w:b/>
          <w:bCs/>
          <w:u w:val="single"/>
        </w:rPr>
        <w:t xml:space="preserve"> Test Specification:</w:t>
      </w:r>
    </w:p>
    <w:p w:rsidR="0019068F" w:rsidRPr="00C54599" w:rsidRDefault="0019068F" w:rsidP="0019068F">
      <w:pPr>
        <w:rPr>
          <w:b/>
          <w:bCs/>
        </w:rPr>
      </w:pPr>
      <w:r w:rsidRPr="00C54599">
        <w:rPr>
          <w:b/>
          <w:bCs/>
        </w:rPr>
        <w:t>Conformity Testing:</w:t>
      </w:r>
    </w:p>
    <w:p w:rsidR="0019068F" w:rsidRPr="00C54599" w:rsidRDefault="0019068F" w:rsidP="0019068F">
      <w:pPr>
        <w:rPr>
          <w:bCs/>
        </w:rPr>
      </w:pPr>
      <w:r>
        <w:rPr>
          <w:bCs/>
        </w:rPr>
        <w:t>Conformity Testing for ITS communication standards, also known at compliance testing, in regards to the requirements of a specification, technical standard or regulation.</w:t>
      </w:r>
    </w:p>
    <w:p w:rsidR="0019068F" w:rsidRDefault="0019068F" w:rsidP="0019068F">
      <w:pPr>
        <w:rPr>
          <w:b/>
          <w:bCs/>
        </w:rPr>
      </w:pPr>
      <w:r w:rsidRPr="00C54599">
        <w:rPr>
          <w:b/>
          <w:bCs/>
        </w:rPr>
        <w:t>Interoperability Testing:</w:t>
      </w:r>
    </w:p>
    <w:p w:rsidR="0019068F" w:rsidRPr="00C54599" w:rsidRDefault="0019068F" w:rsidP="0019068F">
      <w:pPr>
        <w:rPr>
          <w:bCs/>
        </w:rPr>
      </w:pPr>
      <w:r>
        <w:rPr>
          <w:bCs/>
        </w:rPr>
        <w:t>ITS interoperability testing for communication standards that will inter-operate with other standards.</w:t>
      </w:r>
    </w:p>
    <w:p w:rsidR="0019068F" w:rsidRDefault="0019068F" w:rsidP="0019068F"/>
    <w:p w:rsidR="0019068F" w:rsidRPr="0010499E" w:rsidRDefault="0019068F" w:rsidP="0019068F">
      <w:pPr>
        <w:jc w:val="center"/>
      </w:pPr>
      <w:r>
        <w:t>___________________</w:t>
      </w:r>
    </w:p>
    <w:p w:rsidR="00661658" w:rsidRDefault="00661658">
      <w:pPr>
        <w:rPr>
          <w:b/>
          <w:sz w:val="28"/>
        </w:rPr>
      </w:pPr>
      <w:r>
        <w:rPr>
          <w:b/>
          <w:sz w:val="28"/>
        </w:rPr>
        <w:br w:type="page"/>
      </w:r>
    </w:p>
    <w:p w:rsidR="0019068F" w:rsidRDefault="0019068F">
      <w:pPr>
        <w:rPr>
          <w:b/>
          <w:sz w:val="28"/>
        </w:rPr>
      </w:pPr>
      <w:r w:rsidRPr="0019068F">
        <w:lastRenderedPageBreak/>
        <w:drawing>
          <wp:inline distT="0" distB="0" distL="0" distR="0">
            <wp:extent cx="6629400" cy="8655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9695" cy="8668751"/>
                    </a:xfrm>
                    <a:prstGeom prst="rect">
                      <a:avLst/>
                    </a:prstGeom>
                    <a:noFill/>
                    <a:ln>
                      <a:noFill/>
                    </a:ln>
                  </pic:spPr>
                </pic:pic>
              </a:graphicData>
            </a:graphic>
          </wp:inline>
        </w:drawing>
      </w:r>
      <w:r>
        <w:rPr>
          <w:b/>
          <w:sz w:val="28"/>
        </w:rPr>
        <w:br w:type="page"/>
      </w:r>
    </w:p>
    <w:p w:rsidR="00CA09B2" w:rsidRPr="0092720F" w:rsidRDefault="00CA09B2">
      <w:pPr>
        <w:rPr>
          <w:b/>
          <w:sz w:val="28"/>
        </w:rPr>
      </w:pPr>
      <w:r w:rsidRPr="0092720F">
        <w:rPr>
          <w:b/>
          <w:sz w:val="28"/>
        </w:rPr>
        <w:lastRenderedPageBreak/>
        <w:t>References:</w:t>
      </w:r>
    </w:p>
    <w:p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DC0" w:rsidRDefault="00CB0DC0">
      <w:r>
        <w:separator/>
      </w:r>
    </w:p>
  </w:endnote>
  <w:endnote w:type="continuationSeparator" w:id="0">
    <w:p w:rsidR="00CB0DC0" w:rsidRDefault="00CB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CB0DC0">
    <w:pPr>
      <w:pStyle w:val="Footer"/>
      <w:tabs>
        <w:tab w:val="clear" w:pos="6480"/>
        <w:tab w:val="center" w:pos="4680"/>
        <w:tab w:val="right" w:pos="9360"/>
      </w:tabs>
    </w:pPr>
    <w:r>
      <w:fldChar w:fldCharType="begin"/>
    </w:r>
    <w:r>
      <w:instrText xml:space="preserve"> SUBJECT  \* MERGEFORMAT </w:instrText>
    </w:r>
    <w:r>
      <w:fldChar w:fldCharType="separate"/>
    </w:r>
    <w:r w:rsidR="00CA6847">
      <w:t xml:space="preserve">Liaison </w:t>
    </w:r>
    <w:r>
      <w:fldChar w:fldCharType="end"/>
    </w:r>
    <w:r w:rsidR="0029020B">
      <w:tab/>
      <w:t xml:space="preserve">page </w:t>
    </w:r>
    <w:r w:rsidR="0029020B">
      <w:fldChar w:fldCharType="begin"/>
    </w:r>
    <w:r w:rsidR="0029020B">
      <w:instrText xml:space="preserve">page </w:instrText>
    </w:r>
    <w:r w:rsidR="0029020B">
      <w:fldChar w:fldCharType="separate"/>
    </w:r>
    <w:r w:rsidR="00BE319B">
      <w:rPr>
        <w:noProof/>
      </w:rPr>
      <w:t>1</w:t>
    </w:r>
    <w:r w:rsidR="0029020B">
      <w:fldChar w:fldCharType="end"/>
    </w:r>
    <w:r w:rsidR="0029020B">
      <w:tab/>
    </w:r>
    <w:r>
      <w:fldChar w:fldCharType="begin"/>
    </w:r>
    <w:r>
      <w:instrText xml:space="preserve"> COMMENTS  \* MERGEFORMAT </w:instrText>
    </w:r>
    <w:r>
      <w:fldChar w:fldCharType="separate"/>
    </w:r>
    <w:r w:rsidR="00CA6847">
      <w:t>D. Stanley, HP Enterprise</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DC0" w:rsidRDefault="00CB0DC0">
      <w:r>
        <w:separator/>
      </w:r>
    </w:p>
  </w:footnote>
  <w:footnote w:type="continuationSeparator" w:id="0">
    <w:p w:rsidR="00CB0DC0" w:rsidRDefault="00CB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CB0DC0">
    <w:pPr>
      <w:pStyle w:val="Header"/>
      <w:tabs>
        <w:tab w:val="clear" w:pos="6480"/>
        <w:tab w:val="center" w:pos="4680"/>
        <w:tab w:val="right" w:pos="9360"/>
      </w:tabs>
    </w:pPr>
    <w:r>
      <w:fldChar w:fldCharType="begin"/>
    </w:r>
    <w:r>
      <w:instrText xml:space="preserve"> KEYWORDS  \* MERGEFORMAT </w:instrText>
    </w:r>
    <w:r>
      <w:fldChar w:fldCharType="separate"/>
    </w:r>
    <w:r w:rsidR="00661658">
      <w:t>April</w:t>
    </w:r>
    <w:r w:rsidR="00CA6847">
      <w:t xml:space="preserve"> 2019</w:t>
    </w:r>
    <w:r>
      <w:fldChar w:fldCharType="end"/>
    </w:r>
    <w:r w:rsidR="0029020B">
      <w:tab/>
    </w:r>
    <w:r w:rsidR="0029020B">
      <w:tab/>
    </w:r>
    <w:r>
      <w:fldChar w:fldCharType="begin"/>
    </w:r>
    <w:r>
      <w:instrText xml:space="preserve"> TITLE  \* MERGEFORMAT </w:instrText>
    </w:r>
    <w:r>
      <w:fldChar w:fldCharType="separate"/>
    </w:r>
    <w:r w:rsidR="00661658">
      <w:t>doc.: IEEE 802.11-19/0636</w:t>
    </w:r>
    <w:r w:rsidR="00CA6847">
      <w:t>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C1786"/>
    <w:multiLevelType w:val="multilevel"/>
    <w:tmpl w:val="172EB9C6"/>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36F4CAC"/>
    <w:multiLevelType w:val="hybridMultilevel"/>
    <w:tmpl w:val="72580E5E"/>
    <w:lvl w:ilvl="0" w:tplc="5FACE66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4" w15:restartNumberingAfterBreak="0">
    <w:nsid w:val="29067880"/>
    <w:multiLevelType w:val="hybridMultilevel"/>
    <w:tmpl w:val="3594D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9C34C8"/>
    <w:multiLevelType w:val="hybridMultilevel"/>
    <w:tmpl w:val="3300E1BE"/>
    <w:lvl w:ilvl="0" w:tplc="D200FEE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7204C8">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38DE7A">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3461B8">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52EBC2">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5A7618">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0CB042">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DC524E">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D45A16">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1E18B6"/>
    <w:multiLevelType w:val="hybridMultilevel"/>
    <w:tmpl w:val="77BE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FA4878"/>
    <w:multiLevelType w:val="multilevel"/>
    <w:tmpl w:val="7B2CD562"/>
    <w:numStyleLink w:val="ListNumbers"/>
  </w:abstractNum>
  <w:abstractNum w:abstractNumId="8" w15:restartNumberingAfterBreak="0">
    <w:nsid w:val="436E124B"/>
    <w:multiLevelType w:val="hybridMultilevel"/>
    <w:tmpl w:val="E1EEE33E"/>
    <w:lvl w:ilvl="0" w:tplc="6F24164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ECADC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34D8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940B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54A4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CE7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DC41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AE7D3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09DD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185234A"/>
    <w:multiLevelType w:val="hybridMultilevel"/>
    <w:tmpl w:val="EF506FFA"/>
    <w:lvl w:ilvl="0" w:tplc="22EAF33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CE64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CEE65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7266A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4C0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C1A4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0E639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E50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A5C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3475A9"/>
    <w:multiLevelType w:val="hybridMultilevel"/>
    <w:tmpl w:val="2B3C0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874020E"/>
    <w:multiLevelType w:val="hybridMultilevel"/>
    <w:tmpl w:val="9B4C1B84"/>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68C237EF"/>
    <w:multiLevelType w:val="hybridMultilevel"/>
    <w:tmpl w:val="27D6AF84"/>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3" w15:restartNumberingAfterBreak="0">
    <w:nsid w:val="6F643019"/>
    <w:multiLevelType w:val="hybridMultilevel"/>
    <w:tmpl w:val="EC6A398C"/>
    <w:lvl w:ilvl="0" w:tplc="1AAA6A2E">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805708">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3EF0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CEEEC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AAD682">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5479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E4188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8A969C">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AADE50">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9"/>
  </w:num>
  <w:num w:numId="3">
    <w:abstractNumId w:val="13"/>
  </w:num>
  <w:num w:numId="4">
    <w:abstractNumId w:val="5"/>
  </w:num>
  <w:num w:numId="5">
    <w:abstractNumId w:val="0"/>
  </w:num>
  <w:num w:numId="6">
    <w:abstractNumId w:val="2"/>
  </w:num>
  <w:num w:numId="7">
    <w:abstractNumId w:val="11"/>
  </w:num>
  <w:num w:numId="8">
    <w:abstractNumId w:val="3"/>
  </w:num>
  <w:num w:numId="9">
    <w:abstractNumId w:val="7"/>
  </w:num>
  <w:num w:numId="10">
    <w:abstractNumId w:val="6"/>
  </w:num>
  <w:num w:numId="11">
    <w:abstractNumId w:val="1"/>
  </w:num>
  <w:num w:numId="12">
    <w:abstractNumId w:val="10"/>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55"/>
    <w:rsid w:val="00031AB0"/>
    <w:rsid w:val="000B465F"/>
    <w:rsid w:val="000C0C57"/>
    <w:rsid w:val="00116D59"/>
    <w:rsid w:val="0013392F"/>
    <w:rsid w:val="00134D3F"/>
    <w:rsid w:val="0019068F"/>
    <w:rsid w:val="00197D0E"/>
    <w:rsid w:val="001A7A32"/>
    <w:rsid w:val="001C1675"/>
    <w:rsid w:val="001C17AC"/>
    <w:rsid w:val="001D723B"/>
    <w:rsid w:val="001E0EEE"/>
    <w:rsid w:val="001F739D"/>
    <w:rsid w:val="0029020B"/>
    <w:rsid w:val="0029767B"/>
    <w:rsid w:val="002D44BE"/>
    <w:rsid w:val="002E3057"/>
    <w:rsid w:val="003123D6"/>
    <w:rsid w:val="00351998"/>
    <w:rsid w:val="0036051F"/>
    <w:rsid w:val="0036795E"/>
    <w:rsid w:val="003A7C41"/>
    <w:rsid w:val="003B5888"/>
    <w:rsid w:val="003C3140"/>
    <w:rsid w:val="0040409F"/>
    <w:rsid w:val="00442037"/>
    <w:rsid w:val="00496FC9"/>
    <w:rsid w:val="004A1CFC"/>
    <w:rsid w:val="004B064B"/>
    <w:rsid w:val="005333E9"/>
    <w:rsid w:val="005808CA"/>
    <w:rsid w:val="0062440B"/>
    <w:rsid w:val="00661658"/>
    <w:rsid w:val="006A4F55"/>
    <w:rsid w:val="006C0727"/>
    <w:rsid w:val="006E145F"/>
    <w:rsid w:val="006F2BF3"/>
    <w:rsid w:val="00701AC7"/>
    <w:rsid w:val="00701FAE"/>
    <w:rsid w:val="00770572"/>
    <w:rsid w:val="00773BED"/>
    <w:rsid w:val="00783821"/>
    <w:rsid w:val="00786A40"/>
    <w:rsid w:val="007A4764"/>
    <w:rsid w:val="007E45E8"/>
    <w:rsid w:val="00802256"/>
    <w:rsid w:val="008A70E3"/>
    <w:rsid w:val="008D4BFC"/>
    <w:rsid w:val="008E26DB"/>
    <w:rsid w:val="0090469D"/>
    <w:rsid w:val="0092720F"/>
    <w:rsid w:val="009F2FBC"/>
    <w:rsid w:val="009F50A1"/>
    <w:rsid w:val="00A17443"/>
    <w:rsid w:val="00A5069B"/>
    <w:rsid w:val="00AA427C"/>
    <w:rsid w:val="00B67AE0"/>
    <w:rsid w:val="00B7675B"/>
    <w:rsid w:val="00BE319B"/>
    <w:rsid w:val="00BE68C2"/>
    <w:rsid w:val="00BF4D86"/>
    <w:rsid w:val="00CA09B2"/>
    <w:rsid w:val="00CA6847"/>
    <w:rsid w:val="00CB0DC0"/>
    <w:rsid w:val="00CC54BE"/>
    <w:rsid w:val="00D35469"/>
    <w:rsid w:val="00DC5A7B"/>
    <w:rsid w:val="00E23D98"/>
    <w:rsid w:val="00E5411C"/>
    <w:rsid w:val="00E552F1"/>
    <w:rsid w:val="00E626B9"/>
    <w:rsid w:val="00EB4A16"/>
    <w:rsid w:val="00EC2DEE"/>
    <w:rsid w:val="00EF0534"/>
    <w:rsid w:val="00F0597D"/>
    <w:rsid w:val="00F45488"/>
    <w:rsid w:val="00FC33AE"/>
    <w:rsid w:val="00FF6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6C91A4A-ABBD-4839-A23D-17C60516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List Number" w:uiPriority="6"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847"/>
    <w:rPr>
      <w:sz w:val="24"/>
      <w:szCs w:val="24"/>
    </w:rPr>
  </w:style>
  <w:style w:type="paragraph" w:styleId="Heading1">
    <w:name w:val="heading 1"/>
    <w:basedOn w:val="Normal"/>
    <w:next w:val="Normal"/>
    <w:link w:val="Heading1Char"/>
    <w:qFormat/>
    <w:pPr>
      <w:keepNext/>
      <w:keepLines/>
      <w:spacing w:before="320"/>
      <w:outlineLvl w:val="0"/>
    </w:pPr>
    <w:rPr>
      <w:rFonts w:ascii="Arial" w:hAnsi="Arial"/>
      <w:b/>
      <w:sz w:val="32"/>
      <w:szCs w:val="20"/>
      <w:u w:val="single"/>
      <w:lang w:eastAsia="en-US"/>
    </w:rPr>
  </w:style>
  <w:style w:type="paragraph" w:styleId="Heading2">
    <w:name w:val="heading 2"/>
    <w:basedOn w:val="Normal"/>
    <w:next w:val="Normal"/>
    <w:qFormat/>
    <w:pPr>
      <w:keepNext/>
      <w:keepLines/>
      <w:spacing w:before="280"/>
      <w:outlineLvl w:val="1"/>
    </w:pPr>
    <w:rPr>
      <w:rFonts w:ascii="Arial" w:hAnsi="Arial"/>
      <w:b/>
      <w:sz w:val="28"/>
      <w:szCs w:val="20"/>
      <w:u w:val="single"/>
      <w:lang w:eastAsia="en-US"/>
    </w:rPr>
  </w:style>
  <w:style w:type="paragraph" w:styleId="Heading3">
    <w:name w:val="heading 3"/>
    <w:basedOn w:val="Normal"/>
    <w:next w:val="Normal"/>
    <w:qFormat/>
    <w:pPr>
      <w:keepNext/>
      <w:keepLines/>
      <w:spacing w:before="240" w:after="60"/>
      <w:outlineLvl w:val="2"/>
    </w:pPr>
    <w:rPr>
      <w:rFonts w:ascii="Arial" w:hAnsi="Arial"/>
      <w:b/>
      <w:szCs w:val="20"/>
      <w:lang w:eastAsia="en-US"/>
    </w:rPr>
  </w:style>
  <w:style w:type="paragraph" w:styleId="Heading4">
    <w:name w:val="heading 4"/>
    <w:basedOn w:val="Normal"/>
    <w:next w:val="Normal"/>
    <w:link w:val="Heading4Char"/>
    <w:semiHidden/>
    <w:unhideWhenUsed/>
    <w:qFormat/>
    <w:rsid w:val="004A1CF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semiHidden/>
    <w:unhideWhenUsed/>
    <w:qFormat/>
    <w:rsid w:val="004A1CFC"/>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eastAsia="en-US"/>
    </w:rPr>
  </w:style>
  <w:style w:type="paragraph" w:styleId="Header">
    <w:name w:val="header"/>
    <w:basedOn w:val="Normal"/>
    <w:link w:val="HeaderChar"/>
    <w:pPr>
      <w:pBdr>
        <w:bottom w:val="single" w:sz="6" w:space="2" w:color="auto"/>
      </w:pBdr>
      <w:tabs>
        <w:tab w:val="center" w:pos="6480"/>
        <w:tab w:val="right" w:pos="12960"/>
      </w:tabs>
    </w:pPr>
    <w:rPr>
      <w:b/>
      <w:sz w:val="28"/>
      <w:szCs w:val="20"/>
      <w:lang w:eastAsia="en-US"/>
    </w:rPr>
  </w:style>
  <w:style w:type="paragraph" w:customStyle="1" w:styleId="T1">
    <w:name w:val="T1"/>
    <w:basedOn w:val="Normal"/>
    <w:pPr>
      <w:jc w:val="center"/>
    </w:pPr>
    <w:rPr>
      <w:b/>
      <w:sz w:val="28"/>
      <w:szCs w:val="20"/>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eastAsia="en-US"/>
    </w:rPr>
  </w:style>
  <w:style w:type="character" w:styleId="Hyperlink">
    <w:name w:val="Hyperlink"/>
    <w:aliases w:val="CEO_Hyperlink"/>
    <w:uiPriority w:val="99"/>
    <w:rPr>
      <w:color w:val="0000FF"/>
      <w:u w:val="single"/>
    </w:rPr>
  </w:style>
  <w:style w:type="paragraph" w:customStyle="1" w:styleId="CRCoverPage">
    <w:name w:val="CR Cover Page"/>
    <w:rsid w:val="009F50A1"/>
    <w:pPr>
      <w:spacing w:after="120"/>
    </w:pPr>
    <w:rPr>
      <w:rFonts w:ascii="Arial" w:hAnsi="Arial"/>
      <w:lang w:eastAsia="en-US"/>
    </w:rPr>
  </w:style>
  <w:style w:type="paragraph" w:customStyle="1" w:styleId="footnotedescription">
    <w:name w:val="footnote description"/>
    <w:next w:val="Normal"/>
    <w:link w:val="footnotedescriptionChar"/>
    <w:hidden/>
    <w:rsid w:val="009F50A1"/>
    <w:pPr>
      <w:spacing w:line="259" w:lineRule="auto"/>
    </w:pPr>
    <w:rPr>
      <w:rFonts w:ascii="Calibri" w:eastAsia="Calibri" w:hAnsi="Calibri" w:cs="Calibri"/>
      <w:color w:val="000000"/>
      <w:szCs w:val="22"/>
    </w:rPr>
  </w:style>
  <w:style w:type="character" w:customStyle="1" w:styleId="footnotedescriptionChar">
    <w:name w:val="footnote description Char"/>
    <w:link w:val="footnotedescription"/>
    <w:rsid w:val="009F50A1"/>
    <w:rPr>
      <w:rFonts w:ascii="Calibri" w:eastAsia="Calibri" w:hAnsi="Calibri" w:cs="Calibri"/>
      <w:color w:val="000000"/>
      <w:szCs w:val="22"/>
    </w:rPr>
  </w:style>
  <w:style w:type="character" w:customStyle="1" w:styleId="footnotemark">
    <w:name w:val="footnote mark"/>
    <w:hidden/>
    <w:rsid w:val="009F50A1"/>
    <w:rPr>
      <w:rFonts w:ascii="Calibri" w:eastAsia="Calibri" w:hAnsi="Calibri" w:cs="Calibri"/>
      <w:color w:val="000000"/>
      <w:sz w:val="20"/>
      <w:vertAlign w:val="superscript"/>
    </w:rPr>
  </w:style>
  <w:style w:type="character" w:customStyle="1" w:styleId="Heading1Char">
    <w:name w:val="Heading 1 Char"/>
    <w:link w:val="Heading1"/>
    <w:rsid w:val="00A17443"/>
    <w:rPr>
      <w:rFonts w:ascii="Arial" w:hAnsi="Arial"/>
      <w:b/>
      <w:sz w:val="32"/>
      <w:u w:val="single"/>
      <w:lang w:eastAsia="en-US"/>
    </w:rPr>
  </w:style>
  <w:style w:type="table" w:customStyle="1" w:styleId="TableGrid">
    <w:name w:val="TableGrid"/>
    <w:rsid w:val="00A1744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4Char">
    <w:name w:val="Heading 4 Char"/>
    <w:basedOn w:val="DefaultParagraphFont"/>
    <w:link w:val="Heading4"/>
    <w:semiHidden/>
    <w:rsid w:val="004A1CFC"/>
    <w:rPr>
      <w:rFonts w:asciiTheme="majorHAnsi" w:eastAsiaTheme="majorEastAsia" w:hAnsiTheme="majorHAnsi" w:cstheme="majorBidi"/>
      <w:i/>
      <w:iCs/>
      <w:color w:val="2E74B5" w:themeColor="accent1" w:themeShade="BF"/>
      <w:sz w:val="22"/>
      <w:lang w:eastAsia="en-US"/>
    </w:rPr>
  </w:style>
  <w:style w:type="character" w:customStyle="1" w:styleId="Heading7Char">
    <w:name w:val="Heading 7 Char"/>
    <w:basedOn w:val="DefaultParagraphFont"/>
    <w:link w:val="Heading7"/>
    <w:semiHidden/>
    <w:rsid w:val="004A1CFC"/>
    <w:rPr>
      <w:rFonts w:asciiTheme="majorHAnsi" w:eastAsiaTheme="majorEastAsia" w:hAnsiTheme="majorHAnsi" w:cstheme="majorBidi"/>
      <w:i/>
      <w:iCs/>
      <w:color w:val="1F4D78" w:themeColor="accent1" w:themeShade="7F"/>
      <w:sz w:val="22"/>
      <w:lang w:eastAsia="en-US"/>
    </w:rPr>
  </w:style>
  <w:style w:type="paragraph" w:styleId="FootnoteText">
    <w:name w:val="footnote text"/>
    <w:basedOn w:val="Normal"/>
    <w:link w:val="FootnoteTextChar"/>
    <w:uiPriority w:val="99"/>
    <w:unhideWhenUsed/>
    <w:rsid w:val="004A1CFC"/>
    <w:rPr>
      <w:rFonts w:ascii="Calibri" w:eastAsia="Calibri" w:hAnsi="Calibri"/>
      <w:lang w:val="en-US" w:eastAsia="en-US"/>
    </w:rPr>
  </w:style>
  <w:style w:type="character" w:customStyle="1" w:styleId="FootnoteTextChar">
    <w:name w:val="Footnote Text Char"/>
    <w:basedOn w:val="DefaultParagraphFont"/>
    <w:link w:val="FootnoteText"/>
    <w:uiPriority w:val="99"/>
    <w:rsid w:val="004A1CFC"/>
    <w:rPr>
      <w:rFonts w:ascii="Calibri" w:eastAsia="Calibri" w:hAnsi="Calibri"/>
      <w:sz w:val="24"/>
      <w:szCs w:val="24"/>
      <w:lang w:val="en-US" w:eastAsia="en-US"/>
    </w:rPr>
  </w:style>
  <w:style w:type="character" w:styleId="FootnoteReference">
    <w:name w:val="footnote reference"/>
    <w:uiPriority w:val="99"/>
    <w:unhideWhenUsed/>
    <w:rsid w:val="004A1CFC"/>
    <w:rPr>
      <w:vertAlign w:val="superscript"/>
    </w:rPr>
  </w:style>
  <w:style w:type="paragraph" w:styleId="BodyText">
    <w:name w:val="Body Text"/>
    <w:basedOn w:val="Normal"/>
    <w:link w:val="BodyTextChar"/>
    <w:rsid w:val="00A5069B"/>
    <w:pPr>
      <w:spacing w:after="120"/>
    </w:pPr>
    <w:rPr>
      <w:sz w:val="22"/>
      <w:szCs w:val="20"/>
      <w:lang w:eastAsia="en-US"/>
    </w:rPr>
  </w:style>
  <w:style w:type="character" w:customStyle="1" w:styleId="BodyTextChar">
    <w:name w:val="Body Text Char"/>
    <w:basedOn w:val="DefaultParagraphFont"/>
    <w:link w:val="BodyText"/>
    <w:rsid w:val="00A5069B"/>
    <w:rPr>
      <w:sz w:val="22"/>
      <w:lang w:eastAsia="en-US"/>
    </w:rPr>
  </w:style>
  <w:style w:type="paragraph" w:customStyle="1" w:styleId="Default">
    <w:name w:val="Default"/>
    <w:rsid w:val="00A5069B"/>
    <w:pPr>
      <w:autoSpaceDE w:val="0"/>
      <w:autoSpaceDN w:val="0"/>
      <w:adjustRightInd w:val="0"/>
    </w:pPr>
    <w:rPr>
      <w:rFonts w:ascii="Arial" w:eastAsiaTheme="minorHAnsi" w:hAnsi="Arial" w:cs="Arial"/>
      <w:color w:val="000000"/>
      <w:sz w:val="24"/>
      <w:szCs w:val="24"/>
      <w:lang w:val="en-US" w:eastAsia="en-US"/>
    </w:rPr>
  </w:style>
  <w:style w:type="table" w:styleId="TableGrid0">
    <w:name w:val="Table Grid"/>
    <w:basedOn w:val="TableNormal"/>
    <w:uiPriority w:val="59"/>
    <w:rsid w:val="00197D0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rsid w:val="0040409F"/>
    <w:pPr>
      <w:keepNext/>
      <w:keepLines/>
      <w:overflowPunct w:val="0"/>
      <w:autoSpaceDE w:val="0"/>
      <w:autoSpaceDN w:val="0"/>
      <w:adjustRightInd w:val="0"/>
      <w:textAlignment w:val="baseline"/>
    </w:pPr>
    <w:rPr>
      <w:rFonts w:ascii="Arial" w:hAnsi="Arial"/>
      <w:sz w:val="18"/>
      <w:szCs w:val="20"/>
    </w:rPr>
  </w:style>
  <w:style w:type="paragraph" w:customStyle="1" w:styleId="TAH">
    <w:name w:val="TAH"/>
    <w:basedOn w:val="TAC"/>
    <w:rsid w:val="0040409F"/>
    <w:rPr>
      <w:b/>
    </w:rPr>
  </w:style>
  <w:style w:type="paragraph" w:customStyle="1" w:styleId="TAC">
    <w:name w:val="TAC"/>
    <w:basedOn w:val="TAL"/>
    <w:rsid w:val="0040409F"/>
    <w:pPr>
      <w:jc w:val="center"/>
    </w:pPr>
  </w:style>
  <w:style w:type="paragraph" w:customStyle="1" w:styleId="NO">
    <w:name w:val="NO"/>
    <w:basedOn w:val="Normal"/>
    <w:rsid w:val="0040409F"/>
    <w:pPr>
      <w:keepLines/>
      <w:overflowPunct w:val="0"/>
      <w:autoSpaceDE w:val="0"/>
      <w:autoSpaceDN w:val="0"/>
      <w:adjustRightInd w:val="0"/>
      <w:spacing w:after="180"/>
      <w:ind w:left="1135" w:hanging="851"/>
      <w:textAlignment w:val="baseline"/>
    </w:pPr>
    <w:rPr>
      <w:sz w:val="20"/>
      <w:szCs w:val="20"/>
    </w:rPr>
  </w:style>
  <w:style w:type="paragraph" w:customStyle="1" w:styleId="tah0">
    <w:name w:val="tah"/>
    <w:basedOn w:val="Normal"/>
    <w:rsid w:val="0040409F"/>
    <w:pPr>
      <w:spacing w:before="100" w:beforeAutospacing="1" w:after="100" w:afterAutospacing="1"/>
    </w:pPr>
    <w:rPr>
      <w:rFonts w:eastAsia="Calibri"/>
      <w:lang w:val="en-US"/>
    </w:rPr>
  </w:style>
  <w:style w:type="character" w:customStyle="1" w:styleId="TALCar">
    <w:name w:val="TAL Car"/>
    <w:link w:val="TAL"/>
    <w:locked/>
    <w:rsid w:val="0040409F"/>
    <w:rPr>
      <w:rFonts w:ascii="Arial" w:hAnsi="Arial"/>
      <w:sz w:val="18"/>
    </w:rPr>
  </w:style>
  <w:style w:type="paragraph" w:styleId="Title">
    <w:name w:val="Title"/>
    <w:basedOn w:val="Normal"/>
    <w:link w:val="TitleChar"/>
    <w:qFormat/>
    <w:rsid w:val="001C1675"/>
    <w:pPr>
      <w:spacing w:before="120" w:after="60"/>
      <w:jc w:val="right"/>
    </w:pPr>
    <w:rPr>
      <w:rFonts w:ascii="Arial" w:eastAsia="SimSun" w:hAnsi="Arial"/>
      <w:b/>
      <w:bCs/>
      <w:kern w:val="28"/>
      <w:sz w:val="32"/>
      <w:szCs w:val="32"/>
      <w:lang w:eastAsia="zh-CN" w:bidi="bn-BD"/>
    </w:rPr>
  </w:style>
  <w:style w:type="character" w:customStyle="1" w:styleId="TitleChar">
    <w:name w:val="Title Char"/>
    <w:basedOn w:val="DefaultParagraphFont"/>
    <w:link w:val="Title"/>
    <w:rsid w:val="001C1675"/>
    <w:rPr>
      <w:rFonts w:ascii="Arial" w:eastAsia="SimSun" w:hAnsi="Arial"/>
      <w:b/>
      <w:bCs/>
      <w:kern w:val="28"/>
      <w:sz w:val="32"/>
      <w:szCs w:val="32"/>
      <w:lang w:eastAsia="zh-CN" w:bidi="bn-BD"/>
    </w:rPr>
  </w:style>
  <w:style w:type="character" w:customStyle="1" w:styleId="HeaderChar">
    <w:name w:val="Header Char"/>
    <w:link w:val="Header"/>
    <w:rsid w:val="001C1675"/>
    <w:rPr>
      <w:b/>
      <w:sz w:val="28"/>
      <w:lang w:eastAsia="en-US"/>
    </w:rPr>
  </w:style>
  <w:style w:type="paragraph" w:customStyle="1" w:styleId="TableHeader">
    <w:name w:val="Table Header"/>
    <w:basedOn w:val="NormalParagraph"/>
    <w:uiPriority w:val="18"/>
    <w:qFormat/>
    <w:rsid w:val="001C1675"/>
    <w:pPr>
      <w:keepNext/>
      <w:spacing w:before="60" w:after="0"/>
    </w:pPr>
    <w:rPr>
      <w:rFonts w:cs="Arial"/>
      <w:b/>
      <w:color w:val="FFFFFF"/>
      <w:lang w:val="en-US"/>
    </w:rPr>
  </w:style>
  <w:style w:type="paragraph" w:customStyle="1" w:styleId="TableText">
    <w:name w:val="Table Text"/>
    <w:basedOn w:val="NormalParagraph"/>
    <w:link w:val="TableTextChar"/>
    <w:uiPriority w:val="19"/>
    <w:qFormat/>
    <w:rsid w:val="001C1675"/>
    <w:pPr>
      <w:spacing w:before="40" w:after="40"/>
    </w:pPr>
    <w:rPr>
      <w:sz w:val="20"/>
      <w:lang w:eastAsia="de-DE"/>
    </w:rPr>
  </w:style>
  <w:style w:type="paragraph" w:customStyle="1" w:styleId="Listletter">
    <w:name w:val="List letter"/>
    <w:basedOn w:val="NormalParagraph"/>
    <w:uiPriority w:val="7"/>
    <w:qFormat/>
    <w:rsid w:val="001C1675"/>
    <w:pPr>
      <w:numPr>
        <w:ilvl w:val="1"/>
        <w:numId w:val="9"/>
      </w:numPr>
      <w:ind w:left="1020"/>
      <w:contextualSpacing/>
    </w:pPr>
  </w:style>
  <w:style w:type="paragraph" w:styleId="ListNumber">
    <w:name w:val="List Number"/>
    <w:basedOn w:val="Normal"/>
    <w:uiPriority w:val="6"/>
    <w:qFormat/>
    <w:rsid w:val="001C1675"/>
    <w:pPr>
      <w:numPr>
        <w:numId w:val="9"/>
      </w:numPr>
      <w:spacing w:after="200" w:line="276" w:lineRule="auto"/>
      <w:contextualSpacing/>
      <w:jc w:val="both"/>
    </w:pPr>
    <w:rPr>
      <w:rFonts w:ascii="Arial" w:eastAsia="SimSun" w:hAnsi="Arial"/>
      <w:sz w:val="22"/>
      <w:szCs w:val="20"/>
      <w:lang w:eastAsia="zh-CN" w:bidi="bn-BD"/>
    </w:rPr>
  </w:style>
  <w:style w:type="paragraph" w:customStyle="1" w:styleId="ListParagraphRomans">
    <w:name w:val="List Paragraph Romans"/>
    <w:basedOn w:val="NormalParagraph"/>
    <w:uiPriority w:val="8"/>
    <w:qFormat/>
    <w:rsid w:val="001C1675"/>
    <w:pPr>
      <w:numPr>
        <w:ilvl w:val="2"/>
        <w:numId w:val="9"/>
      </w:numPr>
      <w:tabs>
        <w:tab w:val="clear" w:pos="1700"/>
        <w:tab w:val="left" w:pos="1361"/>
      </w:tabs>
      <w:ind w:left="1361"/>
      <w:contextualSpacing/>
    </w:pPr>
  </w:style>
  <w:style w:type="character" w:customStyle="1" w:styleId="TableTextChar">
    <w:name w:val="Table Text Char"/>
    <w:link w:val="TableText"/>
    <w:uiPriority w:val="19"/>
    <w:rsid w:val="001C1675"/>
    <w:rPr>
      <w:rFonts w:ascii="Arial" w:eastAsia="SimSun" w:hAnsi="Arial"/>
      <w:szCs w:val="22"/>
      <w:lang w:eastAsia="de-DE"/>
    </w:rPr>
  </w:style>
  <w:style w:type="paragraph" w:customStyle="1" w:styleId="NormalParagraph">
    <w:name w:val="Normal Paragraph"/>
    <w:qFormat/>
    <w:rsid w:val="001C1675"/>
    <w:pPr>
      <w:spacing w:after="200" w:line="276" w:lineRule="auto"/>
    </w:pPr>
    <w:rPr>
      <w:rFonts w:ascii="Arial" w:eastAsia="SimSun" w:hAnsi="Arial"/>
      <w:sz w:val="22"/>
      <w:szCs w:val="22"/>
    </w:rPr>
  </w:style>
  <w:style w:type="numbering" w:customStyle="1" w:styleId="ListNumbers">
    <w:name w:val="ListNumbers"/>
    <w:uiPriority w:val="99"/>
    <w:rsid w:val="001C1675"/>
    <w:pPr>
      <w:numPr>
        <w:numId w:val="8"/>
      </w:numPr>
    </w:pPr>
  </w:style>
  <w:style w:type="character" w:styleId="PlaceholderText">
    <w:name w:val="Placeholder Text"/>
    <w:uiPriority w:val="99"/>
    <w:semiHidden/>
    <w:rsid w:val="001C1675"/>
    <w:rPr>
      <w:color w:val="808080"/>
    </w:rPr>
  </w:style>
  <w:style w:type="character" w:customStyle="1" w:styleId="gi">
    <w:name w:val="gi"/>
    <w:basedOn w:val="DefaultParagraphFont"/>
    <w:rsid w:val="00CA6847"/>
  </w:style>
  <w:style w:type="character" w:customStyle="1" w:styleId="qu">
    <w:name w:val="qu"/>
    <w:basedOn w:val="DefaultParagraphFont"/>
    <w:rsid w:val="00CA6847"/>
  </w:style>
  <w:style w:type="character" w:customStyle="1" w:styleId="gd">
    <w:name w:val="gd"/>
    <w:basedOn w:val="DefaultParagraphFont"/>
    <w:rsid w:val="00CA6847"/>
  </w:style>
  <w:style w:type="character" w:customStyle="1" w:styleId="go">
    <w:name w:val="go"/>
    <w:basedOn w:val="DefaultParagraphFont"/>
    <w:rsid w:val="00CA6847"/>
  </w:style>
  <w:style w:type="character" w:customStyle="1" w:styleId="DocnumberChar">
    <w:name w:val="Docnumber Char"/>
    <w:link w:val="Docnumber"/>
    <w:qFormat/>
    <w:rsid w:val="00661658"/>
    <w:rPr>
      <w:rFonts w:eastAsia="SimSun"/>
      <w:b/>
      <w:sz w:val="40"/>
      <w:lang w:eastAsia="en-US"/>
    </w:rPr>
  </w:style>
  <w:style w:type="paragraph" w:customStyle="1" w:styleId="Docnumber">
    <w:name w:val="Docnumber"/>
    <w:basedOn w:val="Normal"/>
    <w:link w:val="DocnumberChar"/>
    <w:qFormat/>
    <w:rsid w:val="00661658"/>
    <w:pPr>
      <w:tabs>
        <w:tab w:val="left" w:pos="794"/>
        <w:tab w:val="left" w:pos="1191"/>
        <w:tab w:val="left" w:pos="1588"/>
        <w:tab w:val="left" w:pos="1985"/>
      </w:tabs>
      <w:spacing w:before="120"/>
      <w:jc w:val="right"/>
      <w:textAlignment w:val="baseline"/>
    </w:pPr>
    <w:rPr>
      <w:rFonts w:eastAsia="SimSun"/>
      <w:b/>
      <w:sz w:val="40"/>
      <w:szCs w:val="20"/>
      <w:lang w:eastAsia="en-US"/>
    </w:rPr>
  </w:style>
  <w:style w:type="paragraph" w:customStyle="1" w:styleId="LSDeadline">
    <w:name w:val="LSDeadline"/>
    <w:basedOn w:val="LSForAction"/>
    <w:next w:val="Normal"/>
    <w:qFormat/>
    <w:rsid w:val="00661658"/>
    <w:rPr>
      <w:bCs w:val="0"/>
    </w:rPr>
  </w:style>
  <w:style w:type="paragraph" w:customStyle="1" w:styleId="LSForAction">
    <w:name w:val="LSForAction"/>
    <w:basedOn w:val="Normal"/>
    <w:qFormat/>
    <w:rsid w:val="00661658"/>
    <w:pPr>
      <w:tabs>
        <w:tab w:val="left" w:pos="794"/>
        <w:tab w:val="left" w:pos="1191"/>
        <w:tab w:val="left" w:pos="1588"/>
        <w:tab w:val="left" w:pos="1985"/>
      </w:tabs>
      <w:spacing w:before="120"/>
      <w:textAlignment w:val="baseline"/>
    </w:pPr>
    <w:rPr>
      <w:bCs/>
      <w:szCs w:val="20"/>
      <w:lang w:eastAsia="en-US"/>
    </w:rPr>
  </w:style>
  <w:style w:type="paragraph" w:customStyle="1" w:styleId="LSForInfo">
    <w:name w:val="LSForInfo"/>
    <w:basedOn w:val="LSForAction"/>
    <w:next w:val="Normal"/>
    <w:qFormat/>
    <w:rsid w:val="00661658"/>
  </w:style>
  <w:style w:type="paragraph" w:customStyle="1" w:styleId="LSForComment">
    <w:name w:val="LSForComment"/>
    <w:basedOn w:val="LSForAction"/>
    <w:next w:val="Normal"/>
    <w:qFormat/>
    <w:rsid w:val="00661658"/>
  </w:style>
  <w:style w:type="paragraph" w:styleId="ListParagraph">
    <w:name w:val="List Paragraph"/>
    <w:basedOn w:val="Normal"/>
    <w:uiPriority w:val="34"/>
    <w:qFormat/>
    <w:rsid w:val="00661658"/>
    <w:pPr>
      <w:spacing w:before="120"/>
      <w:ind w:left="720"/>
      <w:contextualSpacing/>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539489">
      <w:bodyDiv w:val="1"/>
      <w:marLeft w:val="0"/>
      <w:marRight w:val="0"/>
      <w:marTop w:val="0"/>
      <w:marBottom w:val="0"/>
      <w:divBdr>
        <w:top w:val="none" w:sz="0" w:space="0" w:color="auto"/>
        <w:left w:val="none" w:sz="0" w:space="0" w:color="auto"/>
        <w:bottom w:val="none" w:sz="0" w:space="0" w:color="auto"/>
        <w:right w:val="none" w:sz="0" w:space="0" w:color="auto"/>
      </w:divBdr>
    </w:div>
    <w:div w:id="1143887427">
      <w:bodyDiv w:val="1"/>
      <w:marLeft w:val="0"/>
      <w:marRight w:val="0"/>
      <w:marTop w:val="0"/>
      <w:marBottom w:val="0"/>
      <w:divBdr>
        <w:top w:val="none" w:sz="0" w:space="0" w:color="auto"/>
        <w:left w:val="none" w:sz="0" w:space="0" w:color="auto"/>
        <w:bottom w:val="none" w:sz="0" w:space="0" w:color="auto"/>
        <w:right w:val="none" w:sz="0" w:space="0" w:color="auto"/>
      </w:divBdr>
    </w:div>
    <w:div w:id="1204631802">
      <w:bodyDiv w:val="1"/>
      <w:marLeft w:val="0"/>
      <w:marRight w:val="0"/>
      <w:marTop w:val="0"/>
      <w:marBottom w:val="0"/>
      <w:divBdr>
        <w:top w:val="none" w:sz="0" w:space="0" w:color="auto"/>
        <w:left w:val="none" w:sz="0" w:space="0" w:color="auto"/>
        <w:bottom w:val="none" w:sz="0" w:space="0" w:color="auto"/>
        <w:right w:val="none" w:sz="0" w:space="0" w:color="auto"/>
      </w:divBdr>
    </w:div>
    <w:div w:id="2107342343">
      <w:bodyDiv w:val="1"/>
      <w:marLeft w:val="0"/>
      <w:marRight w:val="0"/>
      <w:marTop w:val="0"/>
      <w:marBottom w:val="0"/>
      <w:divBdr>
        <w:top w:val="none" w:sz="0" w:space="0" w:color="auto"/>
        <w:left w:val="none" w:sz="0" w:space="0" w:color="auto"/>
        <w:bottom w:val="none" w:sz="0" w:space="0" w:color="auto"/>
        <w:right w:val="none" w:sz="0" w:space="0" w:color="auto"/>
      </w:divBdr>
      <w:divsChild>
        <w:div w:id="1134758006">
          <w:marLeft w:val="0"/>
          <w:marRight w:val="0"/>
          <w:marTop w:val="0"/>
          <w:marBottom w:val="0"/>
          <w:divBdr>
            <w:top w:val="none" w:sz="0" w:space="0" w:color="auto"/>
            <w:left w:val="none" w:sz="0" w:space="0" w:color="auto"/>
            <w:bottom w:val="none" w:sz="0" w:space="0" w:color="auto"/>
            <w:right w:val="none" w:sz="0" w:space="0" w:color="auto"/>
          </w:divBdr>
        </w:div>
        <w:div w:id="370344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tsbcits@itu.i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stanley@ieee.org" TargetMode="External"/><Relationship Id="rId12" Type="http://schemas.openxmlformats.org/officeDocument/2006/relationships/hyperlink" Target="https://www.itu.int/net4/ITU-T/landscap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22</TotalTime>
  <Pages>9</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doc.: IEEE 802.11-19/0550r0</vt:lpstr>
    </vt:vector>
  </TitlesOfParts>
  <Company>HP Enterprise</Company>
  <LinksUpToDate>false</LinksUpToDate>
  <CharactersWithSpaces>11413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802.11-19/0636r0</dc:title>
  <dc:subject>Liaison CITS</dc:subject>
  <dc:creator>Dorothy Stanley</dc:creator>
  <cp:keywords>April 2019</cp:keywords>
  <dc:description>D. Stanley, HP Enterprise</dc:description>
  <cp:lastModifiedBy>Stanley, Dorothy</cp:lastModifiedBy>
  <cp:revision>3</cp:revision>
  <cp:lastPrinted>2018-10-10T14:47:00Z</cp:lastPrinted>
  <dcterms:created xsi:type="dcterms:W3CDTF">2019-04-11T15:03:00Z</dcterms:created>
  <dcterms:modified xsi:type="dcterms:W3CDTF">2019-04-11T15:25:00Z</dcterms:modified>
</cp:coreProperties>
</file>