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A8E5E7D" w:rsidR="005E768D" w:rsidRPr="00183F4C" w:rsidRDefault="00E56075" w:rsidP="00133B69">
            <w:pPr>
              <w:pStyle w:val="T2"/>
            </w:pPr>
            <w:r>
              <w:rPr>
                <w:rFonts w:hint="eastAsia"/>
                <w:lang w:eastAsia="ko-KR"/>
              </w:rPr>
              <w:t>LB2</w:t>
            </w:r>
            <w:r w:rsidR="00946BE9">
              <w:rPr>
                <w:lang w:eastAsia="ko-KR"/>
              </w:rPr>
              <w:t>3</w:t>
            </w:r>
            <w:r w:rsidR="00133B69">
              <w:rPr>
                <w:lang w:eastAsia="ko-KR"/>
              </w:rPr>
              <w:t>7</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138AF7A3" w:rsidR="005E768D" w:rsidRPr="00183F4C" w:rsidRDefault="005E768D" w:rsidP="00133B69">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133B69">
              <w:rPr>
                <w:b w:val="0"/>
                <w:sz w:val="20"/>
              </w:rPr>
              <w:t>4</w:t>
            </w:r>
            <w:r w:rsidR="0088012D">
              <w:rPr>
                <w:rFonts w:hint="eastAsia"/>
                <w:b w:val="0"/>
                <w:sz w:val="20"/>
                <w:lang w:eastAsia="ko-KR"/>
              </w:rPr>
              <w:t>-</w:t>
            </w:r>
            <w:r w:rsidR="00222FEC">
              <w:rPr>
                <w:b w:val="0"/>
                <w:sz w:val="20"/>
                <w:lang w:eastAsia="ko-KR"/>
              </w:rPr>
              <w:t>1</w:t>
            </w:r>
            <w:r w:rsidR="00AF4FD4">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2418F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49CAA724" w:rsidR="00D92397" w:rsidRDefault="00D92397" w:rsidP="00133B69">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r>
                              <w:rPr>
                                <w:lang w:eastAsia="ko-KR"/>
                              </w:rPr>
                              <w:t xml:space="preserve"> </w:t>
                            </w:r>
                            <w:r>
                              <w:rPr>
                                <w:rFonts w:hint="eastAsia"/>
                                <w:lang w:eastAsia="ko-KR"/>
                              </w:rPr>
                              <w:t>(</w:t>
                            </w:r>
                            <w:r w:rsidRPr="00912E31">
                              <w:rPr>
                                <w:strike/>
                                <w:color w:val="FF0000"/>
                                <w:lang w:eastAsia="ko-KR"/>
                              </w:rPr>
                              <w:t>20</w:t>
                            </w:r>
                            <w:r w:rsidR="0039262A">
                              <w:rPr>
                                <w:lang w:eastAsia="ko-KR"/>
                              </w:rPr>
                              <w:t>19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49CAA724" w:rsidR="00D92397" w:rsidRDefault="00D92397" w:rsidP="00133B69">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r>
                        <w:rPr>
                          <w:lang w:eastAsia="ko-KR"/>
                        </w:rPr>
                        <w:t xml:space="preserve"> </w:t>
                      </w:r>
                      <w:r>
                        <w:rPr>
                          <w:rFonts w:hint="eastAsia"/>
                          <w:lang w:eastAsia="ko-KR"/>
                        </w:rPr>
                        <w:t>(</w:t>
                      </w:r>
                      <w:r w:rsidRPr="00912E31">
                        <w:rPr>
                          <w:strike/>
                          <w:color w:val="FF0000"/>
                          <w:lang w:eastAsia="ko-KR"/>
                        </w:rPr>
                        <w:t>20</w:t>
                      </w:r>
                      <w:r w:rsidR="0039262A">
                        <w:rPr>
                          <w:lang w:eastAsia="ko-KR"/>
                        </w:rPr>
                        <w:t>19</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675C0" w:rsidRPr="00133B69" w14:paraId="4D1A5D78"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2966619" w14:textId="77777777" w:rsidR="006675C0" w:rsidRPr="00133B69" w:rsidRDefault="006675C0" w:rsidP="006675C0">
            <w:pPr>
              <w:rPr>
                <w:rFonts w:ascii="Arial" w:hAnsi="Arial" w:cs="Arial"/>
                <w:sz w:val="20"/>
              </w:rPr>
            </w:pPr>
            <w:r w:rsidRPr="00133B69">
              <w:rPr>
                <w:rFonts w:ascii="Arial" w:hAnsi="Arial" w:cs="Arial"/>
                <w:sz w:val="20"/>
              </w:rPr>
              <w:t>2702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ED7D348" w14:textId="3E0C059C"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0A6D614" w14:textId="52EA39C5"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8D130ED" w14:textId="0F385F2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C4E9750" w14:textId="77777777" w:rsidR="006675C0" w:rsidRPr="00133B69" w:rsidRDefault="006675C0" w:rsidP="006675C0">
            <w:pPr>
              <w:rPr>
                <w:rFonts w:ascii="Arial" w:hAnsi="Arial" w:cs="Arial"/>
                <w:sz w:val="20"/>
              </w:rPr>
            </w:pPr>
            <w:r w:rsidRPr="00133B69">
              <w:rPr>
                <w:rFonts w:ascii="Arial" w:hAnsi="Arial" w:cs="Arial"/>
                <w:sz w:val="20"/>
              </w:rPr>
              <w:t>The definition of WUR primary channel should follow the same style of WUR channel or WUR Discovery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E0FC023"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primary channel to "The channel in which a WUR AP transmits WUR beacon frames."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3DFF0C" w14:textId="154972FC" w:rsidR="006675C0" w:rsidRDefault="003969AF" w:rsidP="003969AF">
            <w:pPr>
              <w:rPr>
                <w:rFonts w:ascii="Arial" w:hAnsi="Arial" w:cs="Arial"/>
                <w:sz w:val="20"/>
              </w:rPr>
            </w:pPr>
            <w:r>
              <w:rPr>
                <w:rFonts w:ascii="Arial" w:hAnsi="Arial" w:cs="Arial"/>
                <w:sz w:val="20"/>
              </w:rPr>
              <w:t xml:space="preserve">Rejected- </w:t>
            </w:r>
          </w:p>
          <w:p w14:paraId="4D4AE404" w14:textId="7C289A42" w:rsidR="003969AF" w:rsidRPr="00133B69" w:rsidRDefault="003969AF" w:rsidP="006675C0">
            <w:pPr>
              <w:rPr>
                <w:rFonts w:ascii="Arial" w:hAnsi="Arial" w:cs="Arial"/>
                <w:sz w:val="20"/>
              </w:rPr>
            </w:pPr>
            <w:r w:rsidRPr="003969AF">
              <w:rPr>
                <w:rFonts w:ascii="Arial" w:hAnsi="Arial" w:cs="Arial"/>
                <w:sz w:val="20"/>
              </w:rPr>
              <w:t>The comment fails to identify a specific issue to be addressed.</w:t>
            </w:r>
          </w:p>
        </w:tc>
      </w:tr>
      <w:tr w:rsidR="006675C0" w:rsidRPr="00133B69" w14:paraId="29FE86B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780B3A4" w14:textId="7B8115F6" w:rsidR="006675C0" w:rsidRPr="00133B69" w:rsidRDefault="006675C0" w:rsidP="006675C0">
            <w:pPr>
              <w:rPr>
                <w:rFonts w:ascii="Arial" w:hAnsi="Arial" w:cs="Arial"/>
                <w:sz w:val="20"/>
              </w:rPr>
            </w:pPr>
            <w:r w:rsidRPr="00133B69">
              <w:rPr>
                <w:rFonts w:ascii="Arial" w:hAnsi="Arial" w:cs="Arial"/>
                <w:sz w:val="20"/>
              </w:rPr>
              <w:t>2705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F785565" w14:textId="6E3FFC39"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B3F91FA" w14:textId="48BECF00"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70F415" w14:textId="1B6F6342"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650B526"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14265D2"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channel to "The 20 MHz channel that is adjacent to the WUR primary channel that together with the WUR primary channel form the WUR primary 40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161450" w14:textId="77777777" w:rsidR="00911F50" w:rsidRDefault="00911F50" w:rsidP="006675C0">
            <w:pPr>
              <w:rPr>
                <w:rFonts w:ascii="Arial" w:hAnsi="Arial" w:cs="Arial"/>
                <w:sz w:val="20"/>
              </w:rPr>
            </w:pPr>
            <w:r>
              <w:rPr>
                <w:rFonts w:ascii="Arial" w:hAnsi="Arial" w:cs="Arial"/>
                <w:sz w:val="20"/>
              </w:rPr>
              <w:t>Rejected-</w:t>
            </w:r>
          </w:p>
          <w:p w14:paraId="59FCFEA1" w14:textId="7C2DCAAB" w:rsidR="00911F50" w:rsidRDefault="00911F50" w:rsidP="006675C0">
            <w:pPr>
              <w:rPr>
                <w:rFonts w:ascii="Arial" w:hAnsi="Arial" w:cs="Arial"/>
                <w:sz w:val="20"/>
              </w:rPr>
            </w:pPr>
            <w:r>
              <w:rPr>
                <w:rFonts w:ascii="Arial" w:hAnsi="Arial" w:cs="Arial"/>
                <w:sz w:val="20"/>
              </w:rPr>
              <w:t xml:space="preserve">There is no </w:t>
            </w:r>
            <w:proofErr w:type="spellStart"/>
            <w:r>
              <w:rPr>
                <w:rFonts w:ascii="Arial" w:hAnsi="Arial" w:cs="Arial"/>
                <w:sz w:val="20"/>
              </w:rPr>
              <w:t>grammatic</w:t>
            </w:r>
            <w:proofErr w:type="spellEnd"/>
            <w:r>
              <w:rPr>
                <w:rFonts w:ascii="Arial" w:hAnsi="Arial" w:cs="Arial"/>
                <w:sz w:val="20"/>
              </w:rPr>
              <w:t xml:space="preserve"> </w:t>
            </w:r>
            <w:proofErr w:type="spellStart"/>
            <w:r>
              <w:rPr>
                <w:rFonts w:ascii="Arial" w:hAnsi="Arial" w:cs="Arial"/>
                <w:sz w:val="20"/>
              </w:rPr>
              <w:t>erros</w:t>
            </w:r>
            <w:proofErr w:type="spellEnd"/>
            <w:r>
              <w:rPr>
                <w:rFonts w:ascii="Arial" w:hAnsi="Arial" w:cs="Arial"/>
                <w:sz w:val="20"/>
              </w:rPr>
              <w:t xml:space="preserve">. </w:t>
            </w:r>
          </w:p>
          <w:p w14:paraId="53B09079" w14:textId="77777777" w:rsidR="00911F50" w:rsidRDefault="00911F50" w:rsidP="00911F50">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 </w:t>
            </w:r>
          </w:p>
          <w:p w14:paraId="2B48FC29" w14:textId="6AAEEC6A" w:rsidR="00911F50" w:rsidRPr="00133B69" w:rsidRDefault="00911F50" w:rsidP="00911F50">
            <w:pPr>
              <w:rPr>
                <w:rFonts w:ascii="Arial" w:hAnsi="Arial" w:cs="Arial"/>
                <w:sz w:val="20"/>
              </w:rPr>
            </w:pPr>
          </w:p>
        </w:tc>
      </w:tr>
      <w:tr w:rsidR="006675C0" w:rsidRPr="00264043" w14:paraId="6B9982D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481E6F4" w14:textId="21B2A280" w:rsidR="006675C0" w:rsidRPr="00133B69" w:rsidRDefault="006675C0" w:rsidP="006675C0">
            <w:pPr>
              <w:rPr>
                <w:rFonts w:ascii="Arial" w:hAnsi="Arial" w:cs="Arial"/>
                <w:sz w:val="20"/>
              </w:rPr>
            </w:pPr>
            <w:r w:rsidRPr="00133B69">
              <w:rPr>
                <w:rFonts w:ascii="Arial" w:hAnsi="Arial" w:cs="Arial"/>
                <w:sz w:val="20"/>
              </w:rPr>
              <w:t>2440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685F064" w14:textId="27BC0CA5"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419B6F5" w14:textId="5505E4DA"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63E652" w14:textId="70CFEF3C"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287C842" w14:textId="77777777" w:rsidR="006675C0" w:rsidRPr="00133B69" w:rsidRDefault="006675C0" w:rsidP="006675C0">
            <w:pPr>
              <w:rPr>
                <w:rFonts w:ascii="Arial" w:hAnsi="Arial" w:cs="Arial"/>
                <w:sz w:val="20"/>
              </w:rPr>
            </w:pPr>
            <w:r w:rsidRPr="00133B69">
              <w:rPr>
                <w:rFonts w:ascii="Arial" w:hAnsi="Arial" w:cs="Arial"/>
                <w:sz w:val="20"/>
              </w:rPr>
              <w:t xml:space="preserve">"NOTE--WUR primary channel can be different from the primary channel of the BSS" should be moved to either Clause 30 or Clause 31. The Clause 3.2 should contain just the definition of a term used in IEEE </w:t>
            </w:r>
            <w:proofErr w:type="spellStart"/>
            <w:r w:rsidRPr="00133B69">
              <w:rPr>
                <w:rFonts w:ascii="Arial" w:hAnsi="Arial" w:cs="Arial"/>
                <w:sz w:val="20"/>
              </w:rPr>
              <w:t>Std</w:t>
            </w:r>
            <w:proofErr w:type="spellEnd"/>
            <w:r w:rsidRPr="00133B69">
              <w:rPr>
                <w:rFonts w:ascii="Arial" w:hAnsi="Arial" w:cs="Arial"/>
                <w:sz w:val="20"/>
              </w:rPr>
              <w:t xml:space="preserve"> 802.11.</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E1A582D" w14:textId="77777777" w:rsidR="006675C0" w:rsidRPr="00133B69" w:rsidRDefault="006675C0" w:rsidP="006675C0">
            <w:pPr>
              <w:rPr>
                <w:rFonts w:ascii="Arial" w:hAnsi="Arial" w:cs="Arial"/>
                <w:sz w:val="20"/>
              </w:rPr>
            </w:pPr>
            <w:r w:rsidRPr="00133B69">
              <w:rPr>
                <w:rFonts w:ascii="Arial" w:hAnsi="Arial" w:cs="Arial"/>
                <w:sz w:val="20"/>
              </w:rPr>
              <w:t>Move "NOTE--WUR primary channel can be different from the primary channel of the BSS" to Clause 30 or Clause 31.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C504F3" w14:textId="77777777" w:rsidR="006675C0" w:rsidRDefault="00911F50" w:rsidP="006675C0">
            <w:pPr>
              <w:rPr>
                <w:rFonts w:ascii="Arial" w:hAnsi="Arial" w:cs="Arial"/>
                <w:sz w:val="20"/>
              </w:rPr>
            </w:pPr>
            <w:r>
              <w:rPr>
                <w:rFonts w:ascii="Arial" w:hAnsi="Arial" w:cs="Arial"/>
                <w:sz w:val="20"/>
              </w:rPr>
              <w:t xml:space="preserve">Revised- </w:t>
            </w:r>
          </w:p>
          <w:p w14:paraId="713BEA19" w14:textId="77777777" w:rsidR="00911F50" w:rsidRDefault="00911F50" w:rsidP="006675C0">
            <w:pPr>
              <w:rPr>
                <w:rFonts w:ascii="Arial" w:hAnsi="Arial" w:cs="Arial"/>
                <w:sz w:val="20"/>
              </w:rPr>
            </w:pPr>
            <w:r>
              <w:rPr>
                <w:rFonts w:ascii="Arial" w:hAnsi="Arial" w:cs="Arial"/>
                <w:sz w:val="20"/>
              </w:rPr>
              <w:t xml:space="preserve">Agree in principle. </w:t>
            </w:r>
          </w:p>
          <w:p w14:paraId="5FC65AF0" w14:textId="6B30CDB4" w:rsidR="00264043" w:rsidRDefault="00264043" w:rsidP="00264043">
            <w:pPr>
              <w:rPr>
                <w:rFonts w:ascii="Arial" w:hAnsi="Arial" w:cs="Arial"/>
                <w:sz w:val="20"/>
              </w:rPr>
            </w:pPr>
            <w:r w:rsidRPr="00ED3E92">
              <w:rPr>
                <w:rFonts w:ascii="Arial" w:hAnsi="Arial" w:cs="Arial"/>
                <w:sz w:val="20"/>
              </w:rPr>
              <w:t xml:space="preserve">The NOTE is moved to clause 30.2. </w:t>
            </w:r>
          </w:p>
          <w:p w14:paraId="2290ABC8" w14:textId="77777777" w:rsidR="00911F50" w:rsidRPr="00264043" w:rsidRDefault="00911F50" w:rsidP="006675C0">
            <w:pPr>
              <w:rPr>
                <w:rFonts w:ascii="Arial" w:hAnsi="Arial" w:cs="Arial"/>
                <w:sz w:val="20"/>
              </w:rPr>
            </w:pPr>
          </w:p>
          <w:p w14:paraId="03B5AC24" w14:textId="064FBA8B" w:rsidR="00911F50" w:rsidRPr="00133B69" w:rsidRDefault="0097323B" w:rsidP="00264043">
            <w:pPr>
              <w:rPr>
                <w:rFonts w:ascii="Arial" w:hAnsi="Arial" w:cs="Arial"/>
                <w:sz w:val="20"/>
              </w:rPr>
            </w:pPr>
            <w:proofErr w:type="spellStart"/>
            <w:r>
              <w:rPr>
                <w:rFonts w:ascii="Arial" w:hAnsi="Arial" w:cs="Arial"/>
                <w:sz w:val="20"/>
              </w:rPr>
              <w:t>TGba</w:t>
            </w:r>
            <w:proofErr w:type="spellEnd"/>
            <w:r w:rsidR="00264043" w:rsidRPr="00264043">
              <w:rPr>
                <w:rFonts w:ascii="Arial" w:hAnsi="Arial" w:cs="Arial"/>
                <w:sz w:val="20"/>
              </w:rPr>
              <w:t xml:space="preserve"> editor makes changes as specified in 11-19/05</w:t>
            </w:r>
            <w:r w:rsidR="00264043">
              <w:rPr>
                <w:rFonts w:ascii="Arial" w:hAnsi="Arial" w:cs="Arial"/>
                <w:sz w:val="20"/>
              </w:rPr>
              <w:t>76</w:t>
            </w:r>
            <w:r w:rsidR="00264043" w:rsidRPr="00264043">
              <w:rPr>
                <w:rFonts w:ascii="Arial" w:hAnsi="Arial" w:cs="Arial"/>
                <w:sz w:val="20"/>
              </w:rPr>
              <w:t>r0 for CID 2</w:t>
            </w:r>
            <w:r w:rsidR="00264043">
              <w:rPr>
                <w:rFonts w:ascii="Arial" w:hAnsi="Arial" w:cs="Arial"/>
                <w:sz w:val="20"/>
              </w:rPr>
              <w:t>440</w:t>
            </w:r>
            <w:r w:rsidR="00264043" w:rsidRPr="00264043">
              <w:rPr>
                <w:rFonts w:ascii="Arial" w:hAnsi="Arial" w:cs="Arial"/>
                <w:sz w:val="20"/>
              </w:rPr>
              <w:t>.</w:t>
            </w:r>
          </w:p>
        </w:tc>
      </w:tr>
      <w:tr w:rsidR="006675C0" w:rsidRPr="00133B69" w14:paraId="58E7F62A" w14:textId="77777777" w:rsidTr="00264043">
        <w:trPr>
          <w:trHeight w:val="2238"/>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B3E7BC7" w14:textId="385B9773" w:rsidR="006675C0" w:rsidRPr="00133B69" w:rsidRDefault="006675C0" w:rsidP="006675C0">
            <w:pPr>
              <w:rPr>
                <w:rFonts w:ascii="Arial" w:hAnsi="Arial" w:cs="Arial"/>
                <w:sz w:val="20"/>
              </w:rPr>
            </w:pPr>
            <w:r w:rsidRPr="00133B69">
              <w:rPr>
                <w:rFonts w:ascii="Arial" w:hAnsi="Arial" w:cs="Arial"/>
                <w:sz w:val="20"/>
              </w:rPr>
              <w:t>2703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1F6852" w14:textId="743DEC2E"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BD358E1" w14:textId="60096DBF"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F1E255" w14:textId="198CDBA7"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C84E133" w14:textId="77777777" w:rsidR="006675C0" w:rsidRPr="00133B69" w:rsidRDefault="006675C0" w:rsidP="006675C0">
            <w:pPr>
              <w:rPr>
                <w:rFonts w:ascii="Arial" w:hAnsi="Arial" w:cs="Arial"/>
                <w:sz w:val="20"/>
              </w:rPr>
            </w:pPr>
            <w:r w:rsidRPr="00133B69">
              <w:rPr>
                <w:rFonts w:ascii="Arial" w:hAnsi="Arial" w:cs="Arial"/>
                <w:sz w:val="20"/>
              </w:rPr>
              <w:t>The note needs some improvements.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0C020FF" w14:textId="77777777" w:rsidR="006675C0" w:rsidRPr="00133B69" w:rsidRDefault="006675C0" w:rsidP="006675C0">
            <w:pPr>
              <w:rPr>
                <w:rFonts w:ascii="Arial" w:hAnsi="Arial" w:cs="Arial"/>
                <w:sz w:val="20"/>
              </w:rPr>
            </w:pPr>
            <w:r w:rsidRPr="00133B69">
              <w:rPr>
                <w:rFonts w:ascii="Arial" w:hAnsi="Arial" w:cs="Arial"/>
                <w:sz w:val="20"/>
              </w:rPr>
              <w:t>Suggest to the note to read "The WUR primary channel of a BSS may be different than the primary channel of the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E00673" w14:textId="2727D119" w:rsidR="00D92397" w:rsidRDefault="00ED3E92" w:rsidP="006675C0">
            <w:pPr>
              <w:rPr>
                <w:rFonts w:ascii="Arial" w:hAnsi="Arial" w:cs="Arial"/>
                <w:sz w:val="20"/>
              </w:rPr>
            </w:pPr>
            <w:r>
              <w:rPr>
                <w:rFonts w:ascii="Arial" w:hAnsi="Arial" w:cs="Arial"/>
                <w:sz w:val="20"/>
              </w:rPr>
              <w:t xml:space="preserve">Revised- </w:t>
            </w:r>
          </w:p>
          <w:p w14:paraId="2AF4ED7C" w14:textId="77777777" w:rsidR="00ED3E92" w:rsidRPr="00ED3E92" w:rsidRDefault="00ED3E92" w:rsidP="00ED3E92">
            <w:pPr>
              <w:rPr>
                <w:rFonts w:ascii="Arial" w:hAnsi="Arial" w:cs="Arial"/>
                <w:sz w:val="20"/>
              </w:rPr>
            </w:pPr>
            <w:r w:rsidRPr="00ED3E92">
              <w:rPr>
                <w:rFonts w:ascii="Arial" w:hAnsi="Arial" w:cs="Arial"/>
                <w:sz w:val="20"/>
              </w:rPr>
              <w:t>Agree in principle.</w:t>
            </w:r>
          </w:p>
          <w:p w14:paraId="5B54CB21" w14:textId="7BA76968" w:rsidR="003969AF" w:rsidRDefault="003969AF" w:rsidP="00ED3E92">
            <w:pPr>
              <w:rPr>
                <w:rFonts w:ascii="Arial" w:hAnsi="Arial" w:cs="Arial"/>
                <w:sz w:val="20"/>
              </w:rPr>
            </w:pPr>
            <w:r>
              <w:rPr>
                <w:rFonts w:ascii="Arial" w:hAnsi="Arial" w:cs="Arial"/>
                <w:sz w:val="20"/>
              </w:rPr>
              <w:t xml:space="preserve">But, it seems that the BSS is redundant. </w:t>
            </w:r>
          </w:p>
          <w:p w14:paraId="034AB987" w14:textId="77777777" w:rsidR="00264043" w:rsidRDefault="00264043" w:rsidP="00ED3E92">
            <w:pPr>
              <w:rPr>
                <w:rFonts w:ascii="Arial" w:hAnsi="Arial" w:cs="Arial"/>
                <w:sz w:val="20"/>
              </w:rPr>
            </w:pPr>
          </w:p>
          <w:p w14:paraId="65BE8457" w14:textId="3BB42523" w:rsidR="00D92397" w:rsidRPr="00133B69" w:rsidRDefault="0097323B" w:rsidP="006675C0">
            <w:pPr>
              <w:rPr>
                <w:rFonts w:ascii="Arial" w:hAnsi="Arial" w:cs="Arial"/>
                <w:sz w:val="20"/>
              </w:rPr>
            </w:pPr>
            <w:proofErr w:type="spellStart"/>
            <w:r>
              <w:rPr>
                <w:rFonts w:ascii="Arial" w:hAnsi="Arial" w:cs="Arial"/>
                <w:sz w:val="20"/>
              </w:rPr>
              <w:t>TGba</w:t>
            </w:r>
            <w:proofErr w:type="spellEnd"/>
            <w:r w:rsidR="00264043" w:rsidRPr="00DD1372">
              <w:rPr>
                <w:rFonts w:ascii="Arial" w:hAnsi="Arial" w:cs="Arial"/>
                <w:sz w:val="20"/>
              </w:rPr>
              <w:t xml:space="preserve"> editor makes changes as specified in 11-19/05</w:t>
            </w:r>
            <w:r w:rsidR="00264043">
              <w:rPr>
                <w:rFonts w:ascii="Arial" w:hAnsi="Arial" w:cs="Arial"/>
                <w:sz w:val="20"/>
              </w:rPr>
              <w:t>76</w:t>
            </w:r>
            <w:r w:rsidR="00264043" w:rsidRPr="00DD1372">
              <w:rPr>
                <w:rFonts w:ascii="Arial" w:hAnsi="Arial" w:cs="Arial"/>
                <w:sz w:val="20"/>
              </w:rPr>
              <w:t>r0 for CID 2</w:t>
            </w:r>
            <w:r w:rsidR="00264043">
              <w:rPr>
                <w:rFonts w:ascii="Arial" w:hAnsi="Arial" w:cs="Arial"/>
                <w:sz w:val="20"/>
              </w:rPr>
              <w:t>440</w:t>
            </w:r>
            <w:r w:rsidR="00264043" w:rsidRPr="00DD1372">
              <w:rPr>
                <w:rFonts w:ascii="Arial" w:hAnsi="Arial" w:cs="Arial"/>
                <w:sz w:val="20"/>
              </w:rPr>
              <w:t>.</w:t>
            </w:r>
          </w:p>
        </w:tc>
      </w:tr>
      <w:tr w:rsidR="00ED3E92" w:rsidRPr="00133B69" w14:paraId="4FAA7044" w14:textId="77777777" w:rsidTr="0026404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0217ACEB" w14:textId="23DAADD1" w:rsidR="00ED3E92" w:rsidRDefault="00ED3E92" w:rsidP="006675C0">
            <w:pPr>
              <w:rPr>
                <w:rFonts w:ascii="Arial" w:hAnsi="Arial" w:cs="Arial"/>
                <w:sz w:val="20"/>
              </w:rPr>
            </w:pPr>
          </w:p>
          <w:p w14:paraId="10B915D8" w14:textId="6DAE362D" w:rsidR="00264043" w:rsidRPr="000C120D" w:rsidRDefault="00264043" w:rsidP="00264043">
            <w:pPr>
              <w:jc w:val="both"/>
              <w:rPr>
                <w:b/>
                <w:sz w:val="28"/>
                <w:szCs w:val="22"/>
                <w:u w:val="single"/>
              </w:rPr>
            </w:pPr>
            <w:r>
              <w:rPr>
                <w:b/>
                <w:sz w:val="28"/>
                <w:szCs w:val="22"/>
                <w:u w:val="single"/>
              </w:rPr>
              <w:t>Proposed Text Updates: CID 2440, 2703</w:t>
            </w:r>
          </w:p>
          <w:p w14:paraId="2787B98A" w14:textId="77777777" w:rsidR="00264043" w:rsidRDefault="00264043" w:rsidP="00264043">
            <w:pPr>
              <w:rPr>
                <w:lang w:val="en-US"/>
              </w:rPr>
            </w:pPr>
          </w:p>
          <w:p w14:paraId="10709C3D" w14:textId="72C1D47C" w:rsidR="003969AF" w:rsidRPr="004A384D" w:rsidRDefault="003969AF" w:rsidP="0026404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Delete the following NOTE in the sub-clause 3</w:t>
            </w:r>
            <w:r w:rsidRPr="003969AF">
              <w:rPr>
                <w:b/>
                <w:i/>
                <w:szCs w:val="22"/>
              </w:rPr>
              <w:t>.2</w:t>
            </w:r>
            <w:r>
              <w:rPr>
                <w:b/>
                <w:i/>
                <w:szCs w:val="22"/>
              </w:rPr>
              <w:t xml:space="preserve"> (</w:t>
            </w:r>
            <w:r w:rsidRPr="003969AF">
              <w:rPr>
                <w:b/>
                <w:i/>
                <w:szCs w:val="22"/>
              </w:rPr>
              <w:t xml:space="preserve">Definitions specific to IEEE </w:t>
            </w:r>
            <w:proofErr w:type="spellStart"/>
            <w:r w:rsidRPr="003969AF">
              <w:rPr>
                <w:b/>
                <w:i/>
                <w:szCs w:val="22"/>
              </w:rPr>
              <w:t>Std</w:t>
            </w:r>
            <w:proofErr w:type="spellEnd"/>
            <w:r w:rsidRPr="003969AF">
              <w:rPr>
                <w:b/>
                <w:i/>
                <w:szCs w:val="22"/>
              </w:rPr>
              <w:t xml:space="preserve"> 802.11</w:t>
            </w:r>
            <w:r>
              <w:rPr>
                <w:b/>
                <w:i/>
                <w:szCs w:val="22"/>
              </w:rPr>
              <w:t xml:space="preserve">): </w:t>
            </w:r>
          </w:p>
          <w:p w14:paraId="518FDFD4" w14:textId="7E8C2CF6" w:rsidR="003969AF" w:rsidRPr="004A384D" w:rsidRDefault="003969AF" w:rsidP="00264043">
            <w:r w:rsidRPr="003969AF">
              <w:t>NOTE—WUR primary channel can be different from the primary channel of the BSS.</w:t>
            </w:r>
          </w:p>
          <w:p w14:paraId="1B061B45" w14:textId="77777777" w:rsidR="003969AF" w:rsidRPr="004A384D" w:rsidRDefault="003969AF" w:rsidP="00264043"/>
          <w:p w14:paraId="1CE5B435" w14:textId="7B16767E" w:rsidR="00264043" w:rsidRPr="0092288D" w:rsidRDefault="00264043" w:rsidP="00264043">
            <w:pPr>
              <w:rPr>
                <w:b/>
                <w:i/>
                <w:szCs w:val="22"/>
              </w:rPr>
            </w:pPr>
            <w:proofErr w:type="spellStart"/>
            <w:r w:rsidRPr="002C57EA">
              <w:rPr>
                <w:b/>
                <w:i/>
                <w:szCs w:val="22"/>
              </w:rPr>
              <w:t>TG</w:t>
            </w:r>
            <w:r w:rsidR="003969AF">
              <w:rPr>
                <w:b/>
                <w:i/>
                <w:szCs w:val="22"/>
              </w:rPr>
              <w:t>ba</w:t>
            </w:r>
            <w:proofErr w:type="spellEnd"/>
            <w:r w:rsidRPr="002C57EA">
              <w:rPr>
                <w:b/>
                <w:i/>
                <w:szCs w:val="22"/>
              </w:rPr>
              <w:t xml:space="preserve"> Editor:</w:t>
            </w:r>
            <w:r>
              <w:rPr>
                <w:b/>
                <w:i/>
                <w:szCs w:val="22"/>
              </w:rPr>
              <w:t xml:space="preserve"> </w:t>
            </w:r>
            <w:r w:rsidR="003969AF">
              <w:rPr>
                <w:b/>
                <w:i/>
                <w:szCs w:val="22"/>
              </w:rPr>
              <w:t xml:space="preserve">Insert </w:t>
            </w:r>
            <w:r>
              <w:rPr>
                <w:b/>
                <w:i/>
                <w:szCs w:val="22"/>
              </w:rPr>
              <w:t xml:space="preserve">the </w:t>
            </w:r>
            <w:r w:rsidR="003969AF">
              <w:rPr>
                <w:b/>
                <w:i/>
                <w:szCs w:val="22"/>
              </w:rPr>
              <w:t xml:space="preserve">following NOTE at the end of the </w:t>
            </w:r>
            <w:r>
              <w:rPr>
                <w:b/>
                <w:i/>
                <w:szCs w:val="22"/>
              </w:rPr>
              <w:t xml:space="preserve">sub-clause </w:t>
            </w:r>
            <w:r w:rsidR="003969AF" w:rsidRPr="003969AF">
              <w:rPr>
                <w:b/>
                <w:i/>
                <w:szCs w:val="22"/>
              </w:rPr>
              <w:t xml:space="preserve">30.2 </w:t>
            </w:r>
            <w:r w:rsidR="003969AF">
              <w:rPr>
                <w:b/>
                <w:i/>
                <w:szCs w:val="22"/>
              </w:rPr>
              <w:t>(</w:t>
            </w:r>
            <w:r w:rsidR="003969AF" w:rsidRPr="003969AF">
              <w:rPr>
                <w:b/>
                <w:i/>
                <w:szCs w:val="22"/>
              </w:rPr>
              <w:t>Channel access</w:t>
            </w:r>
            <w:r w:rsidR="003969AF">
              <w:rPr>
                <w:b/>
                <w:i/>
                <w:szCs w:val="22"/>
              </w:rPr>
              <w:t>)</w:t>
            </w:r>
            <w:r>
              <w:rPr>
                <w:b/>
                <w:i/>
                <w:szCs w:val="22"/>
              </w:rPr>
              <w:t xml:space="preserve">: </w:t>
            </w:r>
          </w:p>
          <w:p w14:paraId="3A6DDD97" w14:textId="77777777" w:rsidR="003969AF" w:rsidRDefault="003969AF" w:rsidP="003969AF">
            <w:r w:rsidRPr="003969AF">
              <w:t xml:space="preserve">NOTE— </w:t>
            </w:r>
            <w:r>
              <w:t xml:space="preserve">The </w:t>
            </w:r>
            <w:r w:rsidRPr="003969AF">
              <w:t xml:space="preserve">WUR primary channel can be different </w:t>
            </w:r>
            <w:r>
              <w:t xml:space="preserve">than the </w:t>
            </w:r>
            <w:r w:rsidRPr="003969AF">
              <w:t>primary channel</w:t>
            </w:r>
            <w:r>
              <w:t xml:space="preserve">. </w:t>
            </w:r>
          </w:p>
          <w:p w14:paraId="16D049C3" w14:textId="77777777" w:rsidR="00ED3E92" w:rsidRDefault="00ED3E92" w:rsidP="004A384D">
            <w:pPr>
              <w:rPr>
                <w:rFonts w:ascii="Arial" w:hAnsi="Arial" w:cs="Arial"/>
                <w:sz w:val="20"/>
              </w:rPr>
            </w:pPr>
          </w:p>
        </w:tc>
      </w:tr>
      <w:tr w:rsidR="006675C0" w:rsidRPr="00133B69" w14:paraId="71F2D1D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DB9886" w14:textId="76E7BC78" w:rsidR="006675C0" w:rsidRPr="00133B69" w:rsidRDefault="006675C0" w:rsidP="006675C0">
            <w:pPr>
              <w:rPr>
                <w:rFonts w:ascii="Arial" w:hAnsi="Arial" w:cs="Arial"/>
                <w:sz w:val="20"/>
              </w:rPr>
            </w:pPr>
            <w:r w:rsidRPr="00133B69">
              <w:rPr>
                <w:rFonts w:ascii="Arial" w:hAnsi="Arial" w:cs="Arial"/>
                <w:sz w:val="20"/>
              </w:rPr>
              <w:t>2704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47742C4" w14:textId="069AA38A"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D1728F7" w14:textId="17462E56"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493D3B" w14:textId="060586F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ABEED14" w14:textId="77777777" w:rsidR="006675C0" w:rsidRPr="00133B69" w:rsidRDefault="006675C0" w:rsidP="006675C0">
            <w:pPr>
              <w:rPr>
                <w:rFonts w:ascii="Arial" w:hAnsi="Arial" w:cs="Arial"/>
                <w:sz w:val="20"/>
              </w:rPr>
            </w:pPr>
            <w:r w:rsidRPr="00133B69">
              <w:rPr>
                <w:rFonts w:ascii="Arial" w:hAnsi="Arial" w:cs="Arial"/>
                <w:sz w:val="20"/>
              </w:rPr>
              <w:t xml:space="preserve">In </w:t>
            </w:r>
            <w:proofErr w:type="spellStart"/>
            <w:r w:rsidRPr="00133B69">
              <w:rPr>
                <w:rFonts w:ascii="Arial" w:hAnsi="Arial" w:cs="Arial"/>
                <w:sz w:val="20"/>
              </w:rPr>
              <w:t>RevMD</w:t>
            </w:r>
            <w:proofErr w:type="spellEnd"/>
            <w:r w:rsidRPr="00133B69">
              <w:rPr>
                <w:rFonts w:ascii="Arial" w:hAnsi="Arial" w:cs="Arial"/>
                <w:sz w:val="20"/>
              </w:rPr>
              <w:t xml:space="preserve">, the primary 40 MHz channel is associated with a BSS. The WUR primary 40 MHz channel definition should follow the same style since it is also </w:t>
            </w:r>
            <w:proofErr w:type="spellStart"/>
            <w:r w:rsidRPr="00133B69">
              <w:rPr>
                <w:rFonts w:ascii="Arial" w:hAnsi="Arial" w:cs="Arial"/>
                <w:sz w:val="20"/>
              </w:rPr>
              <w:t>assciated</w:t>
            </w:r>
            <w:proofErr w:type="spellEnd"/>
            <w:r w:rsidRPr="00133B69">
              <w:rPr>
                <w:rFonts w:ascii="Arial" w:hAnsi="Arial" w:cs="Arial"/>
                <w:sz w:val="20"/>
              </w:rPr>
              <w:t xml:space="preserve"> with a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99A00A4"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revise the definition of WUR primary 40 MHz channel to be associated with a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E281B7" w14:textId="77777777" w:rsidR="00B351CF" w:rsidRDefault="00B351CF" w:rsidP="006675C0">
            <w:pPr>
              <w:rPr>
                <w:rFonts w:ascii="Arial" w:hAnsi="Arial" w:cs="Arial"/>
                <w:sz w:val="20"/>
              </w:rPr>
            </w:pPr>
            <w:r>
              <w:rPr>
                <w:rFonts w:ascii="Arial" w:hAnsi="Arial" w:cs="Arial"/>
                <w:sz w:val="20"/>
              </w:rPr>
              <w:t>Rejected-</w:t>
            </w:r>
          </w:p>
          <w:p w14:paraId="7F0EB2B9" w14:textId="0EA34C8C" w:rsidR="00B351CF" w:rsidRDefault="00B351CF" w:rsidP="006675C0">
            <w:pPr>
              <w:rPr>
                <w:rFonts w:ascii="Arial" w:hAnsi="Arial" w:cs="Arial"/>
                <w:sz w:val="20"/>
              </w:rPr>
            </w:pPr>
            <w:r>
              <w:rPr>
                <w:rFonts w:ascii="Arial" w:hAnsi="Arial" w:cs="Arial"/>
                <w:sz w:val="20"/>
              </w:rPr>
              <w:t xml:space="preserve">In </w:t>
            </w:r>
            <w:proofErr w:type="spellStart"/>
            <w:r>
              <w:rPr>
                <w:rFonts w:ascii="Arial" w:hAnsi="Arial" w:cs="Arial"/>
                <w:sz w:val="20"/>
              </w:rPr>
              <w:t>REVmd</w:t>
            </w:r>
            <w:proofErr w:type="spellEnd"/>
            <w:r>
              <w:rPr>
                <w:rFonts w:ascii="Arial" w:hAnsi="Arial" w:cs="Arial"/>
                <w:sz w:val="20"/>
              </w:rPr>
              <w:t xml:space="preserve">, the primary 40 MHz channel is defined only when the BSS operating width is 80 MHz, </w:t>
            </w:r>
            <w:r w:rsidRPr="00B351CF">
              <w:rPr>
                <w:rFonts w:ascii="Arial" w:hAnsi="Arial" w:cs="Arial"/>
                <w:sz w:val="20"/>
              </w:rPr>
              <w:t xml:space="preserve">160 MHz, or 80+80 </w:t>
            </w:r>
            <w:proofErr w:type="spellStart"/>
            <w:r w:rsidRPr="00B351CF">
              <w:rPr>
                <w:rFonts w:ascii="Arial" w:hAnsi="Arial" w:cs="Arial"/>
                <w:sz w:val="20"/>
              </w:rPr>
              <w:t>MHz</w:t>
            </w:r>
            <w:r>
              <w:rPr>
                <w:rFonts w:ascii="Arial" w:hAnsi="Arial" w:cs="Arial"/>
                <w:sz w:val="20"/>
              </w:rPr>
              <w:t>.</w:t>
            </w:r>
            <w:proofErr w:type="spellEnd"/>
            <w:r>
              <w:rPr>
                <w:rFonts w:ascii="Arial" w:hAnsi="Arial" w:cs="Arial"/>
                <w:sz w:val="20"/>
              </w:rPr>
              <w:t xml:space="preserve"> </w:t>
            </w:r>
          </w:p>
          <w:p w14:paraId="2467A6B7" w14:textId="3E1B11FE" w:rsidR="00B351CF" w:rsidRDefault="00B351CF" w:rsidP="00B351CF">
            <w:pPr>
              <w:rPr>
                <w:rFonts w:ascii="Arial" w:hAnsi="Arial" w:cs="Arial"/>
                <w:sz w:val="20"/>
              </w:rPr>
            </w:pPr>
            <w:r>
              <w:rPr>
                <w:rFonts w:ascii="Arial" w:hAnsi="Arial" w:cs="Arial"/>
                <w:sz w:val="20"/>
              </w:rPr>
              <w:t xml:space="preserve"> “</w:t>
            </w:r>
            <w:proofErr w:type="gramStart"/>
            <w:r w:rsidRPr="00B351CF">
              <w:rPr>
                <w:rFonts w:ascii="Arial" w:hAnsi="Arial" w:cs="Arial"/>
                <w:sz w:val="20"/>
              </w:rPr>
              <w:t>primary</w:t>
            </w:r>
            <w:proofErr w:type="gramEnd"/>
            <w:r w:rsidRPr="00B351CF">
              <w:rPr>
                <w:rFonts w:ascii="Arial" w:hAnsi="Arial" w:cs="Arial"/>
                <w:sz w:val="20"/>
              </w:rPr>
              <w:t xml:space="preserve"> 40 MHz channel: In an 80 MHz, 160 MHz, or 80+80 MHz very high throughput (VHT) basic service set (BSS), the 40 MHz channel that is used to transmit 40 MHz physical layer (PHY) protocol data units (PPDUs).</w:t>
            </w:r>
            <w:r>
              <w:rPr>
                <w:rFonts w:ascii="Arial" w:hAnsi="Arial" w:cs="Arial"/>
                <w:sz w:val="20"/>
              </w:rPr>
              <w:t>”</w:t>
            </w:r>
          </w:p>
          <w:p w14:paraId="16387970" w14:textId="77777777" w:rsidR="00B351CF" w:rsidRDefault="00B351CF" w:rsidP="00B351CF">
            <w:pPr>
              <w:rPr>
                <w:rFonts w:ascii="Arial" w:hAnsi="Arial" w:cs="Arial"/>
                <w:sz w:val="20"/>
              </w:rPr>
            </w:pPr>
          </w:p>
          <w:p w14:paraId="64176E64" w14:textId="4B36D789" w:rsidR="00B351CF" w:rsidRPr="00133B69" w:rsidRDefault="00B351CF" w:rsidP="00B351CF">
            <w:pPr>
              <w:rPr>
                <w:rFonts w:ascii="Arial" w:hAnsi="Arial" w:cs="Arial"/>
                <w:sz w:val="20"/>
              </w:rPr>
            </w:pPr>
            <w:r>
              <w:rPr>
                <w:rFonts w:ascii="Arial" w:hAnsi="Arial" w:cs="Arial"/>
                <w:sz w:val="20"/>
              </w:rPr>
              <w:t xml:space="preserve">But, the WUR primary 40 MHz channel does not have such restriction. So, there is no reason to mention the BSS in the definition of the WUR 40 MHz channel. </w:t>
            </w:r>
          </w:p>
        </w:tc>
      </w:tr>
      <w:tr w:rsidR="006675C0" w:rsidRPr="00133B69" w14:paraId="7868AE4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B69D578" w14:textId="422AD48E" w:rsidR="006675C0" w:rsidRPr="00133B69" w:rsidRDefault="006675C0" w:rsidP="006675C0">
            <w:pPr>
              <w:rPr>
                <w:rFonts w:ascii="Arial" w:hAnsi="Arial" w:cs="Arial"/>
                <w:sz w:val="20"/>
              </w:rPr>
            </w:pPr>
            <w:r w:rsidRPr="00133B69">
              <w:rPr>
                <w:rFonts w:ascii="Arial" w:hAnsi="Arial" w:cs="Arial"/>
                <w:sz w:val="20"/>
              </w:rPr>
              <w:t>2757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62F0979" w14:textId="75809E4D"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9519465" w14:textId="1581ABE7"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8B5F98" w14:textId="1C8B5BE8"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EDF0EC7" w14:textId="77777777" w:rsidR="006675C0" w:rsidRPr="00133B69" w:rsidRDefault="006675C0" w:rsidP="006675C0">
            <w:pPr>
              <w:rPr>
                <w:rFonts w:ascii="Arial" w:hAnsi="Arial" w:cs="Arial"/>
                <w:sz w:val="20"/>
              </w:rPr>
            </w:pPr>
            <w:r w:rsidRPr="00133B69">
              <w:rPr>
                <w:rFonts w:ascii="Arial" w:hAnsi="Arial" w:cs="Arial"/>
                <w:sz w:val="20"/>
              </w:rPr>
              <w:t>Can the wake-up radio (WUR) secondary channel, or secondary 40 MHz channel, or primary 40 MHz channel or 80 MHz channel be different from the corresponding channels of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E46C9D9" w14:textId="77777777" w:rsidR="006675C0" w:rsidRPr="00133B69" w:rsidRDefault="006675C0" w:rsidP="006675C0">
            <w:pPr>
              <w:rPr>
                <w:rFonts w:ascii="Arial" w:hAnsi="Arial" w:cs="Arial"/>
                <w:sz w:val="20"/>
              </w:rPr>
            </w:pPr>
            <w:r w:rsidRPr="00133B69">
              <w:rPr>
                <w:rFonts w:ascii="Arial" w:hAnsi="Arial" w:cs="Arial"/>
                <w:sz w:val="20"/>
              </w:rPr>
              <w:t>Please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76C87D" w14:textId="5A007448" w:rsidR="00B351CF" w:rsidRDefault="00B351CF" w:rsidP="006675C0">
            <w:pPr>
              <w:rPr>
                <w:rFonts w:ascii="Arial" w:hAnsi="Arial" w:cs="Arial"/>
                <w:sz w:val="20"/>
              </w:rPr>
            </w:pPr>
            <w:r>
              <w:rPr>
                <w:rFonts w:ascii="Arial" w:hAnsi="Arial" w:cs="Arial"/>
                <w:sz w:val="20"/>
              </w:rPr>
              <w:t>Rejected-</w:t>
            </w:r>
          </w:p>
          <w:p w14:paraId="5CBA76B4" w14:textId="002655FF" w:rsidR="00B351CF" w:rsidRPr="00D92397" w:rsidRDefault="00B351CF" w:rsidP="00B351CF">
            <w:pPr>
              <w:rPr>
                <w:rFonts w:ascii="Arial" w:hAnsi="Arial" w:cs="Arial"/>
                <w:sz w:val="20"/>
                <w:lang w:val="en-US"/>
              </w:rPr>
            </w:pPr>
            <w:r w:rsidRPr="00B351CF">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6675C0" w:rsidRPr="00133B69" w14:paraId="72BAD72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2F3DB26" w14:textId="45101FAB" w:rsidR="006675C0" w:rsidRPr="00133B69" w:rsidRDefault="006675C0" w:rsidP="006675C0">
            <w:pPr>
              <w:rPr>
                <w:rFonts w:ascii="Arial" w:hAnsi="Arial" w:cs="Arial"/>
                <w:sz w:val="20"/>
              </w:rPr>
            </w:pPr>
            <w:r w:rsidRPr="00133B69">
              <w:rPr>
                <w:rFonts w:ascii="Arial" w:hAnsi="Arial" w:cs="Arial"/>
                <w:sz w:val="20"/>
              </w:rPr>
              <w:t>2706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2B218A" w14:textId="6245E083"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221DD4C" w14:textId="03F1B464" w:rsidR="006675C0" w:rsidRPr="00133B69" w:rsidRDefault="006675C0" w:rsidP="006675C0">
            <w:pPr>
              <w:rPr>
                <w:rFonts w:ascii="Arial" w:hAnsi="Arial" w:cs="Arial"/>
                <w:sz w:val="20"/>
              </w:rPr>
            </w:pPr>
            <w:r>
              <w:rPr>
                <w:rFonts w:ascii="Arial" w:hAnsi="Arial" w:cs="Arial"/>
                <w:sz w:val="20"/>
              </w:rPr>
              <w:t>55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B271B7" w14:textId="39B6BA9D"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5C1575E"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40 MHz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5417B7B"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40 MHz channel to "The 40 MHz channel that is adjacent to the WUR primary 40 MHz channel that together with the WUR primary 40 MHz channel form </w:t>
            </w:r>
            <w:r w:rsidRPr="00133B69">
              <w:rPr>
                <w:rFonts w:ascii="Arial" w:hAnsi="Arial" w:cs="Arial"/>
                <w:sz w:val="20"/>
              </w:rPr>
              <w:lastRenderedPageBreak/>
              <w:t>the WUR 80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D950765" w14:textId="77777777" w:rsidR="00911F50" w:rsidRDefault="00911F50" w:rsidP="00911F50">
            <w:pPr>
              <w:rPr>
                <w:rFonts w:ascii="Arial" w:hAnsi="Arial" w:cs="Arial"/>
                <w:sz w:val="20"/>
              </w:rPr>
            </w:pPr>
            <w:r>
              <w:rPr>
                <w:rFonts w:ascii="Arial" w:hAnsi="Arial" w:cs="Arial"/>
                <w:sz w:val="20"/>
              </w:rPr>
              <w:lastRenderedPageBreak/>
              <w:t>Rejected-</w:t>
            </w:r>
          </w:p>
          <w:p w14:paraId="69497F70" w14:textId="77777777" w:rsidR="00911F50" w:rsidRDefault="00911F50" w:rsidP="00911F50">
            <w:pPr>
              <w:rPr>
                <w:rFonts w:ascii="Arial" w:hAnsi="Arial" w:cs="Arial"/>
                <w:sz w:val="20"/>
              </w:rPr>
            </w:pPr>
            <w:r>
              <w:rPr>
                <w:rFonts w:ascii="Arial" w:hAnsi="Arial" w:cs="Arial"/>
                <w:sz w:val="20"/>
              </w:rPr>
              <w:t xml:space="preserve">There is no </w:t>
            </w:r>
            <w:proofErr w:type="spellStart"/>
            <w:r>
              <w:rPr>
                <w:rFonts w:ascii="Arial" w:hAnsi="Arial" w:cs="Arial"/>
                <w:sz w:val="20"/>
              </w:rPr>
              <w:t>grammatic</w:t>
            </w:r>
            <w:proofErr w:type="spellEnd"/>
            <w:r>
              <w:rPr>
                <w:rFonts w:ascii="Arial" w:hAnsi="Arial" w:cs="Arial"/>
                <w:sz w:val="20"/>
              </w:rPr>
              <w:t xml:space="preserve"> </w:t>
            </w:r>
            <w:proofErr w:type="spellStart"/>
            <w:r>
              <w:rPr>
                <w:rFonts w:ascii="Arial" w:hAnsi="Arial" w:cs="Arial"/>
                <w:sz w:val="20"/>
              </w:rPr>
              <w:t>erros</w:t>
            </w:r>
            <w:proofErr w:type="spellEnd"/>
            <w:r>
              <w:rPr>
                <w:rFonts w:ascii="Arial" w:hAnsi="Arial" w:cs="Arial"/>
                <w:sz w:val="20"/>
              </w:rPr>
              <w:t xml:space="preserve">. </w:t>
            </w:r>
          </w:p>
          <w:p w14:paraId="43AACC0C" w14:textId="77777777" w:rsidR="00911F50" w:rsidRDefault="00911F50" w:rsidP="00911F50">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 </w:t>
            </w:r>
          </w:p>
          <w:p w14:paraId="5C2AD85A" w14:textId="77777777" w:rsidR="006675C0" w:rsidRPr="00133B69" w:rsidRDefault="006675C0" w:rsidP="006675C0">
            <w:pPr>
              <w:rPr>
                <w:rFonts w:ascii="Arial" w:hAnsi="Arial" w:cs="Arial"/>
                <w:sz w:val="20"/>
              </w:rPr>
            </w:pPr>
          </w:p>
        </w:tc>
      </w:tr>
      <w:tr w:rsidR="006675C0" w:rsidRPr="00133B69" w14:paraId="1EF056C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DCC093" w14:textId="77777777" w:rsidR="006675C0" w:rsidRPr="00133B69" w:rsidRDefault="006675C0" w:rsidP="006675C0">
            <w:pPr>
              <w:rPr>
                <w:rFonts w:ascii="Arial" w:hAnsi="Arial" w:cs="Arial"/>
                <w:sz w:val="20"/>
              </w:rPr>
            </w:pPr>
            <w:r w:rsidRPr="00133B69">
              <w:rPr>
                <w:rFonts w:ascii="Arial" w:hAnsi="Arial" w:cs="Arial"/>
                <w:sz w:val="20"/>
              </w:rPr>
              <w:t>2449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3D46CF2" w14:textId="2DC2FB33"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B47E3D" w14:textId="550E3696"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643377" w14:textId="5833724B"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734DF" w14:textId="77777777" w:rsidR="006675C0" w:rsidRPr="00133B69" w:rsidRDefault="006675C0" w:rsidP="006675C0">
            <w:pPr>
              <w:rPr>
                <w:rFonts w:ascii="Arial" w:hAnsi="Arial" w:cs="Arial"/>
                <w:sz w:val="20"/>
              </w:rPr>
            </w:pPr>
            <w:r w:rsidRPr="00133B69">
              <w:rPr>
                <w:rFonts w:ascii="Arial" w:hAnsi="Arial" w:cs="Arial"/>
                <w:sz w:val="20"/>
              </w:rPr>
              <w:t>"WUR FDMA Channel Offset" should be "WUR Channel Offset" since this field is used for both WUR PPDU transmission and WUR FDMA PPDU transmission.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542447" w14:textId="77777777" w:rsidR="006675C0" w:rsidRPr="00133B69" w:rsidRDefault="006675C0" w:rsidP="006675C0">
            <w:pPr>
              <w:rPr>
                <w:rFonts w:ascii="Arial" w:hAnsi="Arial" w:cs="Arial"/>
                <w:sz w:val="20"/>
              </w:rPr>
            </w:pPr>
            <w:r w:rsidRPr="00133B69">
              <w:rPr>
                <w:rFonts w:ascii="Arial" w:hAnsi="Arial" w:cs="Arial"/>
                <w:sz w:val="20"/>
              </w:rPr>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BEAD2B" w14:textId="77777777" w:rsidR="006E4975" w:rsidRDefault="006E4975" w:rsidP="006E4975">
            <w:pPr>
              <w:rPr>
                <w:rFonts w:ascii="Arial" w:hAnsi="Arial" w:cs="Arial"/>
                <w:sz w:val="20"/>
              </w:rPr>
            </w:pPr>
            <w:r>
              <w:rPr>
                <w:rFonts w:ascii="Arial" w:hAnsi="Arial" w:cs="Arial"/>
                <w:sz w:val="20"/>
              </w:rPr>
              <w:t xml:space="preserve">Revised- </w:t>
            </w:r>
          </w:p>
          <w:p w14:paraId="4C061267" w14:textId="77777777" w:rsidR="006E4975" w:rsidRDefault="006E4975" w:rsidP="006E4975">
            <w:pPr>
              <w:rPr>
                <w:rFonts w:ascii="Arial" w:hAnsi="Arial" w:cs="Arial"/>
                <w:sz w:val="20"/>
              </w:rPr>
            </w:pPr>
            <w:r>
              <w:rPr>
                <w:rFonts w:ascii="Arial" w:hAnsi="Arial" w:cs="Arial"/>
                <w:sz w:val="20"/>
              </w:rPr>
              <w:t xml:space="preserve">Agree in principle. </w:t>
            </w:r>
          </w:p>
          <w:p w14:paraId="1FFCD3B5" w14:textId="77777777" w:rsidR="006E4975" w:rsidRDefault="006E4975" w:rsidP="006E4975">
            <w:pPr>
              <w:rPr>
                <w:rFonts w:ascii="Arial" w:hAnsi="Arial" w:cs="Arial"/>
                <w:sz w:val="20"/>
              </w:rPr>
            </w:pPr>
          </w:p>
          <w:p w14:paraId="7200ACC1" w14:textId="41529BDF" w:rsidR="006E4975"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70A73EF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53E1B70" w14:textId="4FDC6D9A" w:rsidR="006675C0" w:rsidRPr="00133B69" w:rsidRDefault="006675C0" w:rsidP="006675C0">
            <w:pPr>
              <w:rPr>
                <w:rFonts w:ascii="Arial" w:hAnsi="Arial" w:cs="Arial"/>
                <w:sz w:val="20"/>
              </w:rPr>
            </w:pPr>
            <w:r w:rsidRPr="00133B69">
              <w:rPr>
                <w:rFonts w:ascii="Arial" w:hAnsi="Arial" w:cs="Arial"/>
                <w:sz w:val="20"/>
              </w:rPr>
              <w:t>2519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AF56ED" w14:textId="2C2BA5CD"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DD16D4E" w14:textId="62579869" w:rsidR="006675C0" w:rsidRPr="00133B69" w:rsidRDefault="006675C0" w:rsidP="006675C0">
            <w:pPr>
              <w:rPr>
                <w:rFonts w:ascii="Arial" w:hAnsi="Arial" w:cs="Arial"/>
                <w:sz w:val="20"/>
              </w:rPr>
            </w:pPr>
            <w:r>
              <w:rPr>
                <w:rFonts w:ascii="Arial" w:hAnsi="Arial" w:cs="Arial"/>
                <w:sz w:val="20"/>
              </w:rPr>
              <w:t>33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6A79F" w14:textId="4F5BBF94"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B7983AF" w14:textId="77777777" w:rsidR="006675C0" w:rsidRPr="00133B69" w:rsidRDefault="006675C0" w:rsidP="006675C0">
            <w:pPr>
              <w:rPr>
                <w:rFonts w:ascii="Arial" w:hAnsi="Arial" w:cs="Arial"/>
                <w:sz w:val="20"/>
              </w:rPr>
            </w:pPr>
            <w:r w:rsidRPr="00133B69">
              <w:rPr>
                <w:rFonts w:ascii="Arial" w:hAnsi="Arial" w:cs="Arial"/>
                <w:sz w:val="20"/>
              </w:rPr>
              <w:t>The figure says WUR Channel Offset, but the table says WUR FDMA Channel Offset.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FBDB367" w14:textId="77777777" w:rsidR="006675C0" w:rsidRPr="00133B69" w:rsidRDefault="006675C0" w:rsidP="006675C0">
            <w:pPr>
              <w:rPr>
                <w:rFonts w:ascii="Arial" w:hAnsi="Arial" w:cs="Arial"/>
                <w:sz w:val="20"/>
              </w:rPr>
            </w:pPr>
            <w:r w:rsidRPr="00133B69">
              <w:rPr>
                <w:rFonts w:ascii="Arial" w:hAnsi="Arial" w:cs="Arial"/>
                <w:sz w:val="20"/>
              </w:rPr>
              <w:t>Use the same term (WUR FDMA Channel Offset or WUR Channel Offset) for the figure and the table. Probably just use WUR Channel Offset since the field is used for STA without using FDMA.</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811ABD" w14:textId="77777777" w:rsidR="006E4975" w:rsidRDefault="006E4975" w:rsidP="006E4975">
            <w:pPr>
              <w:rPr>
                <w:rFonts w:ascii="Arial" w:hAnsi="Arial" w:cs="Arial"/>
                <w:sz w:val="20"/>
              </w:rPr>
            </w:pPr>
            <w:r>
              <w:rPr>
                <w:rFonts w:ascii="Arial" w:hAnsi="Arial" w:cs="Arial"/>
                <w:sz w:val="20"/>
              </w:rPr>
              <w:t xml:space="preserve">Revised- </w:t>
            </w:r>
          </w:p>
          <w:p w14:paraId="1BEB98A8" w14:textId="77777777" w:rsidR="006E4975" w:rsidRDefault="006E4975" w:rsidP="006E4975">
            <w:pPr>
              <w:rPr>
                <w:rFonts w:ascii="Arial" w:hAnsi="Arial" w:cs="Arial"/>
                <w:sz w:val="20"/>
              </w:rPr>
            </w:pPr>
            <w:r>
              <w:rPr>
                <w:rFonts w:ascii="Arial" w:hAnsi="Arial" w:cs="Arial"/>
                <w:sz w:val="20"/>
              </w:rPr>
              <w:t xml:space="preserve">Agree in principle. </w:t>
            </w:r>
          </w:p>
          <w:p w14:paraId="384C3043" w14:textId="77777777" w:rsidR="006E4975" w:rsidRDefault="006E4975" w:rsidP="006E4975">
            <w:pPr>
              <w:rPr>
                <w:rFonts w:ascii="Arial" w:hAnsi="Arial" w:cs="Arial"/>
                <w:sz w:val="20"/>
              </w:rPr>
            </w:pPr>
          </w:p>
          <w:p w14:paraId="0B9866AA" w14:textId="34E1F52E"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0445BD6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27F800" w14:textId="77777777" w:rsidR="006675C0" w:rsidRPr="00133B69" w:rsidRDefault="006675C0" w:rsidP="006675C0">
            <w:pPr>
              <w:rPr>
                <w:rFonts w:ascii="Arial" w:hAnsi="Arial" w:cs="Arial"/>
                <w:sz w:val="20"/>
              </w:rPr>
            </w:pPr>
            <w:r w:rsidRPr="00133B69">
              <w:rPr>
                <w:rFonts w:ascii="Arial" w:hAnsi="Arial" w:cs="Arial"/>
                <w:sz w:val="20"/>
              </w:rPr>
              <w:t>2634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620985" w14:textId="21846DE2"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8193A3" w14:textId="73FE53AD" w:rsidR="006675C0" w:rsidRPr="00133B69" w:rsidRDefault="006675C0" w:rsidP="006675C0">
            <w:pPr>
              <w:rPr>
                <w:rFonts w:ascii="Arial" w:hAnsi="Arial" w:cs="Arial"/>
                <w:sz w:val="20"/>
              </w:rPr>
            </w:pPr>
            <w:r>
              <w:rPr>
                <w:rFonts w:ascii="Arial" w:hAnsi="Arial" w:cs="Arial"/>
                <w:sz w:val="20"/>
              </w:rPr>
              <w:t>34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13EDE8" w14:textId="365B0953"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9ADF22" w14:textId="77777777" w:rsidR="006675C0" w:rsidRPr="00133B69" w:rsidRDefault="006675C0" w:rsidP="006675C0">
            <w:pPr>
              <w:rPr>
                <w:rFonts w:ascii="Arial" w:hAnsi="Arial" w:cs="Arial"/>
                <w:sz w:val="20"/>
              </w:rPr>
            </w:pPr>
            <w:r w:rsidRPr="00133B69">
              <w:rPr>
                <w:rFonts w:ascii="Arial" w:hAnsi="Arial" w:cs="Arial"/>
                <w:sz w:val="20"/>
              </w:rPr>
              <w:t>The same subfield in Figure 9-772i and Table 9-321d are named differently</w:t>
            </w:r>
            <w:proofErr w:type="gramStart"/>
            <w:r w:rsidRPr="00133B69">
              <w:rPr>
                <w:rFonts w:ascii="Arial" w:hAnsi="Arial" w:cs="Arial"/>
                <w:sz w:val="20"/>
              </w:rPr>
              <w:t>:</w:t>
            </w:r>
            <w:proofErr w:type="gramEnd"/>
            <w:r w:rsidRPr="00133B69">
              <w:rPr>
                <w:rFonts w:ascii="Arial" w:hAnsi="Arial" w:cs="Arial"/>
                <w:sz w:val="20"/>
              </w:rPr>
              <w:br/>
              <w:t xml:space="preserve">The second subfield in Figure 9-772i is </w:t>
            </w:r>
            <w:proofErr w:type="spellStart"/>
            <w:r w:rsidRPr="00133B69">
              <w:rPr>
                <w:rFonts w:ascii="Arial" w:hAnsi="Arial" w:cs="Arial"/>
                <w:sz w:val="20"/>
              </w:rPr>
              <w:t>labeled</w:t>
            </w:r>
            <w:proofErr w:type="spellEnd"/>
            <w:r w:rsidRPr="00133B69">
              <w:rPr>
                <w:rFonts w:ascii="Arial" w:hAnsi="Arial" w:cs="Arial"/>
                <w:sz w:val="20"/>
              </w:rPr>
              <w:t xml:space="preserve"> "WUR Channel Offset" subfield whereas Table 9-321d lists the "WUR FDMA Channel Offset" subfield.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6EECF3" w14:textId="77777777" w:rsidR="006675C0" w:rsidRPr="00133B69" w:rsidRDefault="006675C0" w:rsidP="006675C0">
            <w:pPr>
              <w:rPr>
                <w:rFonts w:ascii="Arial" w:hAnsi="Arial" w:cs="Arial"/>
                <w:sz w:val="20"/>
              </w:rPr>
            </w:pPr>
            <w:r w:rsidRPr="00133B69">
              <w:rPr>
                <w:rFonts w:ascii="Arial" w:hAnsi="Arial" w:cs="Arial"/>
                <w:sz w:val="20"/>
              </w:rPr>
              <w:t>Change subfield "WUR Channel Offset" in Figure 9-722i to "WUR FDMA Channel Offset"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B0BAD7" w14:textId="77777777" w:rsidR="006E4975" w:rsidRDefault="006E4975" w:rsidP="006E4975">
            <w:pPr>
              <w:rPr>
                <w:rFonts w:ascii="Arial" w:hAnsi="Arial" w:cs="Arial"/>
                <w:sz w:val="20"/>
              </w:rPr>
            </w:pPr>
            <w:r>
              <w:rPr>
                <w:rFonts w:ascii="Arial" w:hAnsi="Arial" w:cs="Arial"/>
                <w:sz w:val="20"/>
              </w:rPr>
              <w:t xml:space="preserve">Revised- </w:t>
            </w:r>
          </w:p>
          <w:p w14:paraId="01FCB34F" w14:textId="77777777" w:rsidR="006E4975" w:rsidRDefault="006E4975" w:rsidP="006E4975">
            <w:pPr>
              <w:rPr>
                <w:rFonts w:ascii="Arial" w:hAnsi="Arial" w:cs="Arial"/>
                <w:sz w:val="20"/>
              </w:rPr>
            </w:pPr>
            <w:r>
              <w:rPr>
                <w:rFonts w:ascii="Arial" w:hAnsi="Arial" w:cs="Arial"/>
                <w:sz w:val="20"/>
              </w:rPr>
              <w:t xml:space="preserve">Agree in principle. </w:t>
            </w:r>
          </w:p>
          <w:p w14:paraId="56779213" w14:textId="77777777" w:rsidR="006E4975" w:rsidRDefault="006E4975" w:rsidP="006E4975">
            <w:pPr>
              <w:rPr>
                <w:rFonts w:ascii="Arial" w:hAnsi="Arial" w:cs="Arial"/>
                <w:sz w:val="20"/>
              </w:rPr>
            </w:pPr>
          </w:p>
          <w:p w14:paraId="2C84F8B3" w14:textId="442BBB78"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5AD1578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7ED742" w14:textId="77777777" w:rsidR="006675C0" w:rsidRPr="00133B69" w:rsidRDefault="006675C0" w:rsidP="006675C0">
            <w:pPr>
              <w:rPr>
                <w:rFonts w:ascii="Arial" w:hAnsi="Arial" w:cs="Arial"/>
                <w:sz w:val="20"/>
              </w:rPr>
            </w:pPr>
            <w:r w:rsidRPr="00133B69">
              <w:rPr>
                <w:rFonts w:ascii="Arial" w:hAnsi="Arial" w:cs="Arial"/>
                <w:sz w:val="20"/>
              </w:rPr>
              <w:t>2804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14A81C" w14:textId="70784AB8"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1AEFD86" w14:textId="4678808E"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822FA9" w14:textId="4F09AFED"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36B500A" w14:textId="77777777" w:rsidR="006675C0" w:rsidRPr="00133B69" w:rsidRDefault="006675C0" w:rsidP="006675C0">
            <w:pPr>
              <w:rPr>
                <w:rFonts w:ascii="Arial" w:hAnsi="Arial" w:cs="Arial"/>
                <w:sz w:val="20"/>
              </w:rPr>
            </w:pPr>
            <w:r w:rsidRPr="00133B69">
              <w:rPr>
                <w:rFonts w:ascii="Arial" w:hAnsi="Arial" w:cs="Arial"/>
                <w:sz w:val="20"/>
              </w:rPr>
              <w:t>The name of the subfield "WUR FDMA Channel Offset" in Table 9-321d is inconsistent with the terms used in the encoding column, in the title of Table 9-321e, and in Figure 9-772i (at the location of B12-B14).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6EA942E" w14:textId="77777777" w:rsidR="006675C0" w:rsidRPr="00133B69" w:rsidRDefault="006675C0" w:rsidP="006675C0">
            <w:pPr>
              <w:rPr>
                <w:rFonts w:ascii="Arial" w:hAnsi="Arial" w:cs="Arial"/>
                <w:sz w:val="20"/>
              </w:rPr>
            </w:pPr>
            <w:r w:rsidRPr="00133B69">
              <w:rPr>
                <w:rFonts w:ascii="Arial" w:hAnsi="Arial" w:cs="Arial"/>
                <w:sz w:val="20"/>
              </w:rPr>
              <w:t>Delete "FDMA" from the name of the cited subfield in Table 9-321d.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438EFE" w14:textId="3B66FDE8" w:rsidR="006675C0" w:rsidRPr="00133B69" w:rsidRDefault="006E4975" w:rsidP="006675C0">
            <w:pPr>
              <w:rPr>
                <w:rFonts w:ascii="Arial" w:hAnsi="Arial" w:cs="Arial"/>
                <w:sz w:val="20"/>
              </w:rPr>
            </w:pPr>
            <w:r>
              <w:rPr>
                <w:rFonts w:ascii="Arial" w:hAnsi="Arial" w:cs="Arial"/>
                <w:sz w:val="20"/>
              </w:rPr>
              <w:t>Accepted</w:t>
            </w:r>
          </w:p>
        </w:tc>
      </w:tr>
      <w:tr w:rsidR="006675C0" w:rsidRPr="00133B69" w14:paraId="429126F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C16B04E" w14:textId="77777777" w:rsidR="006675C0" w:rsidRPr="00133B69" w:rsidRDefault="006675C0" w:rsidP="006675C0">
            <w:pPr>
              <w:rPr>
                <w:rFonts w:ascii="Arial" w:hAnsi="Arial" w:cs="Arial"/>
                <w:sz w:val="20"/>
              </w:rPr>
            </w:pPr>
            <w:r w:rsidRPr="00133B69">
              <w:rPr>
                <w:rFonts w:ascii="Arial" w:hAnsi="Arial" w:cs="Arial"/>
                <w:sz w:val="20"/>
              </w:rPr>
              <w:t>2451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765BE7" w14:textId="51D769F5"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15666F1" w14:textId="1513A220" w:rsidR="006675C0" w:rsidRPr="00133B69" w:rsidRDefault="006675C0" w:rsidP="006675C0">
            <w:pPr>
              <w:rPr>
                <w:rFonts w:ascii="Arial" w:hAnsi="Arial" w:cs="Arial"/>
                <w:sz w:val="20"/>
              </w:rPr>
            </w:pPr>
            <w:r>
              <w:rPr>
                <w:rFonts w:ascii="Arial" w:hAnsi="Arial" w:cs="Arial"/>
                <w:sz w:val="20"/>
              </w:rPr>
              <w:t>39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B09644" w14:textId="7140E321"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1819787" w14:textId="77777777" w:rsidR="006675C0" w:rsidRPr="00133B69" w:rsidRDefault="006675C0" w:rsidP="006675C0">
            <w:pPr>
              <w:rPr>
                <w:rFonts w:ascii="Arial" w:hAnsi="Arial" w:cs="Arial"/>
                <w:sz w:val="20"/>
              </w:rPr>
            </w:pPr>
            <w:r w:rsidRPr="00133B69">
              <w:rPr>
                <w:rFonts w:ascii="Arial" w:hAnsi="Arial" w:cs="Arial"/>
                <w:sz w:val="20"/>
              </w:rPr>
              <w:t>It is not clear where the WUR primary channel information is indicated. It would be better to clearly state that the WUR primary channel is the WUR channel indicated in the WUR Operation element.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39EF44D" w14:textId="77777777" w:rsidR="006675C0" w:rsidRPr="00133B69" w:rsidRDefault="006675C0" w:rsidP="006675C0">
            <w:pPr>
              <w:rPr>
                <w:rFonts w:ascii="Arial" w:hAnsi="Arial" w:cs="Arial"/>
                <w:sz w:val="20"/>
              </w:rPr>
            </w:pPr>
            <w:r w:rsidRPr="00133B69">
              <w:rPr>
                <w:rFonts w:ascii="Arial" w:hAnsi="Arial" w:cs="Arial"/>
                <w:sz w:val="20"/>
              </w:rPr>
              <w:t>Change "The WUR Wake-up frames are to be transmitted in the WUR</w:t>
            </w:r>
            <w:r w:rsidRPr="00133B69">
              <w:rPr>
                <w:rFonts w:ascii="Arial" w:hAnsi="Arial" w:cs="Arial"/>
                <w:sz w:val="20"/>
              </w:rPr>
              <w:br/>
              <w:t>primary channel." to "The WUR Wake-up frames are to be transmitted in the WUR</w:t>
            </w:r>
            <w:r w:rsidRPr="00133B69">
              <w:rPr>
                <w:rFonts w:ascii="Arial" w:hAnsi="Arial" w:cs="Arial"/>
                <w:sz w:val="20"/>
              </w:rPr>
              <w:br/>
              <w:t xml:space="preserve">primary channel, </w:t>
            </w:r>
            <w:r w:rsidRPr="00133B69">
              <w:rPr>
                <w:rFonts w:ascii="Arial" w:hAnsi="Arial" w:cs="Arial"/>
                <w:sz w:val="20"/>
              </w:rPr>
              <w:lastRenderedPageBreak/>
              <w:t>which is indicated in the WUR Operation Class and the WUR Channel subfields in the WUR Operation element."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0F1B25" w14:textId="5576044C" w:rsidR="006675C0" w:rsidRPr="00133B69" w:rsidRDefault="006E4975" w:rsidP="006675C0">
            <w:pPr>
              <w:rPr>
                <w:rFonts w:ascii="Arial" w:hAnsi="Arial" w:cs="Arial"/>
                <w:sz w:val="20"/>
              </w:rPr>
            </w:pPr>
            <w:r>
              <w:rPr>
                <w:rFonts w:ascii="Arial" w:hAnsi="Arial" w:cs="Arial"/>
                <w:sz w:val="20"/>
              </w:rPr>
              <w:lastRenderedPageBreak/>
              <w:t>Accepted</w:t>
            </w:r>
          </w:p>
        </w:tc>
      </w:tr>
      <w:tr w:rsidR="006675C0" w:rsidRPr="00133B69" w14:paraId="1A15730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8FD6D9" w14:textId="77777777" w:rsidR="006675C0" w:rsidRPr="00133B69" w:rsidRDefault="006675C0" w:rsidP="006675C0">
            <w:pPr>
              <w:rPr>
                <w:rFonts w:ascii="Arial" w:hAnsi="Arial" w:cs="Arial"/>
                <w:sz w:val="20"/>
              </w:rPr>
            </w:pPr>
            <w:r w:rsidRPr="00133B69">
              <w:rPr>
                <w:rFonts w:ascii="Arial" w:hAnsi="Arial" w:cs="Arial"/>
                <w:sz w:val="20"/>
              </w:rPr>
              <w:t>2050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A3220DF" w14:textId="78AAF758"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2A7C880" w14:textId="6ADA1958" w:rsidR="006675C0" w:rsidRPr="00133B69" w:rsidRDefault="006675C0" w:rsidP="006675C0">
            <w:pPr>
              <w:rPr>
                <w:rFonts w:ascii="Arial" w:hAnsi="Arial" w:cs="Arial"/>
                <w:sz w:val="20"/>
              </w:rPr>
            </w:pPr>
            <w:r>
              <w:rPr>
                <w:rFonts w:ascii="Arial" w:hAnsi="Arial" w:cs="Arial"/>
                <w:sz w:val="20"/>
              </w:rPr>
              <w:t>10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23BCEA" w14:textId="4AB8126D"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61335CC" w14:textId="77777777" w:rsidR="006675C0" w:rsidRPr="00133B69" w:rsidRDefault="006675C0" w:rsidP="006675C0">
            <w:pPr>
              <w:rPr>
                <w:rFonts w:ascii="Arial" w:hAnsi="Arial" w:cs="Arial"/>
                <w:sz w:val="20"/>
              </w:rPr>
            </w:pPr>
            <w:r w:rsidRPr="00133B69">
              <w:rPr>
                <w:rFonts w:ascii="Arial" w:hAnsi="Arial" w:cs="Arial"/>
                <w:sz w:val="20"/>
              </w:rPr>
              <w:t>This paragraph can be merged with the next one. Please use "otherwise" paradigm. Also the third paragraph does not read well. The WUR Mode element that the WUR AP transmits to the WUR STA I am assuming.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03B651"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AFB567" w14:textId="77777777" w:rsidR="006675C0" w:rsidRDefault="00EA3F45" w:rsidP="006675C0">
            <w:pPr>
              <w:rPr>
                <w:rFonts w:ascii="Arial" w:hAnsi="Arial" w:cs="Arial"/>
                <w:sz w:val="20"/>
              </w:rPr>
            </w:pPr>
            <w:r>
              <w:rPr>
                <w:rFonts w:ascii="Arial" w:hAnsi="Arial" w:cs="Arial"/>
                <w:sz w:val="20"/>
              </w:rPr>
              <w:t xml:space="preserve">Revised- </w:t>
            </w:r>
          </w:p>
          <w:p w14:paraId="547BA446" w14:textId="77777777" w:rsidR="00252523" w:rsidRDefault="00252523" w:rsidP="006675C0">
            <w:pPr>
              <w:rPr>
                <w:rFonts w:ascii="Arial" w:hAnsi="Arial" w:cs="Arial"/>
                <w:sz w:val="20"/>
              </w:rPr>
            </w:pPr>
            <w:r>
              <w:rPr>
                <w:rFonts w:ascii="Arial" w:hAnsi="Arial" w:cs="Arial"/>
                <w:sz w:val="20"/>
              </w:rPr>
              <w:t xml:space="preserve">Agree in principle. </w:t>
            </w:r>
          </w:p>
          <w:p w14:paraId="16D31EF6" w14:textId="67404FBA" w:rsidR="00252523" w:rsidRDefault="00252523" w:rsidP="006675C0">
            <w:pPr>
              <w:rPr>
                <w:rFonts w:ascii="Arial" w:hAnsi="Arial" w:cs="Arial"/>
                <w:sz w:val="20"/>
              </w:rPr>
            </w:pPr>
            <w:r>
              <w:rPr>
                <w:rFonts w:ascii="Arial" w:hAnsi="Arial" w:cs="Arial"/>
                <w:sz w:val="20"/>
              </w:rPr>
              <w:t>But, the third paragraph is moved to the end of the sub-clause 30.2.</w:t>
            </w:r>
          </w:p>
          <w:p w14:paraId="2659E859" w14:textId="3C5777BE" w:rsidR="00252523" w:rsidRDefault="00252523" w:rsidP="006675C0">
            <w:pPr>
              <w:rPr>
                <w:rFonts w:ascii="Arial" w:hAnsi="Arial" w:cs="Arial"/>
                <w:sz w:val="20"/>
              </w:rPr>
            </w:pPr>
            <w:r>
              <w:rPr>
                <w:rFonts w:ascii="Arial" w:hAnsi="Arial" w:cs="Arial"/>
                <w:sz w:val="20"/>
              </w:rPr>
              <w:t xml:space="preserve"> </w:t>
            </w:r>
          </w:p>
          <w:p w14:paraId="1B7607C9" w14:textId="7AFB8409" w:rsidR="00252523" w:rsidRPr="00133B69" w:rsidRDefault="00252523" w:rsidP="00252523">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11-19/05</w:t>
            </w:r>
            <w:r>
              <w:rPr>
                <w:rFonts w:ascii="Arial" w:hAnsi="Arial" w:cs="Arial"/>
                <w:sz w:val="20"/>
              </w:rPr>
              <w:t>76</w:t>
            </w:r>
            <w:r w:rsidRPr="00DD1372">
              <w:rPr>
                <w:rFonts w:ascii="Arial" w:hAnsi="Arial" w:cs="Arial"/>
                <w:sz w:val="20"/>
              </w:rPr>
              <w:t>r0 for CID 2</w:t>
            </w:r>
            <w:r>
              <w:rPr>
                <w:rFonts w:ascii="Arial" w:hAnsi="Arial" w:cs="Arial"/>
                <w:sz w:val="20"/>
              </w:rPr>
              <w:t>050</w:t>
            </w:r>
            <w:r w:rsidRPr="00DD1372">
              <w:rPr>
                <w:rFonts w:ascii="Arial" w:hAnsi="Arial" w:cs="Arial"/>
                <w:sz w:val="20"/>
              </w:rPr>
              <w:t>.</w:t>
            </w:r>
          </w:p>
        </w:tc>
      </w:tr>
      <w:tr w:rsidR="00B478E6" w:rsidRPr="00133B69" w14:paraId="4A4C3C29" w14:textId="77777777" w:rsidTr="005A075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3859A5C" w14:textId="26644387" w:rsidR="00B478E6" w:rsidRDefault="00B478E6" w:rsidP="006675C0">
            <w:pPr>
              <w:rPr>
                <w:rFonts w:ascii="Arial" w:hAnsi="Arial" w:cs="Arial"/>
                <w:sz w:val="20"/>
              </w:rPr>
            </w:pPr>
          </w:p>
          <w:p w14:paraId="33E3D0F6" w14:textId="62649914" w:rsidR="00556D49" w:rsidRPr="000C120D" w:rsidRDefault="00556D49" w:rsidP="00556D49">
            <w:pPr>
              <w:jc w:val="both"/>
              <w:rPr>
                <w:b/>
                <w:sz w:val="28"/>
                <w:szCs w:val="22"/>
                <w:u w:val="single"/>
              </w:rPr>
            </w:pPr>
            <w:r>
              <w:rPr>
                <w:b/>
                <w:sz w:val="28"/>
                <w:szCs w:val="22"/>
                <w:u w:val="single"/>
              </w:rPr>
              <w:t>Proposed Text Updates: CID 2050</w:t>
            </w:r>
          </w:p>
          <w:p w14:paraId="45D431ED" w14:textId="77777777" w:rsidR="00556D49" w:rsidRDefault="00556D49" w:rsidP="00556D49">
            <w:pPr>
              <w:rPr>
                <w:lang w:val="en-US"/>
              </w:rPr>
            </w:pPr>
          </w:p>
          <w:p w14:paraId="06C09D6E" w14:textId="77777777" w:rsidR="00FA3008" w:rsidRDefault="00556D49" w:rsidP="00556D49">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r w:rsidR="00FA3008">
              <w:rPr>
                <w:b/>
                <w:i/>
                <w:szCs w:val="22"/>
              </w:rPr>
              <w:t xml:space="preserve">Change </w:t>
            </w:r>
            <w:r>
              <w:rPr>
                <w:b/>
                <w:i/>
                <w:szCs w:val="22"/>
              </w:rPr>
              <w:t xml:space="preserve">the sub-clause </w:t>
            </w:r>
            <w:r w:rsidR="00FA3008">
              <w:rPr>
                <w:b/>
                <w:i/>
                <w:szCs w:val="22"/>
              </w:rPr>
              <w:t xml:space="preserve">30.10 as the followings: </w:t>
            </w:r>
          </w:p>
          <w:p w14:paraId="2CFD0FE2" w14:textId="0F28A91A" w:rsidR="00556D49" w:rsidRPr="0097323B" w:rsidRDefault="00556D49" w:rsidP="009F42E2">
            <w:pPr>
              <w:autoSpaceDE w:val="0"/>
              <w:autoSpaceDN w:val="0"/>
              <w:adjustRightInd w:val="0"/>
              <w:spacing w:before="240"/>
              <w:jc w:val="both"/>
              <w:rPr>
                <w:strike/>
                <w:color w:val="FF0000"/>
                <w:szCs w:val="22"/>
                <w:lang w:val="en-US" w:eastAsia="ko-KR"/>
              </w:rPr>
            </w:pPr>
            <w:r w:rsidRPr="0097323B">
              <w:rPr>
                <w:strike/>
                <w:color w:val="FF0000"/>
                <w:szCs w:val="22"/>
                <w:lang w:val="en-US" w:eastAsia="ko-KR"/>
              </w:rPr>
              <w:t xml:space="preserve">A WUR non-AP STA whose dot11WURFDMAChannelSwitchImplemented is false shall set the WUR FDMA Channel Switching Support subfield of the WUR Capabilities Information field of the WUR Capabilities element to 0. </w:t>
            </w:r>
          </w:p>
          <w:p w14:paraId="4CF5CBEA" w14:textId="77777777" w:rsidR="0097323B" w:rsidRDefault="00556D49" w:rsidP="0097323B">
            <w:pPr>
              <w:jc w:val="both"/>
              <w:rPr>
                <w:color w:val="000000"/>
                <w:szCs w:val="22"/>
                <w:lang w:val="en-US" w:eastAsia="ko-KR"/>
              </w:rPr>
            </w:pPr>
            <w:r w:rsidRPr="0097323B">
              <w:rPr>
                <w:strike/>
                <w:color w:val="FF0000"/>
                <w:szCs w:val="22"/>
                <w:lang w:val="en-US" w:eastAsia="ko-KR"/>
              </w:rPr>
              <w:t>A WUR non-AP STA whose dot11WURFDMAChannelSwitchImplemented is true shall set the WUR FDMA Channel Switching Support subfield of the WUR Capabilities Information field of the WUR Capa</w:t>
            </w:r>
            <w:r w:rsidRPr="0097323B">
              <w:rPr>
                <w:strike/>
                <w:color w:val="FF0000"/>
                <w:szCs w:val="22"/>
                <w:lang w:val="en-US" w:eastAsia="ko-KR"/>
              </w:rPr>
              <w:softHyphen/>
              <w:t>bilities element that it transmits to 1.</w:t>
            </w:r>
          </w:p>
          <w:p w14:paraId="22AEF7B9" w14:textId="29C4AA90" w:rsidR="00252523" w:rsidRDefault="0097323B" w:rsidP="0097323B">
            <w:pPr>
              <w:jc w:val="both"/>
              <w:rPr>
                <w:color w:val="FF0000"/>
                <w:szCs w:val="22"/>
                <w:u w:val="single"/>
                <w:lang w:val="en-US" w:eastAsia="ko-KR"/>
              </w:rPr>
            </w:pPr>
            <w:r w:rsidRPr="00252523">
              <w:rPr>
                <w:color w:val="FF0000"/>
                <w:szCs w:val="22"/>
                <w:u w:val="single"/>
                <w:lang w:val="en-US" w:eastAsia="ko-KR"/>
              </w:rPr>
              <w:t xml:space="preserve">When dot11WURFDMAChannelSwitchImplemented is true, a WUR non-AP STA shall set the WUR FDMA Channel Switching Support subfield of the WUR Capabilities Information field of the WUR Capabilities element that it transmits </w:t>
            </w:r>
            <w:r w:rsidR="00252523">
              <w:rPr>
                <w:color w:val="FF0000"/>
                <w:szCs w:val="22"/>
                <w:u w:val="single"/>
                <w:lang w:val="en-US" w:eastAsia="ko-KR"/>
              </w:rPr>
              <w:t xml:space="preserve">to a WUR AP </w:t>
            </w:r>
            <w:r w:rsidRPr="00252523">
              <w:rPr>
                <w:color w:val="FF0000"/>
                <w:szCs w:val="22"/>
                <w:u w:val="single"/>
                <w:lang w:val="en-US" w:eastAsia="ko-KR"/>
              </w:rPr>
              <w:t xml:space="preserve">to 1. Otherwise, it shall set the WUR FDMA Channel Switching Support subfield to 0. </w:t>
            </w:r>
          </w:p>
          <w:p w14:paraId="76B820A0" w14:textId="77777777" w:rsidR="00252523" w:rsidRPr="00445A4E" w:rsidRDefault="00252523" w:rsidP="00252523">
            <w:pPr>
              <w:rPr>
                <w:rFonts w:ascii="Arial" w:hAnsi="Arial" w:cs="Arial"/>
                <w:sz w:val="20"/>
              </w:rPr>
            </w:pPr>
            <w:r w:rsidRPr="00445A4E">
              <w:rPr>
                <w:szCs w:val="22"/>
                <w:lang w:val="en-US"/>
              </w:rPr>
              <w:t xml:space="preserve">When a WUR AP receives from a WUR non-AP STA a WUR Capabilities element of which the WUR FDMA Channel Switching Support subfield of the WUR Capabilities Information field is equal to 0, the WUR AP shall set the WUR Channel Offset subfield of the WUR Parameters field of the WUR Mode element </w:t>
            </w:r>
            <w:r w:rsidRPr="00445A4E">
              <w:rPr>
                <w:color w:val="FF0000"/>
                <w:szCs w:val="22"/>
                <w:u w:val="single"/>
                <w:lang w:val="en-US" w:eastAsia="ko-KR"/>
              </w:rPr>
              <w:t>that it transmits to the WUR non-AP STA</w:t>
            </w:r>
            <w:r w:rsidRPr="00445A4E">
              <w:rPr>
                <w:szCs w:val="22"/>
                <w:lang w:val="en-US" w:eastAsia="ko-KR"/>
              </w:rPr>
              <w:t xml:space="preserve"> </w:t>
            </w:r>
            <w:r w:rsidRPr="00445A4E">
              <w:rPr>
                <w:szCs w:val="22"/>
                <w:lang w:val="en-US"/>
              </w:rPr>
              <w:t>to 0.</w:t>
            </w:r>
          </w:p>
          <w:p w14:paraId="08BCB3D9" w14:textId="77777777" w:rsidR="00B478E6" w:rsidRDefault="00B478E6" w:rsidP="00445A4E">
            <w:pPr>
              <w:rPr>
                <w:rFonts w:ascii="Arial" w:hAnsi="Arial" w:cs="Arial"/>
                <w:sz w:val="20"/>
              </w:rPr>
            </w:pPr>
          </w:p>
        </w:tc>
      </w:tr>
      <w:tr w:rsidR="006675C0" w:rsidRPr="00133B69" w14:paraId="55EA36F5"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3E99DB1" w14:textId="77777777" w:rsidR="006675C0" w:rsidRPr="00133B69" w:rsidRDefault="006675C0" w:rsidP="006675C0">
            <w:pPr>
              <w:rPr>
                <w:rFonts w:ascii="Arial" w:hAnsi="Arial" w:cs="Arial"/>
                <w:sz w:val="20"/>
              </w:rPr>
            </w:pPr>
            <w:r w:rsidRPr="00133B69">
              <w:rPr>
                <w:rFonts w:ascii="Arial" w:hAnsi="Arial" w:cs="Arial"/>
                <w:sz w:val="20"/>
              </w:rPr>
              <w:t>2472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4536F35" w14:textId="17227F2A"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F45F9D5" w14:textId="4EEABD18" w:rsidR="006675C0" w:rsidRPr="00133B69" w:rsidRDefault="006675C0" w:rsidP="006675C0">
            <w:pPr>
              <w:rPr>
                <w:rFonts w:ascii="Arial" w:hAnsi="Arial" w:cs="Arial"/>
                <w:sz w:val="20"/>
              </w:rPr>
            </w:pPr>
            <w:r>
              <w:rPr>
                <w:rFonts w:ascii="Arial" w:hAnsi="Arial" w:cs="Arial"/>
                <w:sz w:val="20"/>
              </w:rPr>
              <w:t>20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E3146" w14:textId="49C3955D" w:rsidR="006675C0" w:rsidRPr="00133B69" w:rsidRDefault="006675C0" w:rsidP="006675C0">
            <w:pPr>
              <w:rPr>
                <w:rFonts w:ascii="Arial" w:hAnsi="Arial" w:cs="Arial"/>
                <w:sz w:val="20"/>
              </w:rPr>
            </w:pPr>
            <w:r w:rsidRPr="00133B69">
              <w:rPr>
                <w:rFonts w:ascii="Arial" w:hAnsi="Arial" w:cs="Arial"/>
                <w:sz w:val="20"/>
              </w:rPr>
              <w:t>30.10</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52F5C" w14:textId="77777777" w:rsidR="006675C0" w:rsidRPr="00133B69" w:rsidRDefault="006675C0" w:rsidP="006675C0">
            <w:pPr>
              <w:rPr>
                <w:rFonts w:ascii="Arial" w:hAnsi="Arial" w:cs="Arial"/>
                <w:sz w:val="20"/>
              </w:rPr>
            </w:pPr>
            <w:r w:rsidRPr="00133B69">
              <w:rPr>
                <w:rFonts w:ascii="Arial" w:hAnsi="Arial" w:cs="Arial"/>
                <w:sz w:val="20"/>
              </w:rPr>
              <w:t xml:space="preserve">The paragraph in P80L20 describes the </w:t>
            </w:r>
            <w:proofErr w:type="spellStart"/>
            <w:r w:rsidRPr="00133B69">
              <w:rPr>
                <w:rFonts w:ascii="Arial" w:hAnsi="Arial" w:cs="Arial"/>
                <w:sz w:val="20"/>
              </w:rPr>
              <w:t>behavior</w:t>
            </w:r>
            <w:proofErr w:type="spellEnd"/>
            <w:r w:rsidRPr="00133B69">
              <w:rPr>
                <w:rFonts w:ascii="Arial" w:hAnsi="Arial" w:cs="Arial"/>
                <w:sz w:val="20"/>
              </w:rPr>
              <w:t xml:space="preserve"> of the WUR AP when the FDMA Channel Switching Support subfield of the WUR Capabilities Information field of the WUR Capabilities element from a WUR non-AP STA is set to 0. This is actually when the WUR non-AP STA doesn't </w:t>
            </w:r>
            <w:proofErr w:type="spellStart"/>
            <w:r w:rsidRPr="00133B69">
              <w:rPr>
                <w:rFonts w:ascii="Arial" w:hAnsi="Arial" w:cs="Arial"/>
                <w:sz w:val="20"/>
              </w:rPr>
              <w:t>suppor</w:t>
            </w:r>
            <w:proofErr w:type="spellEnd"/>
            <w:r w:rsidRPr="00133B69">
              <w:rPr>
                <w:rFonts w:ascii="Arial" w:hAnsi="Arial" w:cs="Arial"/>
                <w:sz w:val="20"/>
              </w:rPr>
              <w:t xml:space="preserve"> the WUR FDMA operation. </w:t>
            </w:r>
            <w:r w:rsidRPr="00133B69">
              <w:rPr>
                <w:rFonts w:ascii="Arial" w:hAnsi="Arial" w:cs="Arial"/>
                <w:sz w:val="20"/>
              </w:rPr>
              <w:lastRenderedPageBreak/>
              <w:t xml:space="preserve">Therefore, this paragraph should be moved to the WUR AP Operation clause (30.8.2). Also, in the </w:t>
            </w:r>
            <w:proofErr w:type="spellStart"/>
            <w:r w:rsidRPr="00133B69">
              <w:rPr>
                <w:rFonts w:ascii="Arial" w:hAnsi="Arial" w:cs="Arial"/>
                <w:sz w:val="20"/>
              </w:rPr>
              <w:t>TGba</w:t>
            </w:r>
            <w:proofErr w:type="spellEnd"/>
            <w:r w:rsidRPr="00133B69">
              <w:rPr>
                <w:rFonts w:ascii="Arial" w:hAnsi="Arial" w:cs="Arial"/>
                <w:sz w:val="20"/>
              </w:rPr>
              <w:t xml:space="preserve"> D2.0, the relationship between the WUR primary channel and the WUR channel is not clearly stated. I suggest to add a sentence saying that "When the WUR Channel Offset </w:t>
            </w:r>
            <w:proofErr w:type="spellStart"/>
            <w:r w:rsidRPr="00133B69">
              <w:rPr>
                <w:rFonts w:ascii="Arial" w:hAnsi="Arial" w:cs="Arial"/>
                <w:sz w:val="20"/>
              </w:rPr>
              <w:t>subleid</w:t>
            </w:r>
            <w:proofErr w:type="spellEnd"/>
            <w:r w:rsidRPr="00133B69">
              <w:rPr>
                <w:rFonts w:ascii="Arial" w:hAnsi="Arial" w:cs="Arial"/>
                <w:sz w:val="20"/>
              </w:rPr>
              <w:t xml:space="preserve"> is set to 0, the WUR Channel is same as the WUR primary channel, </w:t>
            </w:r>
            <w:proofErr w:type="gramStart"/>
            <w:r w:rsidRPr="00133B69">
              <w:rPr>
                <w:rFonts w:ascii="Arial" w:hAnsi="Arial" w:cs="Arial"/>
                <w:sz w:val="20"/>
              </w:rPr>
              <w:t>i.e</w:t>
            </w:r>
            <w:proofErr w:type="gramEnd"/>
            <w:r w:rsidRPr="00133B69">
              <w:rPr>
                <w:rFonts w:ascii="Arial" w:hAnsi="Arial" w:cs="Arial"/>
                <w:sz w:val="20"/>
              </w:rPr>
              <w:t>. the WUR Wake-up frame and the WUR Beacon frame are transmitted on the same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9C6A99A" w14:textId="77777777" w:rsidR="006675C0" w:rsidRPr="00133B69" w:rsidRDefault="006675C0" w:rsidP="006675C0">
            <w:pPr>
              <w:rPr>
                <w:rFonts w:ascii="Arial" w:hAnsi="Arial" w:cs="Arial"/>
                <w:sz w:val="20"/>
              </w:rPr>
            </w:pPr>
            <w:r w:rsidRPr="00133B69">
              <w:rPr>
                <w:rFonts w:ascii="Arial" w:hAnsi="Arial" w:cs="Arial"/>
                <w:sz w:val="20"/>
              </w:rPr>
              <w:lastRenderedPageBreak/>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B22AAF" w14:textId="105560AA" w:rsidR="00252523" w:rsidRDefault="00252523" w:rsidP="00252523">
            <w:pPr>
              <w:rPr>
                <w:rFonts w:ascii="Arial" w:hAnsi="Arial" w:cs="Arial"/>
                <w:sz w:val="20"/>
              </w:rPr>
            </w:pPr>
            <w:r>
              <w:rPr>
                <w:rFonts w:ascii="Arial" w:hAnsi="Arial" w:cs="Arial"/>
                <w:sz w:val="20"/>
              </w:rPr>
              <w:t xml:space="preserve">Revised- </w:t>
            </w:r>
          </w:p>
          <w:p w14:paraId="79FC28A4" w14:textId="6B031622" w:rsidR="00252523" w:rsidRDefault="00252523" w:rsidP="00252523">
            <w:pPr>
              <w:rPr>
                <w:rFonts w:ascii="Arial" w:hAnsi="Arial" w:cs="Arial"/>
                <w:sz w:val="20"/>
              </w:rPr>
            </w:pPr>
            <w:r w:rsidRPr="00252523">
              <w:rPr>
                <w:rFonts w:ascii="Arial" w:hAnsi="Arial" w:cs="Arial"/>
                <w:sz w:val="20"/>
              </w:rPr>
              <w:t>The proposed clarification text from the commenter is added as the NOTE at the end of the sub-clause 30.2.</w:t>
            </w:r>
          </w:p>
          <w:p w14:paraId="56931B78" w14:textId="77777777" w:rsidR="00252523" w:rsidRDefault="00252523" w:rsidP="00252523">
            <w:pPr>
              <w:rPr>
                <w:rFonts w:ascii="Arial" w:hAnsi="Arial" w:cs="Arial"/>
                <w:sz w:val="20"/>
              </w:rPr>
            </w:pPr>
          </w:p>
          <w:p w14:paraId="677C3781" w14:textId="57429DB9" w:rsidR="00252523" w:rsidRDefault="00252523" w:rsidP="00445A4E">
            <w:pPr>
              <w:rPr>
                <w:rFonts w:ascii="Arial" w:hAnsi="Arial" w:cs="Arial"/>
                <w:sz w:val="20"/>
              </w:rPr>
            </w:pPr>
            <w:r w:rsidRPr="00252523">
              <w:rPr>
                <w:rFonts w:ascii="Arial" w:hAnsi="Arial" w:cs="Arial"/>
                <w:sz w:val="20"/>
              </w:rPr>
              <w:t xml:space="preserve">But, in the WUR FDMA operation side, P80 L20 is also needed in </w:t>
            </w:r>
            <w:r>
              <w:rPr>
                <w:rFonts w:ascii="Arial" w:hAnsi="Arial" w:cs="Arial"/>
                <w:sz w:val="20"/>
              </w:rPr>
              <w:t>the sub-</w:t>
            </w:r>
            <w:r w:rsidRPr="00252523">
              <w:rPr>
                <w:rFonts w:ascii="Arial" w:hAnsi="Arial" w:cs="Arial"/>
                <w:sz w:val="20"/>
              </w:rPr>
              <w:t xml:space="preserve">clause 30.10. </w:t>
            </w:r>
            <w:r>
              <w:rPr>
                <w:rFonts w:ascii="Arial" w:hAnsi="Arial" w:cs="Arial"/>
                <w:sz w:val="20"/>
              </w:rPr>
              <w:t xml:space="preserve">Adding the NOTE in the sub-clause 30.2 may be enough. </w:t>
            </w:r>
          </w:p>
          <w:p w14:paraId="31A9B91F" w14:textId="77777777" w:rsidR="00252523" w:rsidRDefault="00252523" w:rsidP="00445A4E">
            <w:pPr>
              <w:rPr>
                <w:rFonts w:ascii="Arial" w:hAnsi="Arial" w:cs="Arial"/>
                <w:sz w:val="20"/>
              </w:rPr>
            </w:pPr>
          </w:p>
          <w:p w14:paraId="45652FDE" w14:textId="32E914D5" w:rsidR="006675C0" w:rsidRPr="00133B69" w:rsidRDefault="00252523" w:rsidP="00445A4E">
            <w:pPr>
              <w:rPr>
                <w:rFonts w:ascii="Arial" w:hAnsi="Arial" w:cs="Arial"/>
                <w:sz w:val="20"/>
              </w:rPr>
            </w:pPr>
            <w:proofErr w:type="spellStart"/>
            <w:r>
              <w:rPr>
                <w:rFonts w:ascii="Arial" w:hAnsi="Arial" w:cs="Arial"/>
                <w:sz w:val="20"/>
              </w:rPr>
              <w:lastRenderedPageBreak/>
              <w:t>TGba</w:t>
            </w:r>
            <w:proofErr w:type="spellEnd"/>
            <w:r w:rsidRPr="00DD1372">
              <w:rPr>
                <w:rFonts w:ascii="Arial" w:hAnsi="Arial" w:cs="Arial"/>
                <w:sz w:val="20"/>
              </w:rPr>
              <w:t xml:space="preserve"> editor makes changes as specified in 11-19/05</w:t>
            </w:r>
            <w:r>
              <w:rPr>
                <w:rFonts w:ascii="Arial" w:hAnsi="Arial" w:cs="Arial"/>
                <w:sz w:val="20"/>
              </w:rPr>
              <w:t>76</w:t>
            </w:r>
            <w:r w:rsidRPr="00DD1372">
              <w:rPr>
                <w:rFonts w:ascii="Arial" w:hAnsi="Arial" w:cs="Arial"/>
                <w:sz w:val="20"/>
              </w:rPr>
              <w:t>r0 for CID 2</w:t>
            </w:r>
            <w:r>
              <w:rPr>
                <w:rFonts w:ascii="Arial" w:hAnsi="Arial" w:cs="Arial"/>
                <w:sz w:val="20"/>
              </w:rPr>
              <w:t>472</w:t>
            </w:r>
            <w:r w:rsidRPr="00DD1372">
              <w:rPr>
                <w:rFonts w:ascii="Arial" w:hAnsi="Arial" w:cs="Arial"/>
                <w:sz w:val="20"/>
              </w:rPr>
              <w:t>.</w:t>
            </w:r>
          </w:p>
        </w:tc>
      </w:tr>
      <w:tr w:rsidR="00B478E6" w:rsidRPr="00133B69" w14:paraId="7F5399E7" w14:textId="77777777" w:rsidTr="00905B30">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168FDE69" w14:textId="236A340B" w:rsidR="00B478E6" w:rsidRDefault="00B478E6" w:rsidP="006675C0">
            <w:pPr>
              <w:rPr>
                <w:rFonts w:ascii="Arial" w:hAnsi="Arial" w:cs="Arial"/>
                <w:sz w:val="20"/>
              </w:rPr>
            </w:pPr>
          </w:p>
          <w:p w14:paraId="0B19B190" w14:textId="506B43FD" w:rsidR="00252523" w:rsidRPr="000C120D" w:rsidRDefault="00252523" w:rsidP="00252523">
            <w:pPr>
              <w:jc w:val="both"/>
              <w:rPr>
                <w:b/>
                <w:sz w:val="28"/>
                <w:szCs w:val="22"/>
                <w:u w:val="single"/>
              </w:rPr>
            </w:pPr>
            <w:r>
              <w:rPr>
                <w:b/>
                <w:sz w:val="28"/>
                <w:szCs w:val="22"/>
                <w:u w:val="single"/>
              </w:rPr>
              <w:t>Proposed Text Updates: CID 2472</w:t>
            </w:r>
          </w:p>
          <w:p w14:paraId="73BD892C" w14:textId="77777777" w:rsidR="00252523" w:rsidRDefault="00252523" w:rsidP="00252523">
            <w:pPr>
              <w:rPr>
                <w:lang w:val="en-US"/>
              </w:rPr>
            </w:pPr>
          </w:p>
          <w:p w14:paraId="49444F1A" w14:textId="543376A0" w:rsidR="00252523" w:rsidRDefault="00252523" w:rsidP="0025252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NOTE at the end of the sub-clause 30.2: </w:t>
            </w:r>
          </w:p>
          <w:p w14:paraId="4D60016B" w14:textId="77777777" w:rsidR="00252523" w:rsidRDefault="00252523" w:rsidP="006675C0">
            <w:pPr>
              <w:rPr>
                <w:rFonts w:ascii="Arial" w:hAnsi="Arial" w:cs="Arial"/>
                <w:sz w:val="20"/>
              </w:rPr>
            </w:pPr>
          </w:p>
          <w:p w14:paraId="28541CBD" w14:textId="32D10DDD" w:rsidR="00B478E6" w:rsidRPr="00B4497C" w:rsidRDefault="00252523" w:rsidP="00B4497C">
            <w:pPr>
              <w:jc w:val="both"/>
              <w:rPr>
                <w:szCs w:val="22"/>
              </w:rPr>
            </w:pPr>
            <w:r w:rsidRPr="00B4497C">
              <w:rPr>
                <w:szCs w:val="22"/>
              </w:rPr>
              <w:t xml:space="preserve">NOTE- When the WUR Channel Offset </w:t>
            </w:r>
            <w:proofErr w:type="spellStart"/>
            <w:r w:rsidRPr="00B4497C">
              <w:rPr>
                <w:szCs w:val="22"/>
              </w:rPr>
              <w:t>subleid</w:t>
            </w:r>
            <w:proofErr w:type="spellEnd"/>
            <w:r w:rsidRPr="00B4497C">
              <w:rPr>
                <w:szCs w:val="22"/>
              </w:rPr>
              <w:t xml:space="preserve"> is set to 0, the WUR Channel is same as the WUR primary channel, </w:t>
            </w:r>
            <w:proofErr w:type="gramStart"/>
            <w:r w:rsidRPr="00B4497C">
              <w:rPr>
                <w:szCs w:val="22"/>
              </w:rPr>
              <w:t>i.e</w:t>
            </w:r>
            <w:proofErr w:type="gramEnd"/>
            <w:r w:rsidRPr="00B4497C">
              <w:rPr>
                <w:szCs w:val="22"/>
              </w:rPr>
              <w:t xml:space="preserve">., the WUR Wake-up frame and the WUR Beacon frame are transmitted on the same channel. Otherwise, the WUR Channel may be </w:t>
            </w:r>
            <w:proofErr w:type="spellStart"/>
            <w:r w:rsidRPr="00B4497C">
              <w:rPr>
                <w:szCs w:val="22"/>
              </w:rPr>
              <w:t>differerent</w:t>
            </w:r>
            <w:proofErr w:type="spellEnd"/>
            <w:r w:rsidRPr="00B4497C">
              <w:rPr>
                <w:szCs w:val="22"/>
              </w:rPr>
              <w:t xml:space="preserve"> with the WUR primary channel (see 30.10 (WUR FDMA operation))</w:t>
            </w:r>
          </w:p>
          <w:p w14:paraId="0BEC3255" w14:textId="77777777" w:rsidR="00B478E6" w:rsidRDefault="00B478E6" w:rsidP="006675C0">
            <w:pPr>
              <w:rPr>
                <w:rFonts w:ascii="Arial" w:hAnsi="Arial" w:cs="Arial"/>
                <w:sz w:val="20"/>
              </w:rPr>
            </w:pPr>
          </w:p>
        </w:tc>
      </w:tr>
      <w:tr w:rsidR="006675C0" w:rsidRPr="00133B69" w14:paraId="759C9D3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4B30A5" w14:textId="77777777" w:rsidR="006675C0" w:rsidRPr="00133B69" w:rsidRDefault="006675C0" w:rsidP="006675C0">
            <w:pPr>
              <w:rPr>
                <w:rFonts w:ascii="Arial" w:hAnsi="Arial" w:cs="Arial"/>
                <w:sz w:val="20"/>
              </w:rPr>
            </w:pPr>
            <w:r w:rsidRPr="00133B69">
              <w:rPr>
                <w:rFonts w:ascii="Arial" w:hAnsi="Arial" w:cs="Arial"/>
                <w:sz w:val="20"/>
              </w:rPr>
              <w:t>2049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95E30A" w14:textId="21752A34"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127DC60" w14:textId="7453524A" w:rsidR="006675C0" w:rsidRPr="00133B69" w:rsidRDefault="006675C0" w:rsidP="006675C0">
            <w:pPr>
              <w:rPr>
                <w:rFonts w:ascii="Arial" w:hAnsi="Arial" w:cs="Arial"/>
                <w:sz w:val="20"/>
              </w:rPr>
            </w:pPr>
            <w:r>
              <w:rPr>
                <w:rFonts w:ascii="Arial" w:hAnsi="Arial" w:cs="Arial"/>
                <w:sz w:val="20"/>
              </w:rPr>
              <w:t>31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33B9D9" w14:textId="6A8E538B"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86D6AB1" w14:textId="77777777" w:rsidR="006675C0" w:rsidRPr="00133B69" w:rsidRDefault="006675C0" w:rsidP="006675C0">
            <w:pPr>
              <w:rPr>
                <w:rFonts w:ascii="Arial" w:hAnsi="Arial" w:cs="Arial"/>
                <w:sz w:val="20"/>
              </w:rPr>
            </w:pPr>
            <w:r w:rsidRPr="00133B69">
              <w:rPr>
                <w:rFonts w:ascii="Arial" w:hAnsi="Arial" w:cs="Arial"/>
                <w:sz w:val="20"/>
              </w:rPr>
              <w:t>The frame certainly cannot be a frame that would cause a WUR STA in the primary to wake up.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8A2B166"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1C1964" w14:textId="77777777" w:rsidR="00445A4E" w:rsidRDefault="00445A4E" w:rsidP="00445A4E">
            <w:pPr>
              <w:rPr>
                <w:rFonts w:ascii="Arial" w:hAnsi="Arial" w:cs="Arial"/>
                <w:sz w:val="20"/>
              </w:rPr>
            </w:pPr>
            <w:r>
              <w:rPr>
                <w:rFonts w:ascii="Arial" w:hAnsi="Arial" w:cs="Arial"/>
                <w:sz w:val="20"/>
              </w:rPr>
              <w:t xml:space="preserve">Revised- </w:t>
            </w:r>
          </w:p>
          <w:p w14:paraId="0806D97D" w14:textId="77777777" w:rsidR="00445A4E" w:rsidRDefault="00445A4E" w:rsidP="00445A4E">
            <w:pPr>
              <w:rPr>
                <w:rFonts w:ascii="Arial" w:hAnsi="Arial" w:cs="Arial"/>
                <w:sz w:val="20"/>
              </w:rPr>
            </w:pPr>
            <w:r>
              <w:rPr>
                <w:rFonts w:ascii="Arial" w:hAnsi="Arial" w:cs="Arial"/>
                <w:sz w:val="20"/>
              </w:rPr>
              <w:t xml:space="preserve">Agree in principle. </w:t>
            </w:r>
          </w:p>
          <w:p w14:paraId="63C68E96" w14:textId="7A9AC912" w:rsidR="00445A4E" w:rsidRDefault="00445A4E" w:rsidP="00445A4E">
            <w:pPr>
              <w:rPr>
                <w:rFonts w:ascii="Arial" w:hAnsi="Arial" w:cs="Arial"/>
                <w:sz w:val="20"/>
              </w:rPr>
            </w:pPr>
          </w:p>
          <w:p w14:paraId="447C74E0" w14:textId="47F56BEC" w:rsidR="006675C0" w:rsidRPr="00133B69" w:rsidRDefault="00445A4E" w:rsidP="00B4497C">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11-19/05</w:t>
            </w:r>
            <w:r>
              <w:rPr>
                <w:rFonts w:ascii="Arial" w:hAnsi="Arial" w:cs="Arial"/>
                <w:sz w:val="20"/>
              </w:rPr>
              <w:t>76</w:t>
            </w:r>
            <w:r w:rsidRPr="00DD1372">
              <w:rPr>
                <w:rFonts w:ascii="Arial" w:hAnsi="Arial" w:cs="Arial"/>
                <w:sz w:val="20"/>
              </w:rPr>
              <w:t>r0 for CID 2</w:t>
            </w:r>
            <w:r>
              <w:rPr>
                <w:rFonts w:ascii="Arial" w:hAnsi="Arial" w:cs="Arial"/>
                <w:sz w:val="20"/>
              </w:rPr>
              <w:t>0</w:t>
            </w:r>
            <w:r w:rsidR="00B4497C">
              <w:rPr>
                <w:rFonts w:ascii="Arial" w:hAnsi="Arial" w:cs="Arial"/>
                <w:sz w:val="20"/>
              </w:rPr>
              <w:t>49</w:t>
            </w:r>
            <w:r w:rsidRPr="00DD1372">
              <w:rPr>
                <w:rFonts w:ascii="Arial" w:hAnsi="Arial" w:cs="Arial"/>
                <w:sz w:val="20"/>
              </w:rPr>
              <w:t>.</w:t>
            </w:r>
          </w:p>
        </w:tc>
      </w:tr>
      <w:tr w:rsidR="00B478E6" w:rsidRPr="00133B69" w14:paraId="6DEEE847" w14:textId="77777777" w:rsidTr="009C548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0238740" w14:textId="77777777" w:rsidR="00B478E6" w:rsidRDefault="00B478E6" w:rsidP="006675C0">
            <w:pPr>
              <w:rPr>
                <w:rFonts w:ascii="Arial" w:hAnsi="Arial" w:cs="Arial"/>
                <w:sz w:val="20"/>
              </w:rPr>
            </w:pPr>
          </w:p>
          <w:p w14:paraId="6695FEAA" w14:textId="7EDBF498" w:rsidR="00445A4E" w:rsidRPr="000C120D" w:rsidRDefault="00445A4E" w:rsidP="00445A4E">
            <w:pPr>
              <w:jc w:val="both"/>
              <w:rPr>
                <w:b/>
                <w:sz w:val="28"/>
                <w:szCs w:val="22"/>
                <w:u w:val="single"/>
              </w:rPr>
            </w:pPr>
            <w:r>
              <w:rPr>
                <w:b/>
                <w:sz w:val="28"/>
                <w:szCs w:val="22"/>
                <w:u w:val="single"/>
              </w:rPr>
              <w:t>Proposed Text Updates: CID 2049</w:t>
            </w:r>
          </w:p>
          <w:p w14:paraId="2357BD91" w14:textId="77777777" w:rsidR="00445A4E" w:rsidRDefault="00445A4E" w:rsidP="00445A4E">
            <w:pPr>
              <w:rPr>
                <w:lang w:val="en-US"/>
              </w:rPr>
            </w:pPr>
          </w:p>
          <w:p w14:paraId="7810162D" w14:textId="14E1CC7F" w:rsidR="00445A4E" w:rsidRDefault="00445A4E" w:rsidP="00445A4E">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A5BB9DA" w14:textId="77777777" w:rsidR="00445A4E" w:rsidRDefault="00445A4E" w:rsidP="006675C0">
            <w:pPr>
              <w:rPr>
                <w:rFonts w:ascii="Arial" w:hAnsi="Arial" w:cs="Arial"/>
                <w:sz w:val="20"/>
              </w:rPr>
            </w:pPr>
          </w:p>
          <w:p w14:paraId="177425CF" w14:textId="0A25396F" w:rsidR="00445A4E" w:rsidRPr="00B4497C" w:rsidRDefault="00445A4E" w:rsidP="00B4497C">
            <w:pPr>
              <w:jc w:val="both"/>
              <w:rPr>
                <w:szCs w:val="22"/>
              </w:rPr>
            </w:pPr>
            <w:r w:rsidRPr="00B4497C">
              <w:rPr>
                <w:szCs w:val="22"/>
              </w:rPr>
              <w:t xml:space="preserve">In any of the above actions, if the WUR AP does not have a pending WUR frame intended for WUR non-AP STAs on the WUR primary channel, then the WUR AP shall transmit a WUR frame, which can be any WUR frame </w:t>
            </w:r>
            <w:r w:rsidRPr="00B4497C">
              <w:rPr>
                <w:color w:val="FF0000"/>
                <w:szCs w:val="22"/>
                <w:u w:val="single"/>
              </w:rPr>
              <w:t>that does not cause a WUR STA in the primary channel to wake up</w:t>
            </w:r>
            <w:r w:rsidRPr="00B4497C">
              <w:rPr>
                <w:szCs w:val="22"/>
              </w:rPr>
              <w:t>, on the WUR primary channel.</w:t>
            </w:r>
          </w:p>
          <w:p w14:paraId="44FE617E" w14:textId="77777777" w:rsidR="00B478E6" w:rsidRDefault="00B478E6" w:rsidP="006675C0">
            <w:pPr>
              <w:rPr>
                <w:rFonts w:ascii="Arial" w:hAnsi="Arial" w:cs="Arial"/>
                <w:sz w:val="20"/>
              </w:rPr>
            </w:pPr>
          </w:p>
        </w:tc>
      </w:tr>
      <w:tr w:rsidR="006675C0" w:rsidRPr="00133B69" w14:paraId="4599E37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4488A79" w14:textId="77777777" w:rsidR="006675C0" w:rsidRPr="00133B69" w:rsidRDefault="006675C0" w:rsidP="006675C0">
            <w:pPr>
              <w:rPr>
                <w:rFonts w:ascii="Arial" w:hAnsi="Arial" w:cs="Arial"/>
                <w:sz w:val="20"/>
              </w:rPr>
            </w:pPr>
            <w:r w:rsidRPr="00133B69">
              <w:rPr>
                <w:rFonts w:ascii="Arial" w:hAnsi="Arial" w:cs="Arial"/>
                <w:sz w:val="20"/>
              </w:rPr>
              <w:t>2051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DF4F3B0" w14:textId="26E0CC5B"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DA06D1E" w14:textId="00A213AA" w:rsidR="006675C0" w:rsidRPr="00133B69" w:rsidRDefault="006675C0" w:rsidP="006675C0">
            <w:pPr>
              <w:rPr>
                <w:rFonts w:ascii="Arial" w:hAnsi="Arial" w:cs="Arial"/>
                <w:sz w:val="20"/>
              </w:rPr>
            </w:pPr>
            <w:r>
              <w:rPr>
                <w:rFonts w:ascii="Arial" w:hAnsi="Arial" w:cs="Arial"/>
                <w:sz w:val="20"/>
              </w:rPr>
              <w:t>41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357576" w14:textId="213E49C2"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2E8177F" w14:textId="77777777" w:rsidR="006675C0" w:rsidRPr="00133B69" w:rsidRDefault="006675C0" w:rsidP="006675C0">
            <w:pPr>
              <w:rPr>
                <w:rFonts w:ascii="Arial" w:hAnsi="Arial" w:cs="Arial"/>
                <w:sz w:val="20"/>
              </w:rPr>
            </w:pPr>
            <w:r w:rsidRPr="00133B69">
              <w:rPr>
                <w:rFonts w:ascii="Arial" w:hAnsi="Arial" w:cs="Arial"/>
                <w:sz w:val="20"/>
              </w:rPr>
              <w:t xml:space="preserve">For at least </w:t>
            </w:r>
            <w:proofErr w:type="spellStart"/>
            <w:r w:rsidRPr="00133B69">
              <w:rPr>
                <w:rFonts w:ascii="Arial" w:hAnsi="Arial" w:cs="Arial"/>
                <w:sz w:val="20"/>
              </w:rPr>
              <w:t>aPPDUMaxTime</w:t>
            </w:r>
            <w:proofErr w:type="spellEnd"/>
            <w:r w:rsidRPr="00133B69">
              <w:rPr>
                <w:rFonts w:ascii="Arial" w:hAnsi="Arial" w:cs="Arial"/>
                <w:sz w:val="20"/>
              </w:rPr>
              <w:t xml:space="preserve"> after each TWBTT.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DA1EB4"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E310ED" w14:textId="77777777" w:rsidR="006405B9" w:rsidRDefault="00EA3F45" w:rsidP="006675C0">
            <w:pPr>
              <w:rPr>
                <w:rFonts w:ascii="Arial" w:hAnsi="Arial" w:cs="Arial"/>
                <w:sz w:val="20"/>
              </w:rPr>
            </w:pPr>
            <w:r>
              <w:rPr>
                <w:rFonts w:ascii="Arial" w:hAnsi="Arial" w:cs="Arial"/>
                <w:sz w:val="20"/>
              </w:rPr>
              <w:t>Revised-</w:t>
            </w:r>
          </w:p>
          <w:p w14:paraId="7532E953" w14:textId="77777777" w:rsidR="006675C0" w:rsidRDefault="0020453D" w:rsidP="006675C0">
            <w:pPr>
              <w:rPr>
                <w:rFonts w:ascii="Arial" w:hAnsi="Arial" w:cs="Arial"/>
                <w:sz w:val="20"/>
              </w:rPr>
            </w:pPr>
            <w:r>
              <w:rPr>
                <w:rFonts w:ascii="Arial" w:hAnsi="Arial" w:cs="Arial"/>
                <w:sz w:val="20"/>
              </w:rPr>
              <w:t xml:space="preserve">Agree in principle. </w:t>
            </w:r>
          </w:p>
          <w:p w14:paraId="3D2E0F5C" w14:textId="77777777" w:rsidR="0020453D" w:rsidRDefault="0020453D" w:rsidP="006675C0">
            <w:pPr>
              <w:rPr>
                <w:rFonts w:ascii="Arial" w:hAnsi="Arial" w:cs="Arial"/>
                <w:sz w:val="20"/>
              </w:rPr>
            </w:pPr>
          </w:p>
          <w:p w14:paraId="2B102027" w14:textId="008C0DCC" w:rsidR="0020453D" w:rsidRDefault="0020453D"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w:t>
            </w:r>
            <w:r>
              <w:rPr>
                <w:rFonts w:ascii="Arial" w:hAnsi="Arial" w:cs="Arial"/>
                <w:sz w:val="20"/>
              </w:rPr>
              <w:t xml:space="preserve">changes “for </w:t>
            </w:r>
            <w:proofErr w:type="spellStart"/>
            <w:r w:rsidRPr="00133B69">
              <w:rPr>
                <w:rFonts w:ascii="Arial" w:hAnsi="Arial" w:cs="Arial"/>
                <w:sz w:val="20"/>
              </w:rPr>
              <w:t>aPPDUMaxTime</w:t>
            </w:r>
            <w:proofErr w:type="spellEnd"/>
            <w:r>
              <w:rPr>
                <w:rFonts w:ascii="Arial" w:hAnsi="Arial" w:cs="Arial"/>
                <w:sz w:val="20"/>
              </w:rPr>
              <w:t xml:space="preserve">” to “for at least </w:t>
            </w:r>
            <w:proofErr w:type="spellStart"/>
            <w:r w:rsidRPr="00133B69">
              <w:rPr>
                <w:rFonts w:ascii="Arial" w:hAnsi="Arial" w:cs="Arial"/>
                <w:sz w:val="20"/>
              </w:rPr>
              <w:t>aPPDUMaxTime</w:t>
            </w:r>
            <w:proofErr w:type="spellEnd"/>
            <w:r>
              <w:rPr>
                <w:rFonts w:ascii="Arial" w:hAnsi="Arial" w:cs="Arial"/>
                <w:sz w:val="20"/>
              </w:rPr>
              <w:t>”.</w:t>
            </w:r>
          </w:p>
          <w:p w14:paraId="24AE48F1" w14:textId="77777777" w:rsidR="0020453D" w:rsidRDefault="0020453D" w:rsidP="006675C0">
            <w:pPr>
              <w:rPr>
                <w:rFonts w:ascii="Arial" w:hAnsi="Arial" w:cs="Arial"/>
                <w:sz w:val="20"/>
              </w:rPr>
            </w:pPr>
          </w:p>
          <w:p w14:paraId="06D8C8BE" w14:textId="05C71479" w:rsidR="0020453D" w:rsidRPr="00133B69" w:rsidRDefault="0020453D" w:rsidP="006675C0">
            <w:pPr>
              <w:rPr>
                <w:rFonts w:ascii="Arial" w:hAnsi="Arial" w:cs="Arial"/>
                <w:sz w:val="20"/>
              </w:rPr>
            </w:pPr>
          </w:p>
        </w:tc>
      </w:tr>
      <w:tr w:rsidR="006675C0" w:rsidRPr="00133B69" w14:paraId="6C613486" w14:textId="77777777" w:rsidTr="0039262A">
        <w:trPr>
          <w:trHeight w:val="1752"/>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B8EA4F" w14:textId="77777777" w:rsidR="006675C0" w:rsidRPr="00133B69" w:rsidRDefault="006675C0" w:rsidP="006675C0">
            <w:pPr>
              <w:rPr>
                <w:rFonts w:ascii="Arial" w:hAnsi="Arial" w:cs="Arial"/>
                <w:sz w:val="20"/>
              </w:rPr>
            </w:pPr>
            <w:r w:rsidRPr="00133B69">
              <w:rPr>
                <w:rFonts w:ascii="Arial" w:hAnsi="Arial" w:cs="Arial"/>
                <w:sz w:val="20"/>
              </w:rPr>
              <w:lastRenderedPageBreak/>
              <w:t>2048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019F82" w14:textId="190C9321"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7E28BE" w14:textId="4E2B73B1" w:rsidR="006675C0" w:rsidRPr="00133B69" w:rsidRDefault="006675C0" w:rsidP="006675C0">
            <w:pPr>
              <w:rPr>
                <w:rFonts w:ascii="Arial" w:hAnsi="Arial" w:cs="Arial"/>
                <w:sz w:val="20"/>
              </w:rPr>
            </w:pPr>
            <w:r>
              <w:rPr>
                <w:rFonts w:ascii="Arial" w:hAnsi="Arial" w:cs="Arial"/>
                <w:sz w:val="20"/>
              </w:rPr>
              <w:t>58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510AA8" w14:textId="3E870957"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5128CFF" w14:textId="77777777" w:rsidR="006675C0" w:rsidRPr="00133B69" w:rsidRDefault="006675C0" w:rsidP="006675C0">
            <w:pPr>
              <w:rPr>
                <w:rFonts w:ascii="Arial" w:hAnsi="Arial" w:cs="Arial"/>
                <w:sz w:val="20"/>
              </w:rPr>
            </w:pPr>
            <w:r w:rsidRPr="00133B69">
              <w:rPr>
                <w:rFonts w:ascii="Arial" w:hAnsi="Arial" w:cs="Arial"/>
                <w:sz w:val="20"/>
              </w:rPr>
              <w:t>It is not clear what identical means here.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3B7F4CB"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ECED4F" w14:textId="713516D2" w:rsidR="00663412" w:rsidRDefault="00663412" w:rsidP="00663412">
            <w:pPr>
              <w:rPr>
                <w:rFonts w:ascii="Arial" w:hAnsi="Arial" w:cs="Arial"/>
                <w:sz w:val="20"/>
              </w:rPr>
            </w:pPr>
            <w:r>
              <w:rPr>
                <w:rFonts w:ascii="Arial" w:hAnsi="Arial" w:cs="Arial"/>
                <w:sz w:val="20"/>
              </w:rPr>
              <w:t>Revised-</w:t>
            </w:r>
          </w:p>
          <w:p w14:paraId="565B8B4F" w14:textId="5891C408" w:rsidR="00B4497C" w:rsidRDefault="00B4497C" w:rsidP="00663412">
            <w:pPr>
              <w:rPr>
                <w:rFonts w:ascii="Arial" w:hAnsi="Arial" w:cs="Arial"/>
                <w:sz w:val="20"/>
              </w:rPr>
            </w:pPr>
            <w:r w:rsidRPr="00B4497C">
              <w:rPr>
                <w:rFonts w:ascii="Arial" w:hAnsi="Arial" w:cs="Arial"/>
                <w:sz w:val="20"/>
              </w:rPr>
              <w:t xml:space="preserve">Identical means that different terminologies are applied but other protocol </w:t>
            </w:r>
            <w:proofErr w:type="spellStart"/>
            <w:r w:rsidRPr="00B4497C">
              <w:rPr>
                <w:rFonts w:ascii="Arial" w:hAnsi="Arial" w:cs="Arial"/>
                <w:sz w:val="20"/>
              </w:rPr>
              <w:t>behaviors</w:t>
            </w:r>
            <w:proofErr w:type="spellEnd"/>
            <w:r w:rsidRPr="00B4497C">
              <w:rPr>
                <w:rFonts w:ascii="Arial" w:hAnsi="Arial" w:cs="Arial"/>
                <w:sz w:val="20"/>
              </w:rPr>
              <w:t xml:space="preserve"> are same. </w:t>
            </w:r>
          </w:p>
          <w:p w14:paraId="10FC34B6" w14:textId="77777777" w:rsidR="00B4497C" w:rsidRDefault="00B4497C" w:rsidP="00663412">
            <w:pPr>
              <w:rPr>
                <w:rFonts w:ascii="Arial" w:hAnsi="Arial" w:cs="Arial"/>
                <w:sz w:val="20"/>
              </w:rPr>
            </w:pPr>
          </w:p>
          <w:p w14:paraId="0336E7A4" w14:textId="6D06E4F5" w:rsidR="006675C0" w:rsidRPr="00133B69" w:rsidRDefault="00B4497C"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11-19/05</w:t>
            </w:r>
            <w:r>
              <w:rPr>
                <w:rFonts w:ascii="Arial" w:hAnsi="Arial" w:cs="Arial"/>
                <w:sz w:val="20"/>
              </w:rPr>
              <w:t>76</w:t>
            </w:r>
            <w:r w:rsidRPr="00DD1372">
              <w:rPr>
                <w:rFonts w:ascii="Arial" w:hAnsi="Arial" w:cs="Arial"/>
                <w:sz w:val="20"/>
              </w:rPr>
              <w:t>r0 for CID 2</w:t>
            </w:r>
            <w:r>
              <w:rPr>
                <w:rFonts w:ascii="Arial" w:hAnsi="Arial" w:cs="Arial"/>
                <w:sz w:val="20"/>
              </w:rPr>
              <w:t>048</w:t>
            </w:r>
            <w:r w:rsidRPr="00DD1372">
              <w:rPr>
                <w:rFonts w:ascii="Arial" w:hAnsi="Arial" w:cs="Arial"/>
                <w:sz w:val="20"/>
              </w:rPr>
              <w:t>.</w:t>
            </w:r>
          </w:p>
        </w:tc>
      </w:tr>
      <w:tr w:rsidR="00B478E6" w:rsidRPr="00133B69" w14:paraId="6B0A5E88" w14:textId="77777777" w:rsidTr="00120CF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867C4C8" w14:textId="4EB88FE7" w:rsidR="00B478E6" w:rsidRDefault="00B478E6" w:rsidP="006675C0">
            <w:pPr>
              <w:rPr>
                <w:rFonts w:ascii="Arial" w:hAnsi="Arial" w:cs="Arial"/>
                <w:sz w:val="20"/>
              </w:rPr>
            </w:pPr>
          </w:p>
          <w:p w14:paraId="45B96AA3" w14:textId="36E59D26" w:rsidR="00663412" w:rsidRPr="000C120D" w:rsidRDefault="00663412" w:rsidP="00663412">
            <w:pPr>
              <w:jc w:val="both"/>
              <w:rPr>
                <w:b/>
                <w:sz w:val="28"/>
                <w:szCs w:val="22"/>
                <w:u w:val="single"/>
              </w:rPr>
            </w:pPr>
            <w:r>
              <w:rPr>
                <w:b/>
                <w:sz w:val="28"/>
                <w:szCs w:val="22"/>
                <w:u w:val="single"/>
              </w:rPr>
              <w:t>Proposed Text Updates: CID 2048</w:t>
            </w:r>
          </w:p>
          <w:p w14:paraId="753CB8F1" w14:textId="77777777" w:rsidR="00663412" w:rsidRDefault="00663412" w:rsidP="00663412">
            <w:pPr>
              <w:rPr>
                <w:lang w:val="en-US"/>
              </w:rPr>
            </w:pPr>
          </w:p>
          <w:p w14:paraId="358FEB90" w14:textId="77777777" w:rsidR="00663412" w:rsidRDefault="00663412" w:rsidP="00663412">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FF5030D" w14:textId="77777777" w:rsidR="00B478E6" w:rsidRDefault="00B478E6" w:rsidP="006675C0">
            <w:pPr>
              <w:rPr>
                <w:rFonts w:ascii="Arial" w:hAnsi="Arial" w:cs="Arial"/>
                <w:sz w:val="20"/>
              </w:rPr>
            </w:pPr>
          </w:p>
          <w:p w14:paraId="344E10FB" w14:textId="64C220AD" w:rsidR="00663412" w:rsidRPr="00B4497C" w:rsidRDefault="00663412" w:rsidP="00B4497C">
            <w:pPr>
              <w:jc w:val="both"/>
              <w:rPr>
                <w:szCs w:val="22"/>
              </w:rPr>
            </w:pPr>
            <w:r w:rsidRPr="00B4497C">
              <w:rPr>
                <w:szCs w:val="22"/>
              </w:rPr>
              <w:t>If the MAC receives a PHY-</w:t>
            </w:r>
            <w:proofErr w:type="spellStart"/>
            <w:r w:rsidRPr="00B4497C">
              <w:rPr>
                <w:szCs w:val="22"/>
              </w:rPr>
              <w:t>CCA.indication</w:t>
            </w:r>
            <w:proofErr w:type="spellEnd"/>
            <w:r w:rsidRPr="00B4497C">
              <w:rPr>
                <w:szCs w:val="22"/>
              </w:rPr>
              <w:t xml:space="preserve"> primitive with the channel-list parameter present, the channels considered idle are defined in Table 10-16 (Channels indicated idle by the channel-list parameter) in which the primary channel, secondary 20 MHz channel, and the secondary 40 MHz channel are </w:t>
            </w:r>
            <w:r w:rsidRPr="00B4497C">
              <w:rPr>
                <w:strike/>
                <w:color w:val="FF0000"/>
                <w:szCs w:val="22"/>
              </w:rPr>
              <w:t>identical to</w:t>
            </w:r>
            <w:r w:rsidRPr="00B4497C">
              <w:rPr>
                <w:szCs w:val="22"/>
              </w:rPr>
              <w:t xml:space="preserve"> </w:t>
            </w:r>
            <w:proofErr w:type="spellStart"/>
            <w:r w:rsidRPr="00B4497C">
              <w:rPr>
                <w:color w:val="FF0000"/>
                <w:szCs w:val="22"/>
                <w:u w:val="single"/>
              </w:rPr>
              <w:t>replaced</w:t>
            </w:r>
            <w:proofErr w:type="spellEnd"/>
            <w:r w:rsidRPr="00B4497C">
              <w:rPr>
                <w:color w:val="FF0000"/>
                <w:szCs w:val="22"/>
                <w:u w:val="single"/>
              </w:rPr>
              <w:t xml:space="preserve"> with</w:t>
            </w:r>
            <w:r>
              <w:rPr>
                <w:szCs w:val="22"/>
              </w:rPr>
              <w:t xml:space="preserve"> </w:t>
            </w:r>
            <w:r w:rsidRPr="00B4497C">
              <w:rPr>
                <w:szCs w:val="22"/>
              </w:rPr>
              <w:t>the WUR primary channel, the WUR secondary 20 MHz channel, and the WUR secondary 40 MHz channel</w:t>
            </w:r>
            <w:r w:rsidRPr="00B4497C">
              <w:rPr>
                <w:color w:val="FF0000"/>
                <w:szCs w:val="22"/>
                <w:u w:val="single"/>
              </w:rPr>
              <w:t>, respectively</w:t>
            </w:r>
            <w:r w:rsidRPr="00B4497C">
              <w:rPr>
                <w:szCs w:val="22"/>
              </w:rPr>
              <w:t>.</w:t>
            </w:r>
          </w:p>
          <w:p w14:paraId="4B692D26" w14:textId="77777777" w:rsidR="00663412" w:rsidRPr="00B4497C" w:rsidRDefault="00663412" w:rsidP="00663412"/>
          <w:p w14:paraId="3CD0B2ED" w14:textId="52892B60" w:rsidR="00663412" w:rsidRDefault="00663412" w:rsidP="00B4497C">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30.2 as the followings: </w:t>
            </w:r>
          </w:p>
          <w:p w14:paraId="72DFE6EF" w14:textId="77777777" w:rsidR="00663412" w:rsidRPr="00B4497C" w:rsidRDefault="00663412" w:rsidP="00B4497C">
            <w:pPr>
              <w:rPr>
                <w:b/>
                <w:i/>
                <w:szCs w:val="22"/>
              </w:rPr>
            </w:pPr>
          </w:p>
          <w:p w14:paraId="31EE4167" w14:textId="55096705" w:rsidR="00663412" w:rsidRPr="00B4497C" w:rsidRDefault="00663412" w:rsidP="00B4497C">
            <w:pPr>
              <w:jc w:val="both"/>
              <w:rPr>
                <w:szCs w:val="22"/>
              </w:rPr>
            </w:pPr>
            <w:r w:rsidRPr="00B4497C">
              <w:rPr>
                <w:szCs w:val="22"/>
              </w:rPr>
              <w:t>If the MAC receives a PHY-</w:t>
            </w:r>
            <w:proofErr w:type="spellStart"/>
            <w:r w:rsidRPr="00B4497C">
              <w:rPr>
                <w:szCs w:val="22"/>
              </w:rPr>
              <w:t>CCA.indication</w:t>
            </w:r>
            <w:proofErr w:type="spellEnd"/>
            <w:r w:rsidRPr="00B4497C">
              <w:rPr>
                <w:szCs w:val="22"/>
              </w:rPr>
              <w:t xml:space="preserve"> primitive with the channel-list parameter present, the channels considered idle are defined in Table 10-16 (Channels indicated idle by the channel-list parameter) in which the primary channel is </w:t>
            </w:r>
            <w:r w:rsidRPr="00B4497C">
              <w:rPr>
                <w:strike/>
                <w:color w:val="FF0000"/>
                <w:szCs w:val="22"/>
              </w:rPr>
              <w:t>identical to</w:t>
            </w:r>
            <w:r w:rsidRPr="00B4497C">
              <w:rPr>
                <w:szCs w:val="22"/>
              </w:rPr>
              <w:t xml:space="preserve"> </w:t>
            </w:r>
            <w:proofErr w:type="spellStart"/>
            <w:r w:rsidRPr="00B4497C">
              <w:rPr>
                <w:color w:val="FF0000"/>
                <w:szCs w:val="22"/>
                <w:u w:val="single"/>
              </w:rPr>
              <w:t>replaced</w:t>
            </w:r>
            <w:proofErr w:type="spellEnd"/>
            <w:r w:rsidRPr="00B4497C">
              <w:rPr>
                <w:color w:val="FF0000"/>
                <w:szCs w:val="22"/>
                <w:u w:val="single"/>
              </w:rPr>
              <w:t xml:space="preserve"> with</w:t>
            </w:r>
            <w:r>
              <w:rPr>
                <w:szCs w:val="22"/>
              </w:rPr>
              <w:t xml:space="preserve"> </w:t>
            </w:r>
            <w:r w:rsidRPr="00B4497C">
              <w:rPr>
                <w:szCs w:val="22"/>
              </w:rPr>
              <w:t>the WUR primary channel.</w:t>
            </w:r>
          </w:p>
          <w:p w14:paraId="35ADE3D6" w14:textId="77777777" w:rsidR="00B478E6" w:rsidRDefault="00B478E6" w:rsidP="006675C0">
            <w:pPr>
              <w:rPr>
                <w:rFonts w:ascii="Arial" w:hAnsi="Arial" w:cs="Arial"/>
                <w:sz w:val="20"/>
              </w:rPr>
            </w:pPr>
          </w:p>
        </w:tc>
      </w:tr>
      <w:tr w:rsidR="006675C0" w:rsidRPr="00133B69" w14:paraId="0103216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828F07E"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2056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59EED44" w14:textId="12752B30" w:rsidR="006675C0" w:rsidRPr="00912E31" w:rsidRDefault="006675C0" w:rsidP="00B351CF">
            <w:pPr>
              <w:rPr>
                <w:rFonts w:ascii="Arial" w:hAnsi="Arial" w:cs="Arial"/>
                <w:strike/>
                <w:color w:val="FF0000"/>
                <w:sz w:val="20"/>
              </w:rPr>
            </w:pPr>
            <w:r w:rsidRPr="00912E31">
              <w:rPr>
                <w:rFonts w:ascii="Arial" w:hAnsi="Arial" w:cs="Arial"/>
                <w:strike/>
                <w:color w:val="FF0000"/>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1E61FF3" w14:textId="4A633DFC" w:rsidR="006675C0" w:rsidRPr="00912E31" w:rsidRDefault="006675C0" w:rsidP="006675C0">
            <w:pPr>
              <w:rPr>
                <w:rFonts w:ascii="Arial" w:hAnsi="Arial" w:cs="Arial"/>
                <w:strike/>
                <w:color w:val="FF0000"/>
                <w:sz w:val="20"/>
              </w:rPr>
            </w:pPr>
            <w:r w:rsidRPr="00912E31">
              <w:rPr>
                <w:rFonts w:ascii="Arial" w:hAnsi="Arial" w:cs="Arial"/>
                <w:strike/>
                <w:color w:val="FF0000"/>
                <w:sz w:val="20"/>
              </w:rPr>
              <w:t>61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0F4DD" w14:textId="4BEDEE91" w:rsidR="006675C0" w:rsidRPr="00912E31" w:rsidRDefault="006675C0" w:rsidP="006675C0">
            <w:pPr>
              <w:rPr>
                <w:rFonts w:ascii="Arial" w:hAnsi="Arial" w:cs="Arial"/>
                <w:strike/>
                <w:color w:val="FF0000"/>
                <w:sz w:val="20"/>
              </w:rPr>
            </w:pPr>
            <w:r w:rsidRPr="00912E31">
              <w:rPr>
                <w:rFonts w:ascii="Arial" w:hAnsi="Arial" w:cs="Arial"/>
                <w:strike/>
                <w:color w:val="FF0000"/>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8BE8DBC"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 xml:space="preserve">Please clarify how the multiplexing is done for the WUR frames in the WUR FDM PPDU. And also explicitly allow each </w:t>
            </w:r>
            <w:proofErr w:type="spellStart"/>
            <w:r w:rsidRPr="00912E31">
              <w:rPr>
                <w:rFonts w:ascii="Arial" w:hAnsi="Arial" w:cs="Arial"/>
                <w:strike/>
                <w:color w:val="FF0000"/>
                <w:sz w:val="20"/>
              </w:rPr>
              <w:t>subchannel</w:t>
            </w:r>
            <w:proofErr w:type="spellEnd"/>
            <w:r w:rsidRPr="00912E31">
              <w:rPr>
                <w:rFonts w:ascii="Arial" w:hAnsi="Arial" w:cs="Arial"/>
                <w:strike/>
                <w:color w:val="FF0000"/>
                <w:sz w:val="20"/>
              </w:rPr>
              <w:t xml:space="preserve"> to carry one or more WUR frames so that the need of using padding is minimized. The technical issue of using padding is that the airtime is wasted.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506220"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D156FE" w14:textId="377F592A" w:rsidR="006675C0" w:rsidRPr="00912E31" w:rsidRDefault="0039262A" w:rsidP="0039262A">
            <w:pPr>
              <w:rPr>
                <w:rFonts w:ascii="Arial" w:hAnsi="Arial" w:cs="Arial"/>
                <w:strike/>
                <w:color w:val="FF0000"/>
                <w:sz w:val="20"/>
              </w:rPr>
            </w:pPr>
            <w:r w:rsidRPr="00912E31">
              <w:rPr>
                <w:rFonts w:ascii="Arial" w:hAnsi="Arial" w:cs="Arial"/>
                <w:strike/>
                <w:color w:val="FF0000"/>
                <w:sz w:val="20"/>
              </w:rPr>
              <w:t>Need submission</w:t>
            </w:r>
          </w:p>
        </w:tc>
      </w:tr>
      <w:tr w:rsidR="006675C0" w:rsidRPr="00133B69" w14:paraId="3BF305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23FDD8" w14:textId="77777777" w:rsidR="006675C0" w:rsidRPr="00133B69" w:rsidRDefault="006675C0" w:rsidP="006675C0">
            <w:pPr>
              <w:rPr>
                <w:rFonts w:ascii="Arial" w:hAnsi="Arial" w:cs="Arial"/>
                <w:sz w:val="20"/>
              </w:rPr>
            </w:pPr>
            <w:r w:rsidRPr="00133B69">
              <w:rPr>
                <w:rFonts w:ascii="Arial" w:hAnsi="Arial" w:cs="Arial"/>
                <w:sz w:val="20"/>
              </w:rPr>
              <w:t>2659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CE3A7C" w14:textId="34068DE1" w:rsidR="006675C0" w:rsidRPr="00133B69" w:rsidRDefault="006675C0" w:rsidP="00B351CF">
            <w:pPr>
              <w:rPr>
                <w:rFonts w:ascii="Arial" w:hAnsi="Arial" w:cs="Arial"/>
                <w:sz w:val="20"/>
              </w:rPr>
            </w:pPr>
            <w:r>
              <w:rPr>
                <w:rFonts w:ascii="Arial" w:hAnsi="Arial" w:cs="Arial"/>
                <w:sz w:val="20"/>
              </w:rPr>
              <w:t>81</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5C8F3F" w14:textId="4EA692A7" w:rsidR="006675C0" w:rsidRPr="00133B69" w:rsidRDefault="006675C0" w:rsidP="006675C0">
            <w:pPr>
              <w:rPr>
                <w:rFonts w:ascii="Arial" w:hAnsi="Arial" w:cs="Arial"/>
                <w:sz w:val="20"/>
              </w:rPr>
            </w:pPr>
            <w:r>
              <w:rPr>
                <w:rFonts w:ascii="Arial" w:hAnsi="Arial" w:cs="Arial"/>
                <w:sz w:val="20"/>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A68589" w14:textId="746456A3"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05D8E1F" w14:textId="77777777" w:rsidR="006675C0" w:rsidRPr="00133B69" w:rsidRDefault="006675C0" w:rsidP="006675C0">
            <w:pPr>
              <w:rPr>
                <w:rFonts w:ascii="Arial" w:hAnsi="Arial" w:cs="Arial"/>
                <w:sz w:val="20"/>
              </w:rPr>
            </w:pPr>
            <w:r w:rsidRPr="00133B69">
              <w:rPr>
                <w:rFonts w:ascii="Arial" w:hAnsi="Arial" w:cs="Arial"/>
                <w:sz w:val="20"/>
              </w:rPr>
              <w:t xml:space="preserve">"In any of the above actions, if the WUR AP does not have a pending WUR frame intended for WUR non-AP STAs on the WUR primary channel, then the WUR AP shall transmit a WUR frame, which can be any WUR frame, on the WUR primary channel." If the AP doesn't have a pending WUR frame on the WUR primary </w:t>
            </w:r>
            <w:r w:rsidRPr="00133B69">
              <w:rPr>
                <w:rFonts w:ascii="Arial" w:hAnsi="Arial" w:cs="Arial"/>
                <w:sz w:val="20"/>
              </w:rPr>
              <w:lastRenderedPageBreak/>
              <w:t>channel, then why should the AP transmit a WUR frame on the WUR primary channel? If it doesn't have a pending WUR frame on the WUR primary channel, then the WUR primary channel can be punctured. If it has a pending WUR frame on the WUR primary channel, then the transmission should be deferred until the WUR primary channel becomes idle. Furthermore, does "which can be any WUR frame" need to be emphasized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21FB54" w14:textId="77777777" w:rsidR="006675C0" w:rsidRPr="00133B69" w:rsidRDefault="006675C0" w:rsidP="006675C0">
            <w:pPr>
              <w:rPr>
                <w:rFonts w:ascii="Arial" w:hAnsi="Arial" w:cs="Arial"/>
                <w:sz w:val="20"/>
              </w:rPr>
            </w:pPr>
            <w:r w:rsidRPr="00133B69">
              <w:rPr>
                <w:rFonts w:ascii="Arial" w:hAnsi="Arial" w:cs="Arial"/>
                <w:sz w:val="20"/>
              </w:rPr>
              <w:lastRenderedPageBreak/>
              <w:t>Revisit the sentence and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D01AF9" w14:textId="77777777" w:rsidR="006675C0" w:rsidRDefault="007052D3" w:rsidP="006675C0">
            <w:pPr>
              <w:rPr>
                <w:rFonts w:ascii="Arial" w:hAnsi="Arial" w:cs="Arial"/>
                <w:sz w:val="20"/>
              </w:rPr>
            </w:pPr>
            <w:r>
              <w:rPr>
                <w:rFonts w:ascii="Arial" w:hAnsi="Arial" w:cs="Arial"/>
                <w:sz w:val="20"/>
              </w:rPr>
              <w:t xml:space="preserve">Rejected- </w:t>
            </w:r>
          </w:p>
          <w:p w14:paraId="2784084F" w14:textId="77777777" w:rsidR="003D2D09" w:rsidRDefault="003D2D09" w:rsidP="00912E31">
            <w:r w:rsidRPr="003D2D09">
              <w:rPr>
                <w:rFonts w:ascii="Arial" w:hAnsi="Arial" w:cs="Arial"/>
                <w:sz w:val="20"/>
              </w:rPr>
              <w:t xml:space="preserve">If </w:t>
            </w:r>
            <w:r>
              <w:rPr>
                <w:rFonts w:ascii="Arial" w:hAnsi="Arial" w:cs="Arial"/>
                <w:sz w:val="20"/>
              </w:rPr>
              <w:t xml:space="preserve">the WUR AP </w:t>
            </w:r>
            <w:r w:rsidRPr="003D2D09">
              <w:rPr>
                <w:rFonts w:ascii="Arial" w:hAnsi="Arial" w:cs="Arial"/>
                <w:sz w:val="20"/>
              </w:rPr>
              <w:t>doesn't have a pending WUR frame on the WUR primary channel, then the WUR primary channel can</w:t>
            </w:r>
            <w:r>
              <w:rPr>
                <w:rFonts w:ascii="Arial" w:hAnsi="Arial" w:cs="Arial"/>
                <w:sz w:val="20"/>
              </w:rPr>
              <w:t>’t</w:t>
            </w:r>
            <w:r w:rsidRPr="003D2D09">
              <w:rPr>
                <w:rFonts w:ascii="Arial" w:hAnsi="Arial" w:cs="Arial"/>
                <w:sz w:val="20"/>
              </w:rPr>
              <w:t xml:space="preserve"> be punctured.</w:t>
            </w:r>
            <w:r>
              <w:t xml:space="preserve"> </w:t>
            </w:r>
          </w:p>
          <w:p w14:paraId="02B3849C" w14:textId="0F3F9146" w:rsidR="007052D3" w:rsidRPr="00133B69" w:rsidRDefault="003D2D09" w:rsidP="00912E31">
            <w:pPr>
              <w:rPr>
                <w:rFonts w:ascii="Arial" w:hAnsi="Arial" w:cs="Arial"/>
                <w:sz w:val="20"/>
              </w:rPr>
            </w:pPr>
            <w:r w:rsidRPr="003D2D09">
              <w:rPr>
                <w:rFonts w:ascii="Arial" w:hAnsi="Arial" w:cs="Arial"/>
                <w:sz w:val="20"/>
              </w:rPr>
              <w:t xml:space="preserve">As per the baseline rule, the TXOP holder shall not send a PPDU without occupying the primary channel.  </w:t>
            </w:r>
          </w:p>
        </w:tc>
      </w:tr>
      <w:tr w:rsidR="006675C0" w:rsidRPr="00133B69" w14:paraId="039C00E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362F5B" w14:textId="73A78657" w:rsidR="006675C0" w:rsidRPr="00133B69" w:rsidRDefault="006675C0" w:rsidP="006675C0">
            <w:pPr>
              <w:rPr>
                <w:rFonts w:ascii="Arial" w:hAnsi="Arial" w:cs="Arial"/>
                <w:sz w:val="20"/>
              </w:rPr>
            </w:pPr>
            <w:r w:rsidRPr="00133B69">
              <w:rPr>
                <w:rFonts w:ascii="Arial" w:hAnsi="Arial" w:cs="Arial"/>
                <w:sz w:val="20"/>
              </w:rPr>
              <w:t>2159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C3AEFE" w14:textId="7A7DC87A" w:rsidR="006675C0" w:rsidRPr="00133B69" w:rsidRDefault="006675C0" w:rsidP="00B351CF">
            <w:pPr>
              <w:rPr>
                <w:rFonts w:ascii="Arial" w:hAnsi="Arial" w:cs="Arial"/>
                <w:sz w:val="20"/>
              </w:rPr>
            </w:pPr>
            <w:r>
              <w:rPr>
                <w:rFonts w:ascii="Arial" w:hAnsi="Arial" w:cs="Arial"/>
                <w:sz w:val="20"/>
              </w:rPr>
              <w:t>88</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01144C" w14:textId="0C206122" w:rsidR="006675C0" w:rsidRPr="00133B69" w:rsidRDefault="006675C0" w:rsidP="006675C0">
            <w:pPr>
              <w:rPr>
                <w:rFonts w:ascii="Arial" w:hAnsi="Arial" w:cs="Arial"/>
                <w:sz w:val="20"/>
              </w:rPr>
            </w:pPr>
            <w:r>
              <w:rPr>
                <w:rFonts w:ascii="Arial" w:hAnsi="Arial" w:cs="Arial"/>
                <w:sz w:val="20"/>
              </w:rPr>
              <w:t>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1D26B6" w14:textId="21F0412D" w:rsidR="006675C0" w:rsidRPr="00133B69" w:rsidRDefault="006675C0" w:rsidP="006675C0">
            <w:pPr>
              <w:rPr>
                <w:rFonts w:ascii="Arial" w:hAnsi="Arial" w:cs="Arial"/>
                <w:sz w:val="20"/>
              </w:rPr>
            </w:pPr>
            <w:r w:rsidRPr="00133B69">
              <w:rPr>
                <w:rFonts w:ascii="Arial" w:hAnsi="Arial" w:cs="Arial"/>
                <w:sz w:val="20"/>
              </w:rPr>
              <w:t>30.1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962BED3" w14:textId="77777777" w:rsidR="006675C0" w:rsidRPr="00133B69" w:rsidRDefault="006675C0" w:rsidP="006675C0">
            <w:pPr>
              <w:rPr>
                <w:rFonts w:ascii="Arial" w:hAnsi="Arial" w:cs="Arial"/>
                <w:sz w:val="20"/>
              </w:rPr>
            </w:pPr>
            <w:r w:rsidRPr="00133B69">
              <w:rPr>
                <w:rFonts w:ascii="Arial" w:hAnsi="Arial" w:cs="Arial"/>
                <w:sz w:val="20"/>
              </w:rPr>
              <w:t xml:space="preserve">The FDMA PHY makes 802.11ba radio causes interference to very large BW. This may reduce efficiency of other 802.11 radios and endanger good </w:t>
            </w:r>
            <w:proofErr w:type="spellStart"/>
            <w:r w:rsidRPr="00133B69">
              <w:rPr>
                <w:rFonts w:ascii="Arial" w:hAnsi="Arial" w:cs="Arial"/>
                <w:sz w:val="20"/>
              </w:rPr>
              <w:t>performacne</w:t>
            </w:r>
            <w:proofErr w:type="spellEnd"/>
            <w:r w:rsidRPr="00133B69">
              <w:rPr>
                <w:rFonts w:ascii="Arial" w:hAnsi="Arial" w:cs="Arial"/>
                <w:sz w:val="20"/>
              </w:rPr>
              <w:t xml:space="preserve"> of the WLAN radios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3F9306" w14:textId="77777777" w:rsidR="006675C0" w:rsidRPr="00133B69" w:rsidRDefault="006675C0" w:rsidP="006675C0">
            <w:pPr>
              <w:rPr>
                <w:rFonts w:ascii="Arial" w:hAnsi="Arial" w:cs="Arial"/>
                <w:sz w:val="20"/>
              </w:rPr>
            </w:pPr>
            <w:r w:rsidRPr="00133B69">
              <w:rPr>
                <w:rFonts w:ascii="Arial" w:hAnsi="Arial" w:cs="Arial"/>
                <w:sz w:val="20"/>
              </w:rPr>
              <w:t>Delete FDMA mode and only allow 802.11ba transmissions in a 20 MHz band.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62B278" w14:textId="77777777" w:rsidR="00911F50" w:rsidRDefault="00911F50" w:rsidP="00911F50">
            <w:pPr>
              <w:rPr>
                <w:rFonts w:ascii="Arial" w:hAnsi="Arial" w:cs="Arial"/>
                <w:sz w:val="20"/>
              </w:rPr>
            </w:pPr>
            <w:r>
              <w:rPr>
                <w:rFonts w:ascii="Arial" w:hAnsi="Arial" w:cs="Arial"/>
                <w:sz w:val="20"/>
              </w:rPr>
              <w:t>Rejected-</w:t>
            </w:r>
          </w:p>
          <w:p w14:paraId="319FCB07" w14:textId="77777777" w:rsidR="00911F50" w:rsidRPr="00911F50" w:rsidRDefault="00911F50" w:rsidP="00911F50">
            <w:pPr>
              <w:rPr>
                <w:rFonts w:ascii="Arial" w:hAnsi="Arial" w:cs="Arial"/>
                <w:sz w:val="20"/>
              </w:rPr>
            </w:pPr>
            <w:r w:rsidRPr="00911F50">
              <w:rPr>
                <w:rFonts w:ascii="Arial" w:hAnsi="Arial" w:cs="Arial"/>
                <w:sz w:val="20"/>
              </w:rPr>
              <w:t xml:space="preserve">The WUR FDMA frames can be sent only if the wide bandwidth are available to be used. </w:t>
            </w:r>
          </w:p>
          <w:p w14:paraId="5A3CA322" w14:textId="77777777" w:rsidR="00911F50" w:rsidRPr="00911F50" w:rsidRDefault="00911F50" w:rsidP="00911F50">
            <w:pPr>
              <w:rPr>
                <w:rFonts w:ascii="Arial" w:hAnsi="Arial" w:cs="Arial"/>
                <w:sz w:val="20"/>
              </w:rPr>
            </w:pPr>
            <w:r w:rsidRPr="00911F50">
              <w:rPr>
                <w:rFonts w:ascii="Arial" w:hAnsi="Arial" w:cs="Arial"/>
                <w:sz w:val="20"/>
              </w:rPr>
              <w:t xml:space="preserve">There is no difference on the interference level comparing with the existing 40/80/80+80 MHz transmissions. </w:t>
            </w:r>
          </w:p>
          <w:p w14:paraId="634B3627" w14:textId="77777777" w:rsidR="00911F50" w:rsidRPr="00911F50" w:rsidRDefault="00911F50" w:rsidP="00911F50">
            <w:pPr>
              <w:rPr>
                <w:rFonts w:ascii="Arial" w:hAnsi="Arial" w:cs="Arial"/>
                <w:sz w:val="20"/>
              </w:rPr>
            </w:pPr>
          </w:p>
          <w:p w14:paraId="57695819" w14:textId="77777777" w:rsidR="00911F50" w:rsidRPr="00911F50" w:rsidRDefault="00911F50" w:rsidP="00911F50">
            <w:pPr>
              <w:rPr>
                <w:rFonts w:ascii="Arial" w:hAnsi="Arial" w:cs="Arial"/>
                <w:sz w:val="20"/>
              </w:rPr>
            </w:pPr>
            <w:r w:rsidRPr="00911F50">
              <w:rPr>
                <w:rFonts w:ascii="Arial" w:hAnsi="Arial" w:cs="Arial"/>
                <w:sz w:val="20"/>
              </w:rPr>
              <w:t xml:space="preserve">Efficiency gain of the wide </w:t>
            </w:r>
            <w:proofErr w:type="spellStart"/>
            <w:r w:rsidRPr="00911F50">
              <w:rPr>
                <w:rFonts w:ascii="Arial" w:hAnsi="Arial" w:cs="Arial"/>
                <w:sz w:val="20"/>
              </w:rPr>
              <w:t>bandwith</w:t>
            </w:r>
            <w:proofErr w:type="spellEnd"/>
            <w:r w:rsidRPr="00911F50">
              <w:rPr>
                <w:rFonts w:ascii="Arial" w:hAnsi="Arial" w:cs="Arial"/>
                <w:sz w:val="20"/>
              </w:rPr>
              <w:t xml:space="preserve"> transmission is already proved in 802.11n/ac/</w:t>
            </w:r>
            <w:proofErr w:type="spellStart"/>
            <w:r w:rsidRPr="00911F50">
              <w:rPr>
                <w:rFonts w:ascii="Arial" w:hAnsi="Arial" w:cs="Arial"/>
                <w:sz w:val="20"/>
              </w:rPr>
              <w:t>ax</w:t>
            </w:r>
            <w:proofErr w:type="spellEnd"/>
            <w:r w:rsidRPr="00911F50">
              <w:rPr>
                <w:rFonts w:ascii="Arial" w:hAnsi="Arial" w:cs="Arial"/>
                <w:sz w:val="20"/>
              </w:rPr>
              <w:t xml:space="preserve">. </w:t>
            </w:r>
          </w:p>
          <w:p w14:paraId="7F65A06D" w14:textId="77777777" w:rsidR="00911F50" w:rsidRPr="00911F50" w:rsidRDefault="00911F50" w:rsidP="00911F50">
            <w:pPr>
              <w:rPr>
                <w:rFonts w:ascii="Arial" w:hAnsi="Arial" w:cs="Arial"/>
                <w:sz w:val="20"/>
              </w:rPr>
            </w:pPr>
          </w:p>
          <w:p w14:paraId="0DF82479" w14:textId="78C884A2" w:rsidR="006675C0" w:rsidRPr="00133B69" w:rsidRDefault="00911F50" w:rsidP="00911F50">
            <w:pPr>
              <w:rPr>
                <w:rFonts w:ascii="Arial" w:hAnsi="Arial" w:cs="Arial"/>
                <w:sz w:val="20"/>
              </w:rPr>
            </w:pPr>
            <w:r w:rsidRPr="00911F50">
              <w:rPr>
                <w:rFonts w:ascii="Arial" w:hAnsi="Arial" w:cs="Arial"/>
                <w:sz w:val="20"/>
              </w:rPr>
              <w:t>If there is additional consideration points comparing with the existing wide bandwidth transmission, please provide the detail.</w:t>
            </w:r>
          </w:p>
        </w:tc>
      </w:tr>
    </w:tbl>
    <w:p w14:paraId="64F0BB44" w14:textId="696FD498" w:rsidR="009D5C72" w:rsidRPr="00133B69" w:rsidRDefault="009D5C72" w:rsidP="004639C6">
      <w:pPr>
        <w:pStyle w:val="ListParagraph"/>
        <w:ind w:leftChars="0" w:left="0"/>
        <w:rPr>
          <w:b/>
          <w:bCs/>
          <w:i/>
          <w:iCs/>
          <w:lang w:val="en-US" w:eastAsia="ko-KR"/>
        </w:rPr>
      </w:pPr>
    </w:p>
    <w:p w14:paraId="024D0FE0" w14:textId="77777777" w:rsidR="009D5C72" w:rsidRDefault="009D5C72" w:rsidP="004639C6">
      <w:pPr>
        <w:pStyle w:val="ListParagraph"/>
        <w:ind w:leftChars="0" w:left="0"/>
        <w:rPr>
          <w:b/>
          <w:bCs/>
          <w:i/>
          <w:iCs/>
          <w:lang w:eastAsia="ko-KR"/>
        </w:rPr>
      </w:pPr>
    </w:p>
    <w:p w14:paraId="23F350E7" w14:textId="77777777" w:rsidR="00255E6A" w:rsidRPr="00BA72C2" w:rsidRDefault="00255E6A" w:rsidP="00DD19CD">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62FC" w14:textId="77777777" w:rsidR="002418F5" w:rsidRDefault="002418F5">
      <w:r>
        <w:separator/>
      </w:r>
    </w:p>
  </w:endnote>
  <w:endnote w:type="continuationSeparator" w:id="0">
    <w:p w14:paraId="2B02203D" w14:textId="77777777" w:rsidR="002418F5" w:rsidRDefault="0024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5A53A2">
    <w:pPr>
      <w:pStyle w:val="Footer"/>
      <w:tabs>
        <w:tab w:val="clear" w:pos="6480"/>
        <w:tab w:val="center" w:pos="4680"/>
        <w:tab w:val="right" w:pos="9360"/>
      </w:tabs>
    </w:pPr>
    <w:fldSimple w:instr=" SUBJECT  \* MERGEFORMAT ">
      <w:r w:rsidR="00D92397">
        <w:t>Submission</w:t>
      </w:r>
    </w:fldSimple>
    <w:r w:rsidR="00D92397">
      <w:tab/>
      <w:t xml:space="preserve">page </w:t>
    </w:r>
    <w:r w:rsidR="00D92397">
      <w:fldChar w:fldCharType="begin"/>
    </w:r>
    <w:r w:rsidR="00D92397">
      <w:instrText xml:space="preserve">page </w:instrText>
    </w:r>
    <w:r w:rsidR="00D92397">
      <w:fldChar w:fldCharType="separate"/>
    </w:r>
    <w:r w:rsidR="004F12CA">
      <w:rPr>
        <w:noProof/>
      </w:rPr>
      <w:t>8</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A5FC7" w14:textId="77777777" w:rsidR="002418F5" w:rsidRDefault="002418F5">
      <w:r>
        <w:separator/>
      </w:r>
    </w:p>
  </w:footnote>
  <w:footnote w:type="continuationSeparator" w:id="0">
    <w:p w14:paraId="790632D2" w14:textId="77777777" w:rsidR="002418F5" w:rsidRDefault="0024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376872E" w:rsidR="00D92397" w:rsidRDefault="00D92397">
    <w:pPr>
      <w:pStyle w:val="Header"/>
      <w:tabs>
        <w:tab w:val="clear" w:pos="6480"/>
        <w:tab w:val="center" w:pos="4680"/>
        <w:tab w:val="right" w:pos="9360"/>
      </w:tabs>
      <w:rPr>
        <w:lang w:eastAsia="ko-KR"/>
      </w:rPr>
    </w:pPr>
    <w:r>
      <w:rPr>
        <w:lang w:eastAsia="ko-KR"/>
      </w:rPr>
      <w:t xml:space="preserve">April </w:t>
    </w:r>
    <w:r>
      <w:rPr>
        <w:rFonts w:hint="eastAsia"/>
        <w:lang w:eastAsia="ko-KR"/>
      </w:rPr>
      <w:t>201</w:t>
    </w:r>
    <w:r>
      <w:rPr>
        <w:lang w:eastAsia="ko-KR"/>
      </w:rPr>
      <w:t>9</w:t>
    </w:r>
    <w:r>
      <w:tab/>
    </w:r>
    <w:r>
      <w:tab/>
    </w:r>
    <w:fldSimple w:instr=" TITLE  \* MERGEFORMAT ">
      <w:r>
        <w:t>doc.: IEEE 802.11-19/0576r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282"/>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01D2507-A022-4318-8050-F464E3BF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8</Pages>
  <Words>2082</Words>
  <Characters>11871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140</cp:revision>
  <cp:lastPrinted>2010-05-04T00:47:00Z</cp:lastPrinted>
  <dcterms:created xsi:type="dcterms:W3CDTF">2018-11-14T02:08:00Z</dcterms:created>
  <dcterms:modified xsi:type="dcterms:W3CDTF">2019-04-12T21:56:00Z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