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CF75E3" w:rsidP="00EB249D">
            <w:pPr>
              <w:pStyle w:val="T2"/>
              <w:rPr>
                <w:color w:val="000000" w:themeColor="text1"/>
              </w:rPr>
            </w:pPr>
            <w:r>
              <w:rPr>
                <w:color w:val="000000" w:themeColor="text1"/>
                <w:lang w:eastAsia="ko-KR"/>
              </w:rPr>
              <w:t xml:space="preserve">11ba MAC Comment Resolution on </w:t>
            </w:r>
            <w:r w:rsidR="00EB249D">
              <w:rPr>
                <w:color w:val="000000" w:themeColor="text1"/>
                <w:lang w:eastAsia="ko-KR"/>
              </w:rPr>
              <w:t>WUR Wake-up frame</w:t>
            </w:r>
          </w:p>
        </w:tc>
      </w:tr>
      <w:tr w:rsidR="005263D6" w:rsidRPr="005263D6" w:rsidTr="005263D6">
        <w:trPr>
          <w:trHeight w:val="359"/>
          <w:jc w:val="center"/>
        </w:trPr>
        <w:tc>
          <w:tcPr>
            <w:tcW w:w="9576" w:type="dxa"/>
            <w:gridSpan w:val="5"/>
            <w:vAlign w:val="center"/>
          </w:tcPr>
          <w:p w:rsidR="00DC0DBD" w:rsidRPr="005263D6" w:rsidRDefault="00DC0DBD" w:rsidP="00DF1C9E">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00DF1C9E">
              <w:rPr>
                <w:b w:val="0"/>
                <w:color w:val="000000" w:themeColor="text1"/>
                <w:sz w:val="20"/>
                <w:lang w:eastAsia="ko-KR"/>
              </w:rPr>
              <w:t>9</w:t>
            </w:r>
            <w:r w:rsidRPr="005263D6">
              <w:rPr>
                <w:b w:val="0"/>
                <w:color w:val="000000" w:themeColor="text1"/>
                <w:sz w:val="20"/>
                <w:lang w:eastAsia="ko-KR"/>
              </w:rPr>
              <w:t>-</w:t>
            </w:r>
            <w:r w:rsidR="00DF1C9E">
              <w:rPr>
                <w:b w:val="0"/>
                <w:color w:val="000000" w:themeColor="text1"/>
                <w:sz w:val="20"/>
                <w:lang w:eastAsia="ko-KR"/>
              </w:rPr>
              <w:t>03</w:t>
            </w:r>
            <w:r w:rsidRPr="005263D6">
              <w:rPr>
                <w:rFonts w:hint="eastAsia"/>
                <w:b w:val="0"/>
                <w:color w:val="000000" w:themeColor="text1"/>
                <w:sz w:val="20"/>
                <w:lang w:eastAsia="ko-KR"/>
              </w:rPr>
              <w:t>-</w:t>
            </w:r>
            <w:r w:rsidR="00DF1C9E">
              <w:rPr>
                <w:b w:val="0"/>
                <w:color w:val="000000" w:themeColor="text1"/>
                <w:sz w:val="20"/>
                <w:lang w:eastAsia="ko-KR"/>
              </w:rPr>
              <w:t>11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F1C9E">
                            <w:pPr>
                              <w:jc w:val="both"/>
                              <w:rPr>
                                <w:lang w:eastAsia="ko-KR"/>
                              </w:rPr>
                            </w:pPr>
                            <w:r>
                              <w:rPr>
                                <w:rFonts w:hint="eastAsia"/>
                                <w:lang w:eastAsia="ko-KR"/>
                              </w:rPr>
                              <w:t xml:space="preserve">This submission </w:t>
                            </w:r>
                            <w:r w:rsidR="00CF75E3">
                              <w:rPr>
                                <w:lang w:eastAsia="ko-KR"/>
                              </w:rPr>
                              <w:t xml:space="preserve">proposes resolution for </w:t>
                            </w:r>
                            <w:r w:rsidR="00DF1C9E">
                              <w:rPr>
                                <w:lang w:eastAsia="ko-KR"/>
                              </w:rPr>
                              <w:t>the CID 2162.</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F1C9E">
                      <w:pPr>
                        <w:jc w:val="both"/>
                        <w:rPr>
                          <w:lang w:eastAsia="ko-KR"/>
                        </w:rPr>
                      </w:pPr>
                      <w:r>
                        <w:rPr>
                          <w:rFonts w:hint="eastAsia"/>
                          <w:lang w:eastAsia="ko-KR"/>
                        </w:rPr>
                        <w:t xml:space="preserve">This submission </w:t>
                      </w:r>
                      <w:r w:rsidR="00CF75E3">
                        <w:rPr>
                          <w:lang w:eastAsia="ko-KR"/>
                        </w:rPr>
                        <w:t xml:space="preserve">proposes resolution for </w:t>
                      </w:r>
                      <w:r w:rsidR="00DF1C9E">
                        <w:rPr>
                          <w:lang w:eastAsia="ko-KR"/>
                        </w:rPr>
                        <w:t>the CID 2162.</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CF75E3" w:rsidRDefault="00DC0DBD" w:rsidP="00DC0DBD">
      <w:pPr>
        <w:rPr>
          <w:color w:val="000000" w:themeColor="text1"/>
        </w:rPr>
      </w:pPr>
      <w:r w:rsidRPr="005263D6">
        <w:rPr>
          <w:color w:val="000000" w:themeColor="text1"/>
        </w:rPr>
        <w:br w:type="page"/>
      </w:r>
    </w:p>
    <w:p w:rsidR="00CF75E3" w:rsidRPr="004F3AF6" w:rsidRDefault="00CF75E3" w:rsidP="00CF75E3">
      <w:r w:rsidRPr="004F3AF6">
        <w:lastRenderedPageBreak/>
        <w:t>Interpretation of a Motion to Adopt</w:t>
      </w:r>
    </w:p>
    <w:p w:rsidR="00CF75E3" w:rsidRPr="004C0F0A" w:rsidRDefault="00CF75E3" w:rsidP="00CF75E3">
      <w:pPr>
        <w:rPr>
          <w:lang w:eastAsia="ko-KR"/>
        </w:rPr>
      </w:pPr>
    </w:p>
    <w:p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TGba</w:t>
      </w:r>
      <w:proofErr w:type="spellEnd"/>
      <w:r>
        <w:rPr>
          <w:lang w:eastAsia="ko-KR"/>
        </w:rPr>
        <w:t xml:space="preserve"> D1.0</w:t>
      </w:r>
      <w:r w:rsidRPr="004F3AF6">
        <w:rPr>
          <w:lang w:eastAsia="ko-KR"/>
        </w:rPr>
        <w:t xml:space="preserve"> Draft.  This introduction is not part of the adopted material.</w:t>
      </w:r>
    </w:p>
    <w:p w:rsidR="00CF75E3" w:rsidRDefault="00CF75E3" w:rsidP="00DC0DBD">
      <w:pPr>
        <w:rPr>
          <w:b/>
          <w:bCs/>
          <w:i/>
          <w:iCs/>
          <w:color w:val="000000" w:themeColor="text1"/>
          <w:lang w:eastAsia="ko-KR"/>
        </w:rPr>
      </w:pPr>
    </w:p>
    <w:p w:rsidR="00DC0DBD" w:rsidRPr="005263D6" w:rsidRDefault="00DC0DBD" w:rsidP="00DC0DBD">
      <w:pPr>
        <w:rPr>
          <w:color w:val="000000" w:themeColor="text1"/>
        </w:rPr>
      </w:pPr>
      <w:r w:rsidRPr="005263D6">
        <w:rPr>
          <w:b/>
          <w:bCs/>
          <w:i/>
          <w:iCs/>
          <w:color w:val="000000" w:themeColor="text1"/>
          <w:lang w:eastAsia="ko-KR"/>
        </w:rPr>
        <w:t xml:space="preserve">Editing instructions formatted like this are intended to be copied into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Editing instructions preceded by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are instructions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to modify or insert material in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As a result of adopting the changes,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will execute the instructions rather than copy them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w:t>
      </w:r>
    </w:p>
    <w:p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rsidTr="001F6E64">
        <w:trPr>
          <w:trHeight w:val="340"/>
        </w:trPr>
        <w:tc>
          <w:tcPr>
            <w:tcW w:w="636"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rsidR="00CF75E3" w:rsidRPr="00677427" w:rsidRDefault="00CF75E3" w:rsidP="00351A7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rsidTr="001F6E64">
        <w:trPr>
          <w:trHeight w:val="914"/>
        </w:trPr>
        <w:tc>
          <w:tcPr>
            <w:tcW w:w="636" w:type="dxa"/>
          </w:tcPr>
          <w:p w:rsidR="00CF75E3" w:rsidRPr="008B46F3" w:rsidRDefault="00DF1C9E" w:rsidP="00351A79">
            <w:pPr>
              <w:autoSpaceDE w:val="0"/>
              <w:autoSpaceDN w:val="0"/>
              <w:adjustRightInd w:val="0"/>
              <w:rPr>
                <w:rFonts w:ascii="Calibri" w:hAnsi="Calibri" w:cs="Arial"/>
                <w:sz w:val="18"/>
                <w:szCs w:val="18"/>
              </w:rPr>
            </w:pPr>
            <w:r>
              <w:rPr>
                <w:rFonts w:ascii="Calibri" w:hAnsi="Calibri" w:cs="Arial"/>
                <w:sz w:val="18"/>
                <w:szCs w:val="18"/>
              </w:rPr>
              <w:t>2162</w:t>
            </w:r>
          </w:p>
        </w:tc>
        <w:tc>
          <w:tcPr>
            <w:tcW w:w="635" w:type="dxa"/>
          </w:tcPr>
          <w:p w:rsidR="00CF75E3" w:rsidRPr="008B46F3" w:rsidRDefault="00CF75E3" w:rsidP="00DF1C9E">
            <w:pPr>
              <w:autoSpaceDE w:val="0"/>
              <w:autoSpaceDN w:val="0"/>
              <w:adjustRightInd w:val="0"/>
              <w:rPr>
                <w:rFonts w:ascii="Calibri" w:hAnsi="Calibri" w:cs="Arial"/>
                <w:sz w:val="18"/>
                <w:szCs w:val="18"/>
              </w:rPr>
            </w:pPr>
            <w:r w:rsidRPr="009936DA">
              <w:rPr>
                <w:rFonts w:ascii="Calibri" w:hAnsi="Calibri" w:cs="Arial"/>
                <w:sz w:val="18"/>
                <w:szCs w:val="18"/>
              </w:rPr>
              <w:t>5</w:t>
            </w:r>
            <w:r w:rsidR="00DF1C9E">
              <w:rPr>
                <w:rFonts w:ascii="Calibri" w:hAnsi="Calibri" w:cs="Arial"/>
                <w:sz w:val="18"/>
                <w:szCs w:val="18"/>
              </w:rPr>
              <w:t>8</w:t>
            </w:r>
            <w:r w:rsidRPr="009936DA">
              <w:rPr>
                <w:rFonts w:ascii="Calibri" w:hAnsi="Calibri" w:cs="Arial"/>
                <w:sz w:val="18"/>
                <w:szCs w:val="18"/>
              </w:rPr>
              <w:t>.</w:t>
            </w:r>
            <w:r>
              <w:rPr>
                <w:rFonts w:ascii="Calibri" w:hAnsi="Calibri" w:cs="Arial"/>
                <w:sz w:val="18"/>
                <w:szCs w:val="18"/>
              </w:rPr>
              <w:t>3</w:t>
            </w:r>
            <w:r w:rsidR="00DF1C9E">
              <w:rPr>
                <w:rFonts w:ascii="Calibri" w:hAnsi="Calibri" w:cs="Arial"/>
                <w:sz w:val="18"/>
                <w:szCs w:val="18"/>
              </w:rPr>
              <w:t>8</w:t>
            </w:r>
          </w:p>
        </w:tc>
        <w:tc>
          <w:tcPr>
            <w:tcW w:w="793" w:type="dxa"/>
          </w:tcPr>
          <w:p w:rsidR="00CF75E3" w:rsidRPr="008B46F3" w:rsidRDefault="00DF1C9E" w:rsidP="00351A79">
            <w:pPr>
              <w:autoSpaceDE w:val="0"/>
              <w:autoSpaceDN w:val="0"/>
              <w:adjustRightInd w:val="0"/>
              <w:rPr>
                <w:rFonts w:ascii="Calibri" w:hAnsi="Calibri" w:cs="Arial"/>
                <w:sz w:val="18"/>
                <w:szCs w:val="18"/>
              </w:rPr>
            </w:pPr>
            <w:r w:rsidRPr="00DF1C9E">
              <w:rPr>
                <w:rFonts w:ascii="Calibri" w:hAnsi="Calibri" w:cs="Arial"/>
                <w:sz w:val="18"/>
                <w:szCs w:val="18"/>
              </w:rPr>
              <w:t>9.10.3.2</w:t>
            </w:r>
          </w:p>
        </w:tc>
        <w:tc>
          <w:tcPr>
            <w:tcW w:w="2640" w:type="dxa"/>
          </w:tcPr>
          <w:p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 xml:space="preserve">When dot11MultiBSSIDImplemented is true, in ID field of FL WUR Wake-up frame, the transmitter ID is contained to indicates all WUR STAs that are associated with the AP corresponding to the transmitted BSSID and the </w:t>
            </w:r>
            <w:proofErr w:type="spellStart"/>
            <w:r w:rsidRPr="00DF1C9E">
              <w:rPr>
                <w:rFonts w:ascii="Calibri" w:hAnsi="Calibri" w:cs="Arial"/>
                <w:sz w:val="18"/>
                <w:szCs w:val="18"/>
              </w:rPr>
              <w:t>nontransmitter</w:t>
            </w:r>
            <w:proofErr w:type="spellEnd"/>
            <w:r w:rsidRPr="00DF1C9E">
              <w:rPr>
                <w:rFonts w:ascii="Calibri" w:hAnsi="Calibri" w:cs="Arial"/>
                <w:sz w:val="18"/>
                <w:szCs w:val="18"/>
              </w:rPr>
              <w:t xml:space="preserve"> ID is contained to indicates all WUR STAs that are associated with the AP corresponding to the </w:t>
            </w:r>
            <w:proofErr w:type="spellStart"/>
            <w:r w:rsidRPr="00DF1C9E">
              <w:rPr>
                <w:rFonts w:ascii="Calibri" w:hAnsi="Calibri" w:cs="Arial"/>
                <w:sz w:val="18"/>
                <w:szCs w:val="18"/>
              </w:rPr>
              <w:t>nontransmitted</w:t>
            </w:r>
            <w:proofErr w:type="spellEnd"/>
            <w:r w:rsidRPr="00DF1C9E">
              <w:rPr>
                <w:rFonts w:ascii="Calibri" w:hAnsi="Calibri" w:cs="Arial"/>
                <w:sz w:val="18"/>
                <w:szCs w:val="18"/>
              </w:rPr>
              <w:t xml:space="preserve"> BSSID. When AP wants to wake up all WUR STAs that are associated with transmitted BSS as well as all WUR STAs that are associated with </w:t>
            </w:r>
            <w:proofErr w:type="spellStart"/>
            <w:r w:rsidRPr="00DF1C9E">
              <w:rPr>
                <w:rFonts w:ascii="Calibri" w:hAnsi="Calibri" w:cs="Arial"/>
                <w:sz w:val="18"/>
                <w:szCs w:val="18"/>
              </w:rPr>
              <w:t>nontransmitted</w:t>
            </w:r>
            <w:proofErr w:type="spellEnd"/>
            <w:r w:rsidRPr="00DF1C9E">
              <w:rPr>
                <w:rFonts w:ascii="Calibri" w:hAnsi="Calibri" w:cs="Arial"/>
                <w:sz w:val="18"/>
                <w:szCs w:val="18"/>
              </w:rPr>
              <w:t xml:space="preserve"> BSSs (i.e., all WUR STA associated with all its BSS), AP should send different WUR Wake-up frame on each BSS. We can simply solve it by defining </w:t>
            </w:r>
            <w:proofErr w:type="gramStart"/>
            <w:r w:rsidRPr="00DF1C9E">
              <w:rPr>
                <w:rFonts w:ascii="Calibri" w:hAnsi="Calibri" w:cs="Arial"/>
                <w:sz w:val="18"/>
                <w:szCs w:val="18"/>
              </w:rPr>
              <w:t>a</w:t>
            </w:r>
            <w:proofErr w:type="gramEnd"/>
            <w:r w:rsidRPr="00DF1C9E">
              <w:rPr>
                <w:rFonts w:ascii="Calibri" w:hAnsi="Calibri" w:cs="Arial"/>
                <w:sz w:val="18"/>
                <w:szCs w:val="18"/>
              </w:rPr>
              <w:t xml:space="preserve"> ID (e.g., transmitter ID -1) to indicates all WUR STAs on all its BSSs for an AP with dot11MultiBSSIDImplemented equal to true. This is similar to approach at STA_ID_LIST of 11ax (26.11.1 STA_ID_LIST).</w:t>
            </w:r>
          </w:p>
        </w:tc>
        <w:tc>
          <w:tcPr>
            <w:tcW w:w="2410" w:type="dxa"/>
          </w:tcPr>
          <w:p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Define the new ID (e.g., transmitter ID - 1) to indicates all WUR STAs on all its BSSs for an AP with dot11MultiBSSIDImplemented equal to true and describe the texts related to the wake up operation.</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DF1C9E" w:rsidRDefault="00DF1C9E" w:rsidP="00DF1C9E">
            <w:pPr>
              <w:autoSpaceDE w:val="0"/>
              <w:autoSpaceDN w:val="0"/>
              <w:adjustRightInd w:val="0"/>
              <w:rPr>
                <w:rFonts w:ascii="Calibri" w:hAnsi="Calibri" w:cs="Arial"/>
                <w:sz w:val="18"/>
                <w:szCs w:val="18"/>
                <w:lang w:eastAsia="ko-KR"/>
              </w:rPr>
            </w:pPr>
            <w:r>
              <w:rPr>
                <w:rFonts w:ascii="Calibri" w:hAnsi="Calibri" w:cs="Arial"/>
                <w:sz w:val="18"/>
                <w:szCs w:val="18"/>
              </w:rPr>
              <w:t>A rule to indicate</w:t>
            </w:r>
            <w:r w:rsidRPr="00DF1C9E">
              <w:rPr>
                <w:rFonts w:ascii="Calibri" w:hAnsi="Calibri" w:cs="Arial"/>
                <w:sz w:val="18"/>
                <w:szCs w:val="18"/>
              </w:rPr>
              <w:t xml:space="preserve"> all WUR STAs on all its BSSs for an AP with dot11MultiBSSIDImplemented </w:t>
            </w:r>
            <w:r>
              <w:rPr>
                <w:rFonts w:ascii="Calibri" w:hAnsi="Calibri" w:cs="Arial"/>
                <w:sz w:val="18"/>
                <w:szCs w:val="18"/>
              </w:rPr>
              <w:t xml:space="preserve">should be </w:t>
            </w:r>
            <w:r>
              <w:rPr>
                <w:rFonts w:ascii="Calibri" w:hAnsi="Calibri" w:cs="Arial" w:hint="eastAsia"/>
                <w:sz w:val="18"/>
                <w:szCs w:val="18"/>
                <w:lang w:eastAsia="ko-KR"/>
              </w:rPr>
              <w:t>defined</w:t>
            </w:r>
            <w:r w:rsidR="00DD3E87">
              <w:rPr>
                <w:rFonts w:ascii="Calibri" w:hAnsi="Calibri" w:cs="Arial"/>
                <w:sz w:val="18"/>
                <w:szCs w:val="18"/>
                <w:lang w:eastAsia="ko-KR"/>
              </w:rPr>
              <w:t xml:space="preserve"> for more efficient WUR frame transmission</w:t>
            </w:r>
            <w:r w:rsidR="00B92DA6">
              <w:rPr>
                <w:rFonts w:ascii="Calibri" w:hAnsi="Calibri" w:cs="Arial"/>
                <w:sz w:val="18"/>
                <w:szCs w:val="18"/>
                <w:lang w:eastAsia="ko-KR"/>
              </w:rPr>
              <w:t>, esp</w:t>
            </w:r>
            <w:r w:rsidR="004C05ED">
              <w:rPr>
                <w:rFonts w:ascii="Calibri" w:hAnsi="Calibri" w:cs="Arial"/>
                <w:sz w:val="18"/>
                <w:szCs w:val="18"/>
                <w:lang w:eastAsia="ko-KR"/>
              </w:rPr>
              <w:t>ecially in dense WLAN network,</w:t>
            </w:r>
            <w:r w:rsidR="00B92DA6">
              <w:rPr>
                <w:rFonts w:ascii="Calibri" w:hAnsi="Calibri" w:cs="Arial"/>
                <w:sz w:val="18"/>
                <w:szCs w:val="18"/>
                <w:lang w:eastAsia="ko-KR"/>
              </w:rPr>
              <w:t xml:space="preserve"> which </w:t>
            </w:r>
            <w:r w:rsidR="004C05ED">
              <w:rPr>
                <w:rFonts w:ascii="Calibri" w:hAnsi="Calibri" w:cs="Arial"/>
                <w:sz w:val="18"/>
                <w:szCs w:val="18"/>
                <w:lang w:eastAsia="ko-KR"/>
              </w:rPr>
              <w:t xml:space="preserve">can </w:t>
            </w:r>
            <w:r w:rsidR="00355528">
              <w:rPr>
                <w:rFonts w:ascii="Calibri" w:hAnsi="Calibri" w:cs="Arial"/>
                <w:sz w:val="18"/>
                <w:szCs w:val="18"/>
                <w:lang w:eastAsia="ko-KR"/>
              </w:rPr>
              <w:t>reduce th</w:t>
            </w:r>
            <w:bookmarkStart w:id="0" w:name="_GoBack"/>
            <w:bookmarkEnd w:id="0"/>
            <w:r w:rsidR="00355528">
              <w:rPr>
                <w:rFonts w:ascii="Calibri" w:hAnsi="Calibri" w:cs="Arial"/>
                <w:sz w:val="18"/>
                <w:szCs w:val="18"/>
                <w:lang w:eastAsia="ko-KR"/>
              </w:rPr>
              <w:t>e duplicated transmissions of</w:t>
            </w:r>
            <w:r w:rsidR="00B92DA6">
              <w:rPr>
                <w:rFonts w:ascii="Calibri" w:hAnsi="Calibri" w:cs="Arial"/>
                <w:sz w:val="18"/>
                <w:szCs w:val="18"/>
                <w:lang w:eastAsia="ko-KR"/>
              </w:rPr>
              <w:t xml:space="preserve"> the broadcast Wake-Up frames</w:t>
            </w:r>
            <w:r w:rsidR="00355528">
              <w:rPr>
                <w:rFonts w:ascii="Calibri" w:hAnsi="Calibri" w:cs="Arial"/>
                <w:sz w:val="18"/>
                <w:szCs w:val="18"/>
                <w:lang w:eastAsia="ko-KR"/>
              </w:rPr>
              <w:t xml:space="preserve"> </w:t>
            </w:r>
            <w:r w:rsidR="004C05ED">
              <w:rPr>
                <w:rFonts w:ascii="Calibri" w:hAnsi="Calibri" w:cs="Arial"/>
                <w:sz w:val="18"/>
                <w:szCs w:val="18"/>
                <w:lang w:eastAsia="ko-KR"/>
              </w:rPr>
              <w:t>that</w:t>
            </w:r>
            <w:r w:rsidR="00355528">
              <w:rPr>
                <w:rFonts w:ascii="Calibri" w:hAnsi="Calibri" w:cs="Arial"/>
                <w:sz w:val="18"/>
                <w:szCs w:val="18"/>
                <w:lang w:eastAsia="ko-KR"/>
              </w:rPr>
              <w:t xml:space="preserve"> are sent by using lowest data rate</w:t>
            </w:r>
            <w:r>
              <w:rPr>
                <w:rFonts w:ascii="Calibri" w:hAnsi="Calibri" w:cs="Arial" w:hint="eastAsia"/>
                <w:sz w:val="18"/>
                <w:szCs w:val="18"/>
                <w:lang w:eastAsia="ko-KR"/>
              </w:rPr>
              <w:t xml:space="preserve">. </w:t>
            </w:r>
          </w:p>
          <w:p w:rsidR="00DF1C9E" w:rsidRPr="004C05ED" w:rsidRDefault="00DF1C9E" w:rsidP="00DF1C9E">
            <w:pPr>
              <w:autoSpaceDE w:val="0"/>
              <w:autoSpaceDN w:val="0"/>
              <w:adjustRightInd w:val="0"/>
              <w:rPr>
                <w:rFonts w:ascii="Calibri" w:hAnsi="Calibri" w:cs="Arial"/>
                <w:sz w:val="18"/>
                <w:szCs w:val="18"/>
                <w:lang w:eastAsia="ko-KR"/>
              </w:rPr>
            </w:pPr>
          </w:p>
          <w:p w:rsidR="00CF75E3" w:rsidRPr="00DF1C9E" w:rsidRDefault="001F6E64" w:rsidP="00DF1C9E">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w:t>
            </w:r>
            <w:r w:rsidR="00DF1C9E">
              <w:rPr>
                <w:rFonts w:ascii="Calibri" w:hAnsi="Calibri" w:cs="Calibri"/>
                <w:sz w:val="18"/>
                <w:szCs w:val="18"/>
              </w:rPr>
              <w:t>9</w:t>
            </w:r>
            <w:r w:rsidRPr="00F83F21">
              <w:rPr>
                <w:rFonts w:ascii="Calibri" w:hAnsi="Calibri" w:cs="Calibri"/>
                <w:sz w:val="18"/>
                <w:szCs w:val="18"/>
              </w:rPr>
              <w:t>/</w:t>
            </w:r>
            <w:r w:rsidR="00DF1C9E">
              <w:rPr>
                <w:rFonts w:ascii="Calibri" w:hAnsi="Calibri" w:cs="Calibri"/>
                <w:sz w:val="18"/>
                <w:szCs w:val="18"/>
              </w:rPr>
              <w:t>xxxx</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DF1C9E">
              <w:rPr>
                <w:rFonts w:ascii="Calibri" w:hAnsi="Calibri" w:cs="Calibri"/>
                <w:sz w:val="18"/>
                <w:szCs w:val="18"/>
              </w:rPr>
              <w:t>2162</w:t>
            </w:r>
            <w:r w:rsidRPr="006E5B6A">
              <w:rPr>
                <w:rFonts w:ascii="Calibri" w:hAnsi="Calibri" w:cs="Calibri"/>
                <w:sz w:val="18"/>
                <w:szCs w:val="18"/>
              </w:rPr>
              <w:t>.</w:t>
            </w:r>
          </w:p>
        </w:tc>
      </w:tr>
    </w:tbl>
    <w:p w:rsidR="00A73CF7" w:rsidRPr="00CF75E3" w:rsidRDefault="00A73CF7" w:rsidP="00DC0DBD">
      <w:pPr>
        <w:rPr>
          <w:rFonts w:eastAsia="Times New Roman"/>
          <w:b/>
          <w:i/>
          <w:color w:val="000000" w:themeColor="text1"/>
          <w:sz w:val="20"/>
          <w:highlight w:val="yellow"/>
        </w:rPr>
      </w:pPr>
    </w:p>
    <w:p w:rsidR="00CF75E3" w:rsidRDefault="00CF75E3" w:rsidP="00DC0DBD">
      <w:pPr>
        <w:rPr>
          <w:rFonts w:eastAsia="Times New Roman"/>
          <w:b/>
          <w:i/>
          <w:color w:val="000000" w:themeColor="text1"/>
          <w:sz w:val="20"/>
          <w:highlight w:val="yellow"/>
          <w:lang w:val="en-US"/>
        </w:rPr>
      </w:pPr>
    </w:p>
    <w:p w:rsidR="00DD3E87" w:rsidRDefault="00DD3E87" w:rsidP="00DC0DBD">
      <w:pPr>
        <w:rPr>
          <w:rFonts w:eastAsia="Times New Roman"/>
          <w:b/>
          <w:i/>
          <w:color w:val="000000" w:themeColor="text1"/>
          <w:sz w:val="20"/>
          <w:highlight w:val="yellow"/>
          <w:lang w:val="en-US"/>
        </w:rPr>
      </w:pPr>
    </w:p>
    <w:p w:rsidR="00DD3E87" w:rsidRDefault="00DD3E87" w:rsidP="00DC0DBD">
      <w:pPr>
        <w:rPr>
          <w:rFonts w:eastAsia="Times New Roman"/>
          <w:b/>
          <w:i/>
          <w:color w:val="000000" w:themeColor="text1"/>
          <w:sz w:val="20"/>
          <w:highlight w:val="yellow"/>
          <w:lang w:val="en-US"/>
        </w:rPr>
      </w:pPr>
    </w:p>
    <w:p w:rsidR="00783094" w:rsidRDefault="00783094" w:rsidP="00DC0DBD">
      <w:pPr>
        <w:rPr>
          <w:rFonts w:eastAsia="Times New Roman"/>
          <w:b/>
          <w:i/>
          <w:color w:val="000000" w:themeColor="text1"/>
          <w:sz w:val="20"/>
          <w:highlight w:val="yellow"/>
          <w:lang w:val="en-US"/>
        </w:rPr>
      </w:pPr>
    </w:p>
    <w:p w:rsidR="00783094" w:rsidRDefault="00783094" w:rsidP="00783094">
      <w:pPr>
        <w:pStyle w:val="SP10245950"/>
        <w:rPr>
          <w:color w:val="000000"/>
        </w:rPr>
      </w:pPr>
    </w:p>
    <w:p w:rsidR="00783094" w:rsidRDefault="00783094" w:rsidP="00783094">
      <w:pPr>
        <w:pStyle w:val="SP10245992"/>
        <w:rPr>
          <w:color w:val="000000"/>
        </w:rPr>
      </w:pPr>
    </w:p>
    <w:p w:rsidR="0000103F" w:rsidRDefault="0000103F">
      <w:pPr>
        <w:spacing w:after="160" w:line="259" w:lineRule="auto"/>
        <w:jc w:val="both"/>
        <w:rPr>
          <w:rFonts w:ascii="Arial" w:eastAsiaTheme="minorEastAsia" w:hAnsi="Arial" w:cs="Arial"/>
          <w:color w:val="000000"/>
          <w:sz w:val="24"/>
          <w:szCs w:val="24"/>
          <w:lang w:val="en-US" w:eastAsia="ko-KR"/>
        </w:rPr>
      </w:pPr>
      <w:r>
        <w:rPr>
          <w:color w:val="000000"/>
        </w:rPr>
        <w:br w:type="page"/>
      </w:r>
    </w:p>
    <w:p w:rsidR="00783094" w:rsidRDefault="00783094" w:rsidP="00783094">
      <w:pPr>
        <w:pStyle w:val="SP10245970"/>
        <w:rPr>
          <w:color w:val="000000"/>
        </w:rPr>
      </w:pPr>
    </w:p>
    <w:p w:rsidR="0000103F" w:rsidRPr="00A73CF7" w:rsidRDefault="0000103F" w:rsidP="0000103F">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w:t>
      </w:r>
      <w:r>
        <w:rPr>
          <w:rFonts w:eastAsia="Times New Roman"/>
          <w:b/>
          <w:i/>
          <w:color w:val="000000" w:themeColor="text1"/>
          <w:sz w:val="20"/>
          <w:highlight w:val="yellow"/>
          <w:lang w:val="en-US"/>
        </w:rPr>
        <w:t>table 9-540b</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Identifiers of WUR frames</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rsidR="00783094" w:rsidRPr="0000103F" w:rsidRDefault="00783094" w:rsidP="00783094">
      <w:pPr>
        <w:pStyle w:val="SP10245970"/>
        <w:rPr>
          <w:color w:val="000000"/>
        </w:rPr>
      </w:pPr>
    </w:p>
    <w:p w:rsidR="00783094" w:rsidRDefault="00783094" w:rsidP="00783094">
      <w:pPr>
        <w:rPr>
          <w:rStyle w:val="SC10204816"/>
        </w:rPr>
      </w:pPr>
      <w:r>
        <w:rPr>
          <w:rStyle w:val="SC10204816"/>
        </w:rPr>
        <w:t>Table 9-540b—Identifiers of WUR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3699"/>
      </w:tblGrid>
      <w:tr w:rsidR="00783094" w:rsidTr="00783094">
        <w:trPr>
          <w:trHeight w:val="378"/>
        </w:trPr>
        <w:tc>
          <w:tcPr>
            <w:tcW w:w="3699" w:type="dxa"/>
          </w:tcPr>
          <w:p w:rsidR="00783094" w:rsidRDefault="00783094">
            <w:pPr>
              <w:pStyle w:val="SP10245929"/>
              <w:jc w:val="center"/>
              <w:rPr>
                <w:color w:val="000000"/>
                <w:sz w:val="18"/>
                <w:szCs w:val="18"/>
              </w:rPr>
            </w:pPr>
            <w:r>
              <w:rPr>
                <w:rStyle w:val="SC10204817"/>
              </w:rPr>
              <w:t xml:space="preserve">ID field </w:t>
            </w:r>
          </w:p>
        </w:tc>
        <w:tc>
          <w:tcPr>
            <w:tcW w:w="3699" w:type="dxa"/>
          </w:tcPr>
          <w:p w:rsidR="00783094" w:rsidRDefault="00783094">
            <w:pPr>
              <w:pStyle w:val="SP10245929"/>
              <w:jc w:val="center"/>
              <w:rPr>
                <w:color w:val="000000"/>
                <w:sz w:val="18"/>
                <w:szCs w:val="18"/>
              </w:rPr>
            </w:pPr>
            <w:r>
              <w:rPr>
                <w:rStyle w:val="SC10204817"/>
              </w:rPr>
              <w:t>Identifier description</w:t>
            </w:r>
          </w:p>
        </w:tc>
      </w:tr>
      <w:tr w:rsidR="00783094"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rsidTr="00783094">
              <w:trPr>
                <w:trHeight w:val="543"/>
              </w:trPr>
              <w:tc>
                <w:tcPr>
                  <w:tcW w:w="3699" w:type="dxa"/>
                </w:tcPr>
                <w:p w:rsidR="00783094" w:rsidRDefault="00783094" w:rsidP="00783094">
                  <w:pPr>
                    <w:pStyle w:val="SP10245929"/>
                    <w:jc w:val="center"/>
                    <w:rPr>
                      <w:color w:val="000000"/>
                      <w:sz w:val="18"/>
                      <w:szCs w:val="18"/>
                    </w:rPr>
                  </w:pPr>
                  <w:r>
                    <w:rPr>
                      <w:rStyle w:val="SC10204817"/>
                    </w:rPr>
                    <w:t>Transmitter ID</w:t>
                  </w:r>
                </w:p>
              </w:tc>
            </w:tr>
          </w:tbl>
          <w:p w:rsidR="00783094" w:rsidRDefault="00783094">
            <w:pPr>
              <w:pStyle w:val="SP10245929"/>
              <w:jc w:val="center"/>
              <w:rPr>
                <w:rStyle w:val="SC10204817"/>
              </w:rPr>
            </w:pPr>
          </w:p>
        </w:tc>
        <w:tc>
          <w:tcPr>
            <w:tcW w:w="3699" w:type="dxa"/>
          </w:tcPr>
          <w:p w:rsidR="00783094" w:rsidRDefault="00783094">
            <w:pPr>
              <w:pStyle w:val="SP10245929"/>
              <w:jc w:val="center"/>
              <w:rPr>
                <w:rStyle w:val="SC10204817"/>
              </w:rPr>
            </w:pPr>
            <w:r>
              <w:rPr>
                <w:sz w:val="18"/>
                <w:szCs w:val="18"/>
              </w:rPr>
              <w:t>Identifier of the transmitting AP (see 30.4.2 (Transmitter ID))</w:t>
            </w:r>
          </w:p>
        </w:tc>
      </w:tr>
      <w:tr w:rsidR="00783094"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rsidTr="00783094">
              <w:trPr>
                <w:trHeight w:val="559"/>
              </w:trPr>
              <w:tc>
                <w:tcPr>
                  <w:tcW w:w="3699" w:type="dxa"/>
                </w:tcPr>
                <w:p w:rsidR="00783094" w:rsidRDefault="00783094" w:rsidP="00783094">
                  <w:pPr>
                    <w:pStyle w:val="SP10245929"/>
                    <w:jc w:val="center"/>
                    <w:rPr>
                      <w:color w:val="000000"/>
                      <w:sz w:val="18"/>
                      <w:szCs w:val="18"/>
                    </w:rPr>
                  </w:pPr>
                  <w:proofErr w:type="spellStart"/>
                  <w:r>
                    <w:rPr>
                      <w:rStyle w:val="SC10204817"/>
                    </w:rPr>
                    <w:t>Nontransmitter</w:t>
                  </w:r>
                  <w:proofErr w:type="spellEnd"/>
                  <w:r>
                    <w:rPr>
                      <w:rStyle w:val="SC10204817"/>
                    </w:rPr>
                    <w:t xml:space="preserve"> ID</w:t>
                  </w:r>
                </w:p>
              </w:tc>
            </w:tr>
          </w:tbl>
          <w:p w:rsidR="00783094" w:rsidRDefault="00783094">
            <w:pPr>
              <w:pStyle w:val="SP10245929"/>
              <w:jc w:val="center"/>
              <w:rPr>
                <w:rStyle w:val="SC10204817"/>
              </w:rPr>
            </w:pPr>
          </w:p>
        </w:tc>
        <w:tc>
          <w:tcPr>
            <w:tcW w:w="3699" w:type="dxa"/>
          </w:tcPr>
          <w:p w:rsidR="00783094" w:rsidRDefault="00783094">
            <w:pPr>
              <w:pStyle w:val="SP10245929"/>
              <w:jc w:val="center"/>
              <w:rPr>
                <w:rStyle w:val="SC10204817"/>
              </w:rPr>
            </w:pPr>
            <w:r>
              <w:rPr>
                <w:sz w:val="18"/>
                <w:szCs w:val="18"/>
              </w:rPr>
              <w:t xml:space="preserve">Identifier of the </w:t>
            </w:r>
            <w:proofErr w:type="spellStart"/>
            <w:r>
              <w:rPr>
                <w:sz w:val="18"/>
                <w:szCs w:val="18"/>
              </w:rPr>
              <w:t>nontransmitted</w:t>
            </w:r>
            <w:proofErr w:type="spellEnd"/>
            <w:r>
              <w:rPr>
                <w:sz w:val="18"/>
                <w:szCs w:val="18"/>
              </w:rPr>
              <w:t xml:space="preserve"> BSSID (see 30.4.5 (</w:t>
            </w:r>
            <w:proofErr w:type="spellStart"/>
            <w:r>
              <w:rPr>
                <w:sz w:val="18"/>
                <w:szCs w:val="18"/>
              </w:rPr>
              <w:t>Nontransmitter</w:t>
            </w:r>
            <w:proofErr w:type="spellEnd"/>
            <w:r>
              <w:rPr>
                <w:sz w:val="18"/>
                <w:szCs w:val="18"/>
              </w:rPr>
              <w:t xml:space="preserve"> ID))</w:t>
            </w:r>
          </w:p>
        </w:tc>
      </w:tr>
      <w:tr w:rsidR="0000103F"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rsidRPr="0000103F" w:rsidTr="00947091">
              <w:trPr>
                <w:trHeight w:val="559"/>
              </w:trPr>
              <w:tc>
                <w:tcPr>
                  <w:tcW w:w="3699" w:type="dxa"/>
                </w:tcPr>
                <w:p w:rsidR="0000103F" w:rsidRPr="0000103F" w:rsidRDefault="0000103F" w:rsidP="0000103F">
                  <w:pPr>
                    <w:pStyle w:val="SP10245929"/>
                    <w:jc w:val="center"/>
                    <w:rPr>
                      <w:color w:val="0070C0"/>
                      <w:sz w:val="18"/>
                      <w:szCs w:val="18"/>
                      <w:u w:val="single"/>
                    </w:rPr>
                  </w:pPr>
                  <w:r w:rsidRPr="0000103F">
                    <w:rPr>
                      <w:rStyle w:val="SC10204817"/>
                      <w:color w:val="0070C0"/>
                      <w:u w:val="single"/>
                    </w:rPr>
                    <w:t>All-BSSs ID</w:t>
                  </w:r>
                </w:p>
              </w:tc>
            </w:tr>
          </w:tbl>
          <w:p w:rsidR="0000103F" w:rsidRPr="0000103F" w:rsidRDefault="0000103F" w:rsidP="0000103F">
            <w:pPr>
              <w:pStyle w:val="SP10245929"/>
              <w:jc w:val="center"/>
              <w:rPr>
                <w:rStyle w:val="SC10204817"/>
                <w:color w:val="0070C0"/>
                <w:u w:val="single"/>
              </w:rPr>
            </w:pPr>
          </w:p>
        </w:tc>
        <w:tc>
          <w:tcPr>
            <w:tcW w:w="3699" w:type="dxa"/>
          </w:tcPr>
          <w:p w:rsidR="0000103F" w:rsidRPr="0000103F" w:rsidRDefault="0000103F" w:rsidP="0000103F">
            <w:pPr>
              <w:pStyle w:val="SP10245929"/>
              <w:jc w:val="center"/>
              <w:rPr>
                <w:rStyle w:val="SC10204817"/>
                <w:color w:val="0070C0"/>
                <w:u w:val="single"/>
              </w:rPr>
            </w:pPr>
            <w:r w:rsidRPr="0000103F">
              <w:rPr>
                <w:color w:val="0070C0"/>
                <w:sz w:val="18"/>
                <w:szCs w:val="18"/>
                <w:u w:val="single"/>
              </w:rPr>
              <w:t>Identifier of indicating all BSSs within the multiple BSSID set (see 30.4.6 (All-BSSs ID))</w:t>
            </w:r>
          </w:p>
        </w:tc>
      </w:tr>
      <w:tr w:rsidR="0000103F"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rsidTr="00783094">
              <w:trPr>
                <w:trHeight w:val="543"/>
              </w:trPr>
              <w:tc>
                <w:tcPr>
                  <w:tcW w:w="3699" w:type="dxa"/>
                </w:tcPr>
                <w:p w:rsidR="0000103F" w:rsidRDefault="0000103F" w:rsidP="0000103F">
                  <w:pPr>
                    <w:pStyle w:val="SP10245929"/>
                    <w:jc w:val="center"/>
                    <w:rPr>
                      <w:color w:val="000000"/>
                      <w:sz w:val="18"/>
                      <w:szCs w:val="18"/>
                    </w:rPr>
                  </w:pPr>
                  <w:r>
                    <w:rPr>
                      <w:rStyle w:val="SC10204817"/>
                    </w:rPr>
                    <w:t>WUR Group ID</w:t>
                  </w:r>
                </w:p>
              </w:tc>
            </w:tr>
          </w:tbl>
          <w:p w:rsidR="0000103F" w:rsidRDefault="0000103F" w:rsidP="0000103F">
            <w:pPr>
              <w:pStyle w:val="SP10245929"/>
              <w:jc w:val="center"/>
              <w:rPr>
                <w:rStyle w:val="SC10204817"/>
              </w:rPr>
            </w:pPr>
          </w:p>
        </w:tc>
        <w:tc>
          <w:tcPr>
            <w:tcW w:w="3699" w:type="dxa"/>
          </w:tcPr>
          <w:p w:rsidR="0000103F" w:rsidRDefault="0000103F" w:rsidP="0000103F">
            <w:pPr>
              <w:pStyle w:val="SP10245929"/>
              <w:jc w:val="center"/>
              <w:rPr>
                <w:rStyle w:val="SC10204817"/>
              </w:rPr>
            </w:pPr>
            <w:r>
              <w:rPr>
                <w:sz w:val="18"/>
                <w:szCs w:val="18"/>
              </w:rPr>
              <w:t>Identifier of a group of receiving WUR non- AP STAs (see 30.4.3 (WUR Group ID))</w:t>
            </w:r>
          </w:p>
        </w:tc>
      </w:tr>
      <w:tr w:rsidR="0000103F"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rsidTr="00783094">
              <w:trPr>
                <w:trHeight w:val="576"/>
              </w:trPr>
              <w:tc>
                <w:tcPr>
                  <w:tcW w:w="3699" w:type="dxa"/>
                </w:tcPr>
                <w:p w:rsidR="0000103F" w:rsidRDefault="0000103F" w:rsidP="0000103F">
                  <w:pPr>
                    <w:pStyle w:val="SP10245929"/>
                    <w:jc w:val="center"/>
                    <w:rPr>
                      <w:color w:val="000000"/>
                      <w:sz w:val="18"/>
                      <w:szCs w:val="18"/>
                    </w:rPr>
                  </w:pPr>
                  <w:r>
                    <w:rPr>
                      <w:rStyle w:val="SC10204817"/>
                    </w:rPr>
                    <w:t>WUR ID</w:t>
                  </w:r>
                </w:p>
              </w:tc>
            </w:tr>
          </w:tbl>
          <w:p w:rsidR="0000103F" w:rsidRDefault="0000103F" w:rsidP="0000103F">
            <w:pPr>
              <w:pStyle w:val="SP10245929"/>
              <w:jc w:val="center"/>
              <w:rPr>
                <w:rStyle w:val="SC10204817"/>
              </w:rPr>
            </w:pPr>
          </w:p>
        </w:tc>
        <w:tc>
          <w:tcPr>
            <w:tcW w:w="3699" w:type="dxa"/>
          </w:tcPr>
          <w:p w:rsidR="0000103F" w:rsidRDefault="0000103F" w:rsidP="0000103F">
            <w:pPr>
              <w:pStyle w:val="SP10245929"/>
              <w:jc w:val="center"/>
              <w:rPr>
                <w:rStyle w:val="SC10204817"/>
              </w:rPr>
            </w:pPr>
            <w:r>
              <w:rPr>
                <w:sz w:val="18"/>
                <w:szCs w:val="18"/>
              </w:rPr>
              <w:t>Identifier of an individual receiving WUR non-AP STA (see 30.4.4 (WUR ID))</w:t>
            </w:r>
          </w:p>
        </w:tc>
      </w:tr>
      <w:tr w:rsidR="0000103F"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rsidTr="00783094">
              <w:trPr>
                <w:trHeight w:val="559"/>
              </w:trPr>
              <w:tc>
                <w:tcPr>
                  <w:tcW w:w="3699" w:type="dxa"/>
                </w:tcPr>
                <w:p w:rsidR="0000103F" w:rsidRDefault="0000103F" w:rsidP="0000103F">
                  <w:pPr>
                    <w:pStyle w:val="SP10245929"/>
                    <w:jc w:val="center"/>
                    <w:rPr>
                      <w:color w:val="000000"/>
                      <w:sz w:val="18"/>
                      <w:szCs w:val="18"/>
                    </w:rPr>
                  </w:pPr>
                  <w:r>
                    <w:rPr>
                      <w:rStyle w:val="SC10204817"/>
                    </w:rPr>
                    <w:t xml:space="preserve">OUI1 </w:t>
                  </w:r>
                </w:p>
              </w:tc>
            </w:tr>
          </w:tbl>
          <w:p w:rsidR="0000103F" w:rsidRDefault="0000103F" w:rsidP="0000103F">
            <w:pPr>
              <w:pStyle w:val="SP10245929"/>
              <w:jc w:val="center"/>
              <w:rPr>
                <w:rStyle w:val="SC10204817"/>
              </w:rPr>
            </w:pPr>
          </w:p>
        </w:tc>
        <w:tc>
          <w:tcPr>
            <w:tcW w:w="3699" w:type="dxa"/>
          </w:tcPr>
          <w:p w:rsidR="0000103F" w:rsidRDefault="0000103F" w:rsidP="0000103F">
            <w:pPr>
              <w:pStyle w:val="SP10245929"/>
              <w:jc w:val="center"/>
              <w:rPr>
                <w:rStyle w:val="SC10204817"/>
              </w:rPr>
            </w:pPr>
            <w:r>
              <w:rPr>
                <w:sz w:val="18"/>
                <w:szCs w:val="18"/>
              </w:rPr>
              <w:t>The 12 LSBs of the OUI (see 9.4.1.31 (Organization Identifier field))</w:t>
            </w:r>
          </w:p>
        </w:tc>
      </w:tr>
    </w:tbl>
    <w:p w:rsidR="00783094" w:rsidRDefault="00783094" w:rsidP="00783094">
      <w:pPr>
        <w:rPr>
          <w:rFonts w:eastAsia="Times New Roman"/>
          <w:b/>
          <w:i/>
          <w:color w:val="000000" w:themeColor="text1"/>
          <w:sz w:val="20"/>
          <w:highlight w:val="yellow"/>
          <w:lang w:val="en-US"/>
        </w:rPr>
      </w:pPr>
    </w:p>
    <w:p w:rsidR="00DD3E87" w:rsidRDefault="00DD3E87" w:rsidP="00DD3E87">
      <w:pPr>
        <w:pStyle w:val="SP10245950"/>
        <w:rPr>
          <w:color w:val="000000"/>
        </w:rPr>
      </w:pPr>
    </w:p>
    <w:p w:rsidR="00DD3E87" w:rsidRPr="00A73CF7" w:rsidRDefault="00DD3E87" w:rsidP="00DD3E87">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9.10.3.2</w:t>
      </w:r>
      <w:r w:rsidRPr="00A73CF7">
        <w:rPr>
          <w:rFonts w:eastAsia="Times New Roman"/>
          <w:b/>
          <w:i/>
          <w:color w:val="000000" w:themeColor="text1"/>
          <w:sz w:val="20"/>
          <w:highlight w:val="yellow"/>
          <w:lang w:val="en-US"/>
        </w:rPr>
        <w:t xml:space="preserve"> (WUR </w:t>
      </w:r>
      <w:r>
        <w:rPr>
          <w:rFonts w:eastAsia="Times New Roman"/>
          <w:b/>
          <w:i/>
          <w:color w:val="000000" w:themeColor="text1"/>
          <w:sz w:val="20"/>
          <w:highlight w:val="yellow"/>
          <w:lang w:val="en-US"/>
        </w:rPr>
        <w:t>Wake-up frame format</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rsidR="00DD3E87" w:rsidRPr="00DD3E87" w:rsidRDefault="00DD3E87" w:rsidP="00DD3E87">
      <w:pPr>
        <w:pStyle w:val="SP10245992"/>
        <w:rPr>
          <w:color w:val="000000"/>
        </w:rPr>
      </w:pPr>
    </w:p>
    <w:p w:rsidR="00DD3E87" w:rsidRPr="00DD3E87" w:rsidRDefault="00DD3E87" w:rsidP="00DD3E87">
      <w:pPr>
        <w:pStyle w:val="SP10245970"/>
        <w:rPr>
          <w:color w:val="000000"/>
        </w:rPr>
      </w:pPr>
    </w:p>
    <w:p w:rsidR="00DD3E87" w:rsidRDefault="00DD3E87" w:rsidP="00DD3E87">
      <w:pPr>
        <w:pStyle w:val="SP10245970"/>
        <w:rPr>
          <w:color w:val="000000"/>
          <w:sz w:val="20"/>
          <w:szCs w:val="20"/>
        </w:rPr>
      </w:pPr>
      <w:r>
        <w:rPr>
          <w:rStyle w:val="SC10204816"/>
          <w:b/>
          <w:bCs/>
        </w:rPr>
        <w:t>9.10.3.2 WUR Wake-up frame format</w:t>
      </w:r>
    </w:p>
    <w:p w:rsidR="00DD3E87" w:rsidRPr="00DD3E87" w:rsidRDefault="00DD3E87" w:rsidP="00DD3E87">
      <w:pPr>
        <w:pStyle w:val="T"/>
        <w:rPr>
          <w:w w:val="100"/>
        </w:rPr>
      </w:pPr>
      <w:r w:rsidRPr="00DD3E87">
        <w:rPr>
          <w:w w:val="100"/>
        </w:rPr>
        <w:t>The frame format of the WUR Wake-up frame is as defined in Figure 9-988a (WUR frame format).</w:t>
      </w:r>
    </w:p>
    <w:p w:rsidR="00DD3E87" w:rsidRPr="00DD3E87" w:rsidRDefault="00DD3E87" w:rsidP="00DD3E87">
      <w:pPr>
        <w:pStyle w:val="T"/>
        <w:rPr>
          <w:w w:val="100"/>
        </w:rPr>
      </w:pPr>
      <w:r w:rsidRPr="00DD3E87">
        <w:rPr>
          <w:w w:val="100"/>
        </w:rPr>
        <w:t>The Frame Control field is as defined in 9.10.2.1.1 (Frame Control field), with the Length Present subfield set to 1 if the Frame Body field is present and the Length Present subfield set to 0 otherwise.</w:t>
      </w:r>
    </w:p>
    <w:p w:rsidR="00DD3E87" w:rsidRPr="00DD3E87" w:rsidRDefault="00DD3E87" w:rsidP="00DD3E87">
      <w:pPr>
        <w:pStyle w:val="T"/>
        <w:rPr>
          <w:w w:val="100"/>
        </w:rPr>
      </w:pPr>
    </w:p>
    <w:p w:rsidR="00DD3E87" w:rsidRPr="00DD3E87" w:rsidRDefault="00DD3E87" w:rsidP="00DD3E87">
      <w:pPr>
        <w:pStyle w:val="T"/>
        <w:rPr>
          <w:w w:val="100"/>
        </w:rPr>
      </w:pPr>
      <w:r w:rsidRPr="00DD3E87">
        <w:rPr>
          <w:w w:val="100"/>
        </w:rPr>
        <w:t>The ID field of the FL WUR Wake-up frame contains one of the following:</w:t>
      </w:r>
    </w:p>
    <w:p w:rsidR="00DD3E87" w:rsidRPr="00DD3E87" w:rsidRDefault="00DD3E87" w:rsidP="00DD3E87">
      <w:pPr>
        <w:pStyle w:val="T"/>
        <w:ind w:leftChars="100" w:left="220"/>
        <w:rPr>
          <w:w w:val="100"/>
        </w:rPr>
      </w:pPr>
      <w:r w:rsidRPr="00DD3E87">
        <w:rPr>
          <w:w w:val="100"/>
        </w:rPr>
        <w:t>—The WUR ID when the frame is individually addressed to a WUR non-AP STA</w:t>
      </w:r>
    </w:p>
    <w:p w:rsidR="00DD3E87" w:rsidRPr="00DD3E87" w:rsidRDefault="00DD3E87" w:rsidP="00DD3E87">
      <w:pPr>
        <w:pStyle w:val="T"/>
        <w:ind w:leftChars="100" w:left="220"/>
        <w:rPr>
          <w:w w:val="100"/>
        </w:rPr>
      </w:pPr>
      <w:r w:rsidRPr="00DD3E87">
        <w:rPr>
          <w:w w:val="100"/>
        </w:rPr>
        <w:t>—The WUR group ID when the frame is group addressed to one or more WUR non-AP STAs</w:t>
      </w:r>
    </w:p>
    <w:p w:rsidR="00DD3E87" w:rsidRPr="00DD3E87" w:rsidRDefault="00DD3E87" w:rsidP="00DD3E87">
      <w:pPr>
        <w:pStyle w:val="T"/>
        <w:ind w:leftChars="100" w:left="220"/>
        <w:rPr>
          <w:w w:val="100"/>
        </w:rPr>
      </w:pPr>
      <w:r w:rsidRPr="00DD3E87">
        <w:rPr>
          <w:w w:val="100"/>
        </w:rPr>
        <w:t>—The transmitter ID when the frame is broadcast addressed to all WUR non-AP STAs that are associ</w:t>
      </w:r>
      <w:r w:rsidRPr="00DD3E87">
        <w:rPr>
          <w:w w:val="100"/>
        </w:rPr>
        <w:softHyphen/>
        <w:t>ated with the WUR AP, with the AP corresponding to the transmitted BSSID when dot11Mul</w:t>
      </w:r>
      <w:r w:rsidRPr="00DD3E87">
        <w:rPr>
          <w:w w:val="100"/>
        </w:rPr>
        <w:softHyphen/>
        <w:t>tiBSSIDImplemented is true</w:t>
      </w:r>
    </w:p>
    <w:p w:rsidR="00DD3E87" w:rsidRPr="00DD3E87" w:rsidRDefault="00DD3E87" w:rsidP="00DD3E87">
      <w:pPr>
        <w:pStyle w:val="T"/>
        <w:ind w:leftChars="100" w:left="220"/>
        <w:rPr>
          <w:w w:val="100"/>
        </w:rPr>
      </w:pPr>
      <w:r w:rsidRPr="00DD3E87">
        <w:rPr>
          <w:w w:val="100"/>
        </w:rPr>
        <w:t xml:space="preserve">—The </w:t>
      </w:r>
      <w:proofErr w:type="spellStart"/>
      <w:r w:rsidRPr="00DD3E87">
        <w:rPr>
          <w:w w:val="100"/>
        </w:rPr>
        <w:t>nontransmitter</w:t>
      </w:r>
      <w:proofErr w:type="spellEnd"/>
      <w:r w:rsidRPr="00DD3E87">
        <w:rPr>
          <w:w w:val="100"/>
        </w:rPr>
        <w:t xml:space="preserve"> ID when the frame is broadcast addressed to all WUR non-AP STAs that are associated with the WUR AP corresponding to that </w:t>
      </w:r>
      <w:proofErr w:type="spellStart"/>
      <w:r w:rsidRPr="00DD3E87">
        <w:rPr>
          <w:w w:val="100"/>
        </w:rPr>
        <w:t>nontransmitted</w:t>
      </w:r>
      <w:proofErr w:type="spellEnd"/>
      <w:r w:rsidRPr="00DD3E87">
        <w:rPr>
          <w:w w:val="100"/>
        </w:rPr>
        <w:t xml:space="preserve"> BSSID when dot11MultiBSSI</w:t>
      </w:r>
      <w:r w:rsidRPr="00DD3E87">
        <w:rPr>
          <w:w w:val="100"/>
        </w:rPr>
        <w:softHyphen/>
        <w:t>DImplemented is true</w:t>
      </w:r>
    </w:p>
    <w:p w:rsidR="00DD3E87" w:rsidRPr="00783094" w:rsidRDefault="00DD3E87" w:rsidP="00DD3E87">
      <w:pPr>
        <w:pStyle w:val="T"/>
        <w:ind w:leftChars="100" w:left="220"/>
        <w:rPr>
          <w:color w:val="0070C0"/>
          <w:w w:val="100"/>
          <w:u w:val="single"/>
        </w:rPr>
      </w:pPr>
      <w:r w:rsidRPr="00783094">
        <w:rPr>
          <w:color w:val="0070C0"/>
          <w:w w:val="100"/>
          <w:u w:val="single"/>
        </w:rPr>
        <w:t xml:space="preserve">—The all-BSSs ID when the frame is broadcast addressed to all WUR non-AP STAs that are associated with </w:t>
      </w:r>
      <w:r w:rsidR="00783094" w:rsidRPr="00783094">
        <w:rPr>
          <w:color w:val="0070C0"/>
          <w:w w:val="100"/>
          <w:u w:val="single"/>
        </w:rPr>
        <w:t>all BSS</w:t>
      </w:r>
      <w:r w:rsidRPr="00783094">
        <w:rPr>
          <w:color w:val="0070C0"/>
          <w:w w:val="100"/>
          <w:u w:val="single"/>
        </w:rPr>
        <w:t xml:space="preserve">s corresponding to </w:t>
      </w:r>
      <w:r w:rsidR="00984C0D" w:rsidRPr="00783094">
        <w:rPr>
          <w:color w:val="0070C0"/>
          <w:w w:val="100"/>
          <w:u w:val="single"/>
        </w:rPr>
        <w:t>all</w:t>
      </w:r>
      <w:r w:rsidRPr="00783094">
        <w:rPr>
          <w:color w:val="0070C0"/>
          <w:w w:val="100"/>
          <w:u w:val="single"/>
        </w:rPr>
        <w:t xml:space="preserve"> BSSID</w:t>
      </w:r>
      <w:r w:rsidR="00984C0D" w:rsidRPr="00783094">
        <w:rPr>
          <w:color w:val="0070C0"/>
          <w:w w:val="100"/>
          <w:u w:val="single"/>
        </w:rPr>
        <w:t>s</w:t>
      </w:r>
      <w:r w:rsidRPr="00783094">
        <w:rPr>
          <w:color w:val="0070C0"/>
          <w:w w:val="100"/>
          <w:u w:val="single"/>
        </w:rPr>
        <w:t xml:space="preserve"> </w:t>
      </w:r>
      <w:r w:rsidR="00783094" w:rsidRPr="00783094">
        <w:rPr>
          <w:color w:val="0070C0"/>
          <w:w w:val="100"/>
          <w:u w:val="single"/>
        </w:rPr>
        <w:t xml:space="preserve">within the multiple BSSID set </w:t>
      </w:r>
      <w:r w:rsidRPr="00783094">
        <w:rPr>
          <w:color w:val="0070C0"/>
          <w:w w:val="100"/>
          <w:u w:val="single"/>
        </w:rPr>
        <w:t>when dot11MultiBSSI</w:t>
      </w:r>
      <w:r w:rsidRPr="00783094">
        <w:rPr>
          <w:color w:val="0070C0"/>
          <w:w w:val="100"/>
          <w:u w:val="single"/>
        </w:rPr>
        <w:softHyphen/>
        <w:t>DImplemented is true</w:t>
      </w:r>
    </w:p>
    <w:p w:rsidR="00783094" w:rsidRPr="00783094" w:rsidRDefault="00783094" w:rsidP="00DD3E87">
      <w:pPr>
        <w:pStyle w:val="T"/>
        <w:ind w:leftChars="100" w:left="220"/>
        <w:rPr>
          <w:color w:val="0070C0"/>
          <w:w w:val="100"/>
        </w:rPr>
      </w:pPr>
      <w:r w:rsidRPr="00783094">
        <w:rPr>
          <w:color w:val="0070C0"/>
          <w:w w:val="100"/>
          <w:u w:val="single"/>
        </w:rPr>
        <w:t>Note – A WUR non-AP STA can be associated with only a BSS among BSSs within the Multiple BSSID set.</w:t>
      </w:r>
    </w:p>
    <w:p w:rsidR="00DD3E87" w:rsidRPr="00DD3E87" w:rsidRDefault="00DD3E87" w:rsidP="00DD3E87">
      <w:pPr>
        <w:pStyle w:val="T"/>
        <w:rPr>
          <w:w w:val="100"/>
        </w:rPr>
      </w:pPr>
      <w:r w:rsidRPr="00DD3E87">
        <w:rPr>
          <w:w w:val="100"/>
        </w:rPr>
        <w:t>The ID field of the VL WUR Wake-up frame contains a WUR group ID (see 30.4.3 (WUR Group ID)).</w:t>
      </w:r>
    </w:p>
    <w:p w:rsidR="00DD3E87" w:rsidRPr="00DD3E87" w:rsidRDefault="00783094" w:rsidP="00DD3E87">
      <w:pPr>
        <w:pStyle w:val="T"/>
        <w:rPr>
          <w:w w:val="100"/>
        </w:rPr>
      </w:pPr>
      <w:r>
        <w:rPr>
          <w:w w:val="100"/>
        </w:rPr>
        <w:t>…</w:t>
      </w:r>
    </w:p>
    <w:p w:rsidR="00CF75E3" w:rsidRDefault="00CF75E3" w:rsidP="00DC0DBD">
      <w:pPr>
        <w:rPr>
          <w:rFonts w:eastAsia="Times New Roman"/>
          <w:b/>
          <w:i/>
          <w:color w:val="000000" w:themeColor="text1"/>
          <w:sz w:val="20"/>
          <w:highlight w:val="yellow"/>
          <w:lang w:val="en-US"/>
        </w:rPr>
      </w:pPr>
    </w:p>
    <w:p w:rsidR="00B92DA6" w:rsidRPr="00A73CF7" w:rsidRDefault="00B92DA6" w:rsidP="00B92DA6">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30.4.1</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General</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rsidR="00B92DA6" w:rsidRPr="00B92DA6" w:rsidRDefault="00B92DA6" w:rsidP="00B92DA6">
      <w:pPr>
        <w:widowControl w:val="0"/>
        <w:autoSpaceDE w:val="0"/>
        <w:autoSpaceDN w:val="0"/>
        <w:adjustRightInd w:val="0"/>
        <w:rPr>
          <w:rFonts w:ascii="Arial" w:eastAsiaTheme="minorEastAsia" w:hAnsi="Arial" w:cs="Arial"/>
          <w:color w:val="000000"/>
          <w:sz w:val="24"/>
          <w:szCs w:val="24"/>
          <w:lang w:val="en-US" w:eastAsia="ko-KR"/>
        </w:rPr>
      </w:pPr>
    </w:p>
    <w:p w:rsidR="00B92DA6" w:rsidRPr="00B92DA6" w:rsidRDefault="00B92DA6" w:rsidP="00B92DA6">
      <w:pPr>
        <w:widowControl w:val="0"/>
        <w:autoSpaceDE w:val="0"/>
        <w:autoSpaceDN w:val="0"/>
        <w:adjustRightInd w:val="0"/>
        <w:rPr>
          <w:rFonts w:ascii="Arial" w:eastAsiaTheme="minorEastAsia" w:hAnsi="Arial" w:cs="Arial"/>
          <w:color w:val="000000"/>
          <w:szCs w:val="22"/>
          <w:lang w:val="en-US" w:eastAsia="ko-KR"/>
        </w:rPr>
      </w:pPr>
      <w:r w:rsidRPr="00B92DA6">
        <w:rPr>
          <w:rFonts w:ascii="Arial" w:eastAsiaTheme="minorEastAsia" w:hAnsi="Arial" w:cs="Arial"/>
          <w:b/>
          <w:bCs/>
          <w:color w:val="000000"/>
          <w:szCs w:val="22"/>
          <w:lang w:val="en-US" w:eastAsia="ko-KR"/>
        </w:rPr>
        <w:t>30.4 Setting the identifiers of WUR frames</w:t>
      </w:r>
    </w:p>
    <w:p w:rsidR="00B92DA6" w:rsidRPr="00B92DA6" w:rsidRDefault="00B92DA6" w:rsidP="00B92DA6">
      <w:pPr>
        <w:widowControl w:val="0"/>
        <w:autoSpaceDE w:val="0"/>
        <w:autoSpaceDN w:val="0"/>
        <w:adjustRightInd w:val="0"/>
        <w:rPr>
          <w:rFonts w:ascii="Arial" w:eastAsiaTheme="minorEastAsia" w:hAnsi="Arial" w:cs="Arial"/>
          <w:color w:val="000000"/>
          <w:sz w:val="20"/>
          <w:lang w:val="en-US" w:eastAsia="ko-KR"/>
        </w:rPr>
      </w:pPr>
      <w:r w:rsidRPr="00B92DA6">
        <w:rPr>
          <w:rFonts w:ascii="Arial" w:eastAsiaTheme="minorEastAsia" w:hAnsi="Arial" w:cs="Arial"/>
          <w:b/>
          <w:bCs/>
          <w:color w:val="000000"/>
          <w:sz w:val="20"/>
          <w:lang w:val="en-US" w:eastAsia="ko-KR"/>
        </w:rPr>
        <w:t xml:space="preserve">30.4.1 General </w:t>
      </w:r>
    </w:p>
    <w:p w:rsidR="00B92DA6" w:rsidRDefault="00B92DA6" w:rsidP="00B92DA6">
      <w:pPr>
        <w:rPr>
          <w:rFonts w:eastAsiaTheme="minorEastAsia"/>
          <w:sz w:val="20"/>
          <w:lang w:val="en-US" w:eastAsia="ko-KR"/>
        </w:rPr>
      </w:pPr>
      <w:r w:rsidRPr="00B92DA6">
        <w:rPr>
          <w:rFonts w:eastAsiaTheme="minorEastAsia"/>
          <w:sz w:val="20"/>
          <w:lang w:val="en-US" w:eastAsia="ko-KR"/>
        </w:rPr>
        <w:t xml:space="preserve">The ID field of WUR frames contains an identifier (ID) that is selected from the identifier’s space, which consists of all integer values between 0 and 4095 (see 9.10.2.2 (ID field)). A WUR AP ensures that each identifier is either a transmitter ID (see 30.4.2 (Transmitter ID)), a WUR group ID (see 30.4.3 (WUR Group ID)), a WUR ID (see 30.4.4 (WUR ID)), a </w:t>
      </w:r>
      <w:proofErr w:type="spellStart"/>
      <w:r w:rsidRPr="00B92DA6">
        <w:rPr>
          <w:rFonts w:eastAsiaTheme="minorEastAsia"/>
          <w:sz w:val="20"/>
          <w:lang w:val="en-US" w:eastAsia="ko-KR"/>
        </w:rPr>
        <w:t>nontransmitter</w:t>
      </w:r>
      <w:proofErr w:type="spellEnd"/>
      <w:r w:rsidRPr="00B92DA6">
        <w:rPr>
          <w:rFonts w:eastAsiaTheme="minorEastAsia"/>
          <w:sz w:val="20"/>
          <w:lang w:val="en-US" w:eastAsia="ko-KR"/>
        </w:rPr>
        <w:t xml:space="preserve"> ID (see 30.4.5 (</w:t>
      </w:r>
      <w:proofErr w:type="spellStart"/>
      <w:r w:rsidRPr="00B92DA6">
        <w:rPr>
          <w:rFonts w:eastAsiaTheme="minorEastAsia"/>
          <w:sz w:val="20"/>
          <w:lang w:val="en-US" w:eastAsia="ko-KR"/>
        </w:rPr>
        <w:t>Nontransmitter</w:t>
      </w:r>
      <w:proofErr w:type="spellEnd"/>
      <w:r w:rsidRPr="00B92DA6">
        <w:rPr>
          <w:rFonts w:eastAsiaTheme="minorEastAsia"/>
          <w:sz w:val="20"/>
          <w:lang w:val="en-US" w:eastAsia="ko-KR"/>
        </w:rPr>
        <w:t xml:space="preserve"> ID))</w:t>
      </w:r>
      <w:r>
        <w:rPr>
          <w:rFonts w:eastAsiaTheme="minorEastAsia"/>
          <w:sz w:val="20"/>
          <w:lang w:val="en-US" w:eastAsia="ko-KR"/>
        </w:rPr>
        <w:t xml:space="preserve">, </w:t>
      </w:r>
      <w:r w:rsidRPr="00B92DA6">
        <w:rPr>
          <w:rFonts w:eastAsiaTheme="minorEastAsia"/>
          <w:color w:val="0070C0"/>
          <w:sz w:val="20"/>
          <w:u w:val="single"/>
          <w:lang w:val="en-US" w:eastAsia="ko-KR"/>
        </w:rPr>
        <w:t>an all-BSSs ID (see 30.4.6 (All-BSSs ID)),</w:t>
      </w:r>
      <w:r w:rsidRPr="00B92DA6">
        <w:rPr>
          <w:rFonts w:eastAsiaTheme="minorEastAsia"/>
          <w:color w:val="0070C0"/>
          <w:sz w:val="20"/>
          <w:lang w:val="en-US" w:eastAsia="ko-KR"/>
        </w:rPr>
        <w:t xml:space="preserve"> </w:t>
      </w:r>
      <w:r w:rsidRPr="00B92DA6">
        <w:rPr>
          <w:rFonts w:eastAsiaTheme="minorEastAsia"/>
          <w:sz w:val="20"/>
          <w:lang w:val="en-US" w:eastAsia="ko-KR"/>
        </w:rPr>
        <w:t>or a portion of the OUI (see 9.10.3.4 (WUR Vendor Specific frame format)).</w:t>
      </w:r>
    </w:p>
    <w:p w:rsidR="0014101A" w:rsidRPr="0014101A" w:rsidRDefault="0014101A" w:rsidP="0014101A">
      <w:pPr>
        <w:rPr>
          <w:rFonts w:eastAsia="Times New Roman"/>
          <w:b/>
          <w:i/>
          <w:color w:val="000000" w:themeColor="text1"/>
          <w:sz w:val="20"/>
          <w:highlight w:val="yellow"/>
          <w:lang w:val="en-US"/>
        </w:rPr>
      </w:pPr>
    </w:p>
    <w:p w:rsidR="0014101A" w:rsidRPr="00A73CF7" w:rsidRDefault="0014101A" w:rsidP="0014101A">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30.4.3</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Group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rsidR="0014101A" w:rsidRPr="0014101A" w:rsidRDefault="0014101A" w:rsidP="0014101A">
      <w:pPr>
        <w:rPr>
          <w:rFonts w:eastAsia="Times New Roman"/>
          <w:b/>
          <w:i/>
          <w:color w:val="000000" w:themeColor="text1"/>
          <w:sz w:val="20"/>
          <w:highlight w:val="yellow"/>
          <w:lang w:val="en-US"/>
        </w:rPr>
      </w:pPr>
    </w:p>
    <w:p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 xml:space="preserve">30.4.3 WUR Group ID </w:t>
      </w:r>
    </w:p>
    <w:p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A WUR group ID identifies a group of one or more WUR non-AP STAs and is selected from a WUR group ID space which is a subset of consecutive values obtained from the identifier’s space. A FL WUR Wake-up frame with WUR group ID in the ID field is defined as a group addressed WUR frame that is addressed to all the WUR non-AP STAs identified by that WUR group ID. A VL WUR Wake-up frame with WUR group ID in the ID field is a group addressed WUR frame that is addressed to all the WUR non-AP STAs identified by the WUR IDs included in the Frame Body field. </w:t>
      </w:r>
    </w:p>
    <w:p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The WUR AP shall randomly select the lowest WUR group ID of the WUR group ID space from the identifier’s space and shall ensure that none of the WUR group IDs coincide with any of the WUR IDs, transmitter ID, </w:t>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 xml:space="preserve">, </w:t>
      </w:r>
      <w:r w:rsidRPr="0014101A">
        <w:rPr>
          <w:rFonts w:eastAsia="Times New Roman"/>
          <w:color w:val="000000" w:themeColor="text1"/>
          <w:sz w:val="20"/>
          <w:lang w:val="en-US"/>
        </w:rPr>
        <w:t xml:space="preserve">and </w:t>
      </w:r>
      <w:proofErr w:type="spellStart"/>
      <w:r w:rsidRPr="0014101A">
        <w:rPr>
          <w:rFonts w:eastAsia="Times New Roman"/>
          <w:color w:val="000000" w:themeColor="text1"/>
          <w:sz w:val="20"/>
          <w:lang w:val="en-US"/>
        </w:rPr>
        <w:t>nontransmitter</w:t>
      </w:r>
      <w:proofErr w:type="spellEnd"/>
      <w:r w:rsidRPr="0014101A">
        <w:rPr>
          <w:rFonts w:eastAsia="Times New Roman"/>
          <w:color w:val="000000" w:themeColor="text1"/>
          <w:sz w:val="20"/>
          <w:lang w:val="en-US"/>
        </w:rPr>
        <w:t xml:space="preserve"> IDs (if any).</w:t>
      </w:r>
    </w:p>
    <w:p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rsidR="00B92DA6" w:rsidRDefault="00B92DA6" w:rsidP="00DC0DBD">
      <w:pPr>
        <w:rPr>
          <w:rFonts w:eastAsia="Times New Roman"/>
          <w:b/>
          <w:i/>
          <w:color w:val="000000" w:themeColor="text1"/>
          <w:sz w:val="20"/>
          <w:highlight w:val="yellow"/>
          <w:lang w:val="en-US"/>
        </w:rPr>
      </w:pPr>
    </w:p>
    <w:p w:rsidR="0014101A" w:rsidRPr="00A73CF7" w:rsidRDefault="0014101A" w:rsidP="0014101A">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30.4.4</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rsidR="0014101A" w:rsidRPr="0014101A" w:rsidRDefault="0014101A" w:rsidP="0014101A">
      <w:pPr>
        <w:rPr>
          <w:rFonts w:eastAsia="Times New Roman"/>
          <w:b/>
          <w:i/>
          <w:color w:val="000000" w:themeColor="text1"/>
          <w:sz w:val="20"/>
          <w:highlight w:val="yellow"/>
          <w:lang w:val="en-US"/>
        </w:rPr>
      </w:pPr>
    </w:p>
    <w:p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30.4.</w:t>
      </w:r>
      <w:r>
        <w:rPr>
          <w:rFonts w:ascii="Arial" w:eastAsiaTheme="minorEastAsia" w:hAnsi="Arial" w:cs="Arial"/>
          <w:b/>
          <w:bCs/>
          <w:color w:val="000000"/>
          <w:sz w:val="20"/>
          <w:lang w:val="en-US" w:eastAsia="ko-KR"/>
        </w:rPr>
        <w:t>4</w:t>
      </w:r>
      <w:r w:rsidRPr="0014101A">
        <w:rPr>
          <w:rFonts w:ascii="Arial" w:eastAsiaTheme="minorEastAsia" w:hAnsi="Arial" w:cs="Arial"/>
          <w:b/>
          <w:bCs/>
          <w:color w:val="000000"/>
          <w:sz w:val="20"/>
          <w:lang w:val="en-US" w:eastAsia="ko-KR"/>
        </w:rPr>
        <w:t xml:space="preserve"> WUR ID </w:t>
      </w:r>
    </w:p>
    <w:p w:rsidR="0014101A" w:rsidRDefault="0014101A" w:rsidP="0014101A">
      <w:pPr>
        <w:rPr>
          <w:sz w:val="20"/>
        </w:rPr>
      </w:pPr>
      <w:r>
        <w:rPr>
          <w:sz w:val="20"/>
        </w:rPr>
        <w:t xml:space="preserve">A WUR ID identifies the WUR non-AP STA that is the intended recipient of the WUR frame. A WUR frame with a WUR ID in the ID field is defined as an individually addressed WUR frame that is addressed to the WUR non-AP STA identified by that WUR ID. </w:t>
      </w:r>
    </w:p>
    <w:p w:rsidR="0014101A" w:rsidRDefault="0014101A" w:rsidP="0014101A">
      <w:pPr>
        <w:rPr>
          <w:rFonts w:eastAsia="Times New Roman"/>
          <w:color w:val="000000" w:themeColor="text1"/>
          <w:sz w:val="20"/>
          <w:lang w:val="en-US"/>
        </w:rPr>
      </w:pPr>
      <w:r>
        <w:rPr>
          <w:sz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sz w:val="20"/>
        </w:rPr>
        <w:t xml:space="preserve">AID </w:t>
      </w:r>
      <w:r>
        <w:rPr>
          <w:sz w:val="20"/>
        </w:rPr>
        <w:t xml:space="preserve">+ </w:t>
      </w:r>
      <w:r>
        <w:rPr>
          <w:i/>
          <w:iCs/>
          <w:sz w:val="20"/>
        </w:rPr>
        <w:t>transmitter ID</w:t>
      </w:r>
      <w:r>
        <w:rPr>
          <w:sz w:val="20"/>
        </w:rPr>
        <w:t xml:space="preserve">, where the </w:t>
      </w:r>
      <w:r>
        <w:rPr>
          <w:i/>
          <w:iCs/>
          <w:sz w:val="20"/>
        </w:rPr>
        <w:t xml:space="preserve">AID </w:t>
      </w:r>
      <w:r>
        <w:rPr>
          <w:sz w:val="20"/>
        </w:rPr>
        <w:t xml:space="preserve">is the association identifier of the STA, the </w:t>
      </w:r>
      <w:r>
        <w:rPr>
          <w:i/>
          <w:iCs/>
          <w:sz w:val="20"/>
        </w:rPr>
        <w:t xml:space="preserve">transmitter ID </w:t>
      </w:r>
      <w:r>
        <w:rPr>
          <w:sz w:val="20"/>
        </w:rPr>
        <w:t xml:space="preserve">is defined in 30.4.2 (Transmitter ID) and the addition performed between the two identifiers is circular modulo </w:t>
      </w:r>
      <w:r>
        <w:rPr>
          <w:i/>
          <w:iCs/>
          <w:sz w:val="20"/>
        </w:rPr>
        <w:t>2</w:t>
      </w:r>
      <w:r>
        <w:rPr>
          <w:i/>
          <w:iCs/>
          <w:sz w:val="16"/>
          <w:szCs w:val="16"/>
        </w:rPr>
        <w:t>12</w:t>
      </w:r>
      <w:r>
        <w:rPr>
          <w:sz w:val="20"/>
        </w:rPr>
        <w:t xml:space="preserve">. The WUR AP shall ensure that the selected or calculated WUR ID is not any of </w:t>
      </w:r>
      <w:r>
        <w:rPr>
          <w:i/>
          <w:iCs/>
          <w:sz w:val="20"/>
        </w:rPr>
        <w:t xml:space="preserve">WUR Group ID, </w:t>
      </w:r>
      <w:r>
        <w:rPr>
          <w:sz w:val="20"/>
        </w:rPr>
        <w:t xml:space="preserve">the </w:t>
      </w:r>
      <w:r>
        <w:rPr>
          <w:i/>
          <w:iCs/>
          <w:sz w:val="20"/>
        </w:rPr>
        <w:t xml:space="preserve">transmitter ID </w:t>
      </w:r>
      <w:r>
        <w:rPr>
          <w:sz w:val="20"/>
        </w:rPr>
        <w:t xml:space="preserve">of the WUR AP, </w:t>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 xml:space="preserve">, </w:t>
      </w:r>
      <w:r>
        <w:rPr>
          <w:sz w:val="20"/>
        </w:rPr>
        <w:t xml:space="preserve">or any </w:t>
      </w:r>
      <w:proofErr w:type="spellStart"/>
      <w:r>
        <w:rPr>
          <w:sz w:val="20"/>
        </w:rPr>
        <w:t>nontransmitter</w:t>
      </w:r>
      <w:proofErr w:type="spellEnd"/>
      <w:r>
        <w:rPr>
          <w:sz w:val="20"/>
        </w:rPr>
        <w:t xml:space="preserve"> ID (if any). An AP with dot11MultiBSSIDImplemented equal to true that selects the WUR IDs randomly shall ensure that the WUR IDs are unique across all BSSs of the multiple BSSID set. The WUR AP shall indicate the WUR ID assigned to a WUR non-AP STA in the WUR ID field of the WUR Mode element it sends to the STA.</w:t>
      </w:r>
    </w:p>
    <w:p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rsidR="0014101A" w:rsidRPr="00A73CF7" w:rsidRDefault="0014101A"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sidR="0000103F">
        <w:rPr>
          <w:rFonts w:eastAsia="Times New Roman"/>
          <w:b/>
          <w:i/>
          <w:color w:val="000000" w:themeColor="text1"/>
          <w:sz w:val="20"/>
          <w:highlight w:val="yellow"/>
          <w:lang w:val="en-US"/>
        </w:rPr>
        <w:t xml:space="preserve">Insert the following </w:t>
      </w:r>
      <w:proofErr w:type="spellStart"/>
      <w:r w:rsidR="0000103F">
        <w:rPr>
          <w:rFonts w:eastAsia="Times New Roman"/>
          <w:b/>
          <w:i/>
          <w:color w:val="000000" w:themeColor="text1"/>
          <w:sz w:val="20"/>
          <w:highlight w:val="yellow"/>
          <w:lang w:val="en-US"/>
        </w:rPr>
        <w:t>subclause</w:t>
      </w:r>
      <w:proofErr w:type="spellEnd"/>
      <w:r w:rsidR="0000103F">
        <w:rPr>
          <w:rFonts w:eastAsia="Times New Roman"/>
          <w:b/>
          <w:i/>
          <w:color w:val="000000" w:themeColor="text1"/>
          <w:sz w:val="20"/>
          <w:highlight w:val="yellow"/>
          <w:lang w:val="en-US"/>
        </w:rPr>
        <w:t xml:space="preserve"> 30.4.6 (All-BSSs ID)</w:t>
      </w:r>
      <w:r w:rsidR="00B92DA6">
        <w:rPr>
          <w:rFonts w:eastAsia="Times New Roman"/>
          <w:b/>
          <w:i/>
          <w:color w:val="000000" w:themeColor="text1"/>
          <w:sz w:val="20"/>
          <w:highlight w:val="yellow"/>
          <w:lang w:val="en-US"/>
        </w:rPr>
        <w:t xml:space="preserve"> </w:t>
      </w:r>
      <w:r w:rsidR="0000103F">
        <w:rPr>
          <w:rFonts w:eastAsia="Times New Roman"/>
          <w:b/>
          <w:i/>
          <w:color w:val="000000" w:themeColor="text1"/>
          <w:sz w:val="20"/>
          <w:highlight w:val="yellow"/>
          <w:lang w:val="en-US"/>
        </w:rPr>
        <w:t xml:space="preserve">at the end of </w:t>
      </w:r>
      <w:proofErr w:type="spellStart"/>
      <w:r w:rsidR="0000103F">
        <w:rPr>
          <w:rFonts w:eastAsia="Times New Roman"/>
          <w:b/>
          <w:i/>
          <w:color w:val="000000" w:themeColor="text1"/>
          <w:sz w:val="20"/>
          <w:highlight w:val="yellow"/>
          <w:lang w:val="en-US"/>
        </w:rPr>
        <w:t>subclause</w:t>
      </w:r>
      <w:proofErr w:type="spellEnd"/>
      <w:r w:rsidR="0000103F">
        <w:rPr>
          <w:rFonts w:eastAsia="Times New Roman"/>
          <w:b/>
          <w:i/>
          <w:color w:val="000000" w:themeColor="text1"/>
          <w:sz w:val="20"/>
          <w:highlight w:val="yellow"/>
          <w:lang w:val="en-US"/>
        </w:rPr>
        <w:t xml:space="preserve"> 30.4.5 (</w:t>
      </w:r>
      <w:proofErr w:type="spellStart"/>
      <w:r w:rsidR="0000103F">
        <w:rPr>
          <w:rFonts w:eastAsia="Times New Roman"/>
          <w:b/>
          <w:i/>
          <w:color w:val="000000" w:themeColor="text1"/>
          <w:sz w:val="20"/>
          <w:highlight w:val="yellow"/>
          <w:lang w:val="en-US"/>
        </w:rPr>
        <w:t>Nontransmitter</w:t>
      </w:r>
      <w:proofErr w:type="spellEnd"/>
      <w:r w:rsidR="0000103F">
        <w:rPr>
          <w:rFonts w:eastAsia="Times New Roman"/>
          <w:b/>
          <w:i/>
          <w:color w:val="000000" w:themeColor="text1"/>
          <w:sz w:val="20"/>
          <w:highlight w:val="yellow"/>
          <w:lang w:val="en-US"/>
        </w:rPr>
        <w:t xml:space="preserve"> ID):</w:t>
      </w:r>
    </w:p>
    <w:p w:rsidR="0084386B" w:rsidRDefault="0000103F" w:rsidP="0000103F">
      <w:pPr>
        <w:pStyle w:val="H3"/>
        <w:numPr>
          <w:ilvl w:val="2"/>
          <w:numId w:val="17"/>
        </w:numPr>
        <w:rPr>
          <w:w w:val="100"/>
        </w:rPr>
      </w:pPr>
      <w:r>
        <w:rPr>
          <w:w w:val="100"/>
        </w:rPr>
        <w:t>All-BSSs ID</w:t>
      </w:r>
    </w:p>
    <w:p w:rsidR="0000103F" w:rsidRDefault="0000103F" w:rsidP="0000103F">
      <w:pPr>
        <w:pStyle w:val="SP12172141"/>
        <w:ind w:left="540"/>
        <w:jc w:val="both"/>
        <w:rPr>
          <w:sz w:val="20"/>
          <w:szCs w:val="20"/>
        </w:rPr>
      </w:pPr>
      <w:r>
        <w:rPr>
          <w:sz w:val="20"/>
          <w:szCs w:val="20"/>
        </w:rPr>
        <w:t>A</w:t>
      </w:r>
      <w:r w:rsidR="00B92DA6">
        <w:rPr>
          <w:sz w:val="20"/>
          <w:szCs w:val="20"/>
        </w:rPr>
        <w:t>n</w:t>
      </w:r>
      <w:r>
        <w:rPr>
          <w:sz w:val="20"/>
          <w:szCs w:val="20"/>
        </w:rPr>
        <w:t xml:space="preserve"> all-BSSs ID identifies all BSSs corresponding to all BSSIDs (i.e.,</w:t>
      </w:r>
      <w:r w:rsidR="005C5E71">
        <w:rPr>
          <w:sz w:val="20"/>
          <w:szCs w:val="20"/>
        </w:rPr>
        <w:t xml:space="preserve"> a</w:t>
      </w:r>
      <w:r>
        <w:rPr>
          <w:sz w:val="20"/>
          <w:szCs w:val="20"/>
        </w:rPr>
        <w:t xml:space="preserve"> transmitted BSSID and all </w:t>
      </w:r>
      <w:proofErr w:type="spellStart"/>
      <w:r>
        <w:rPr>
          <w:sz w:val="20"/>
          <w:szCs w:val="20"/>
        </w:rPr>
        <w:t>nontransmitted</w:t>
      </w:r>
      <w:proofErr w:type="spellEnd"/>
      <w:r>
        <w:rPr>
          <w:sz w:val="20"/>
          <w:szCs w:val="20"/>
        </w:rPr>
        <w:t xml:space="preserve"> BSSIDs) within the multiple BSSID set (see 11.1.3.8 Multiple BSSID procedure). A WUR Wake-up frame with </w:t>
      </w:r>
      <w:r w:rsidR="005C5E71">
        <w:rPr>
          <w:sz w:val="20"/>
          <w:szCs w:val="20"/>
        </w:rPr>
        <w:t>all-BSSs</w:t>
      </w:r>
      <w:r>
        <w:rPr>
          <w:sz w:val="20"/>
          <w:szCs w:val="20"/>
        </w:rPr>
        <w:t xml:space="preserve"> ID in the ID field is a broadcast WUR Wake-up frame that is addressed to all the WU</w:t>
      </w:r>
      <w:r w:rsidR="005C5E71">
        <w:rPr>
          <w:sz w:val="20"/>
          <w:szCs w:val="20"/>
        </w:rPr>
        <w:t xml:space="preserve">R STAs that are associated </w:t>
      </w:r>
      <w:r w:rsidR="005C5E71" w:rsidRPr="005C5E71">
        <w:rPr>
          <w:sz w:val="20"/>
          <w:szCs w:val="20"/>
        </w:rPr>
        <w:t>with all BSSs corresponding to all BSSIDs within the multiple BSSID set</w:t>
      </w:r>
      <w:r>
        <w:rPr>
          <w:sz w:val="20"/>
          <w:szCs w:val="20"/>
        </w:rPr>
        <w:t xml:space="preserve">. </w:t>
      </w:r>
    </w:p>
    <w:p w:rsidR="005C5E71" w:rsidRDefault="005C5E71" w:rsidP="005C5E71">
      <w:pPr>
        <w:pStyle w:val="SP12172141"/>
        <w:ind w:left="540"/>
        <w:jc w:val="both"/>
        <w:rPr>
          <w:sz w:val="20"/>
          <w:szCs w:val="20"/>
        </w:rPr>
      </w:pPr>
    </w:p>
    <w:p w:rsidR="005C5E71" w:rsidRPr="005C5E71" w:rsidRDefault="005C5E71" w:rsidP="005C5E71">
      <w:pPr>
        <w:pStyle w:val="SP12172141"/>
        <w:ind w:left="540"/>
        <w:jc w:val="both"/>
        <w:rPr>
          <w:sz w:val="20"/>
          <w:szCs w:val="20"/>
        </w:rPr>
      </w:pPr>
      <w:r w:rsidRPr="005C5E71">
        <w:rPr>
          <w:sz w:val="20"/>
          <w:szCs w:val="20"/>
        </w:rPr>
        <w:t>Note – A WUR non-AP STA can be associated with only a BSS among BSSs within the Multiple BSSID set.</w:t>
      </w:r>
    </w:p>
    <w:p w:rsidR="0000103F" w:rsidRDefault="0000103F" w:rsidP="0000103F">
      <w:pPr>
        <w:pStyle w:val="T"/>
        <w:ind w:left="540"/>
        <w:rPr>
          <w:w w:val="100"/>
        </w:rPr>
      </w:pPr>
      <w:r>
        <w:rPr>
          <w:rStyle w:val="SC12204802"/>
        </w:rPr>
        <w:t>The WUR AP shall calculate a</w:t>
      </w:r>
      <w:r w:rsidR="00B92DA6">
        <w:rPr>
          <w:rStyle w:val="SC12204802"/>
        </w:rPr>
        <w:t>n</w:t>
      </w:r>
      <w:r>
        <w:rPr>
          <w:rStyle w:val="SC12204802"/>
        </w:rPr>
        <w:t xml:space="preserve"> </w:t>
      </w:r>
      <w:r w:rsidR="005C5E71">
        <w:rPr>
          <w:rStyle w:val="SC12204802"/>
          <w:i/>
          <w:iCs/>
        </w:rPr>
        <w:t>all-BSSs</w:t>
      </w:r>
      <w:r>
        <w:rPr>
          <w:rStyle w:val="SC12204802"/>
          <w:i/>
          <w:iCs/>
        </w:rPr>
        <w:t xml:space="preserve"> ID </w:t>
      </w:r>
      <w:r>
        <w:rPr>
          <w:rStyle w:val="SC12204802"/>
        </w:rPr>
        <w:t xml:space="preserve">as </w:t>
      </w:r>
      <w:r>
        <w:rPr>
          <w:rStyle w:val="SC12204802"/>
          <w:i/>
          <w:iCs/>
        </w:rPr>
        <w:t>transmitter ID</w:t>
      </w:r>
      <w:r w:rsidR="005C5E71">
        <w:rPr>
          <w:rStyle w:val="SC12204802"/>
          <w:i/>
          <w:iCs/>
        </w:rPr>
        <w:t>-1</w:t>
      </w:r>
      <w:r>
        <w:rPr>
          <w:rStyle w:val="SC12204802"/>
        </w:rPr>
        <w:t xml:space="preserve">, where the </w:t>
      </w:r>
      <w:r>
        <w:rPr>
          <w:rStyle w:val="SC12204802"/>
          <w:i/>
          <w:iCs/>
        </w:rPr>
        <w:t xml:space="preserve">transmitter ID </w:t>
      </w:r>
      <w:r>
        <w:rPr>
          <w:rStyle w:val="SC12204802"/>
        </w:rPr>
        <w:t xml:space="preserve">is defined in 30.4.2 (Transmitter ID), and the </w:t>
      </w:r>
      <w:r w:rsidR="005C5E71">
        <w:rPr>
          <w:rStyle w:val="SC12204802"/>
        </w:rPr>
        <w:t>subtraction</w:t>
      </w:r>
      <w:r>
        <w:rPr>
          <w:rStyle w:val="SC12204802"/>
        </w:rPr>
        <w:t xml:space="preserve"> is circular modulo 2</w:t>
      </w:r>
      <w:r w:rsidR="005C5E71" w:rsidRPr="005C5E71">
        <w:rPr>
          <w:rStyle w:val="SC12204802"/>
          <w:vertAlign w:val="superscript"/>
        </w:rPr>
        <w:t>12</w:t>
      </w:r>
      <w:r>
        <w:rPr>
          <w:rStyle w:val="SC12204802"/>
        </w:rPr>
        <w:t>.</w:t>
      </w:r>
    </w:p>
    <w:sectPr w:rsidR="0000103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F0" w:rsidRDefault="00BB28F0" w:rsidP="00DC0DBD">
      <w:r>
        <w:separator/>
      </w:r>
    </w:p>
  </w:endnote>
  <w:endnote w:type="continuationSeparator" w:id="0">
    <w:p w:rsidR="00BB28F0" w:rsidRDefault="00BB28F0"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BB28F0">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4C05ED">
      <w:rPr>
        <w:noProof/>
      </w:rPr>
      <w:t>2</w:t>
    </w:r>
    <w:r w:rsidR="00123F29">
      <w:rPr>
        <w:noProof/>
      </w:rPr>
      <w:fldChar w:fldCharType="end"/>
    </w:r>
    <w:r w:rsidR="00123F29">
      <w:tab/>
    </w:r>
    <w:r w:rsidR="0023229E">
      <w:rPr>
        <w:lang w:eastAsia="ko-KR"/>
      </w:rPr>
      <w:t>Jeongki Kim</w:t>
    </w:r>
    <w:r w:rsidR="00A43384">
      <w:rPr>
        <w:lang w:eastAsia="ko-KR"/>
      </w:rPr>
      <w:t>, LG Electronics</w:t>
    </w:r>
  </w:p>
  <w:p w:rsidR="007502A4" w:rsidRDefault="00BB2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F0" w:rsidRDefault="00BB28F0" w:rsidP="00DC0DBD">
      <w:r>
        <w:separator/>
      </w:r>
    </w:p>
  </w:footnote>
  <w:footnote w:type="continuationSeparator" w:id="0">
    <w:p w:rsidR="00BB28F0" w:rsidRDefault="00BB28F0"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DF1C9E">
    <w:pPr>
      <w:pStyle w:val="a4"/>
      <w:tabs>
        <w:tab w:val="clear" w:pos="6480"/>
        <w:tab w:val="center" w:pos="4680"/>
        <w:tab w:val="right" w:pos="9360"/>
      </w:tabs>
      <w:rPr>
        <w:lang w:eastAsia="ko-KR"/>
      </w:rPr>
    </w:pPr>
    <w:r>
      <w:rPr>
        <w:lang w:eastAsia="ko-KR"/>
      </w:rPr>
      <w:t>March</w:t>
    </w:r>
    <w:r w:rsidR="001A2886">
      <w:rPr>
        <w:lang w:eastAsia="ko-KR"/>
      </w:rPr>
      <w:t xml:space="preserve"> 2019</w:t>
    </w:r>
    <w:r w:rsidR="00123F29">
      <w:tab/>
    </w:r>
    <w:r w:rsidR="00123F29">
      <w:tab/>
    </w:r>
    <w:r w:rsidR="00BB28F0">
      <w:fldChar w:fldCharType="begin"/>
    </w:r>
    <w:r w:rsidR="00BB28F0">
      <w:instrText xml:space="preserve"> TITLE  \* MERGEFORMAT </w:instrText>
    </w:r>
    <w:r w:rsidR="00BB28F0">
      <w:fldChar w:fldCharType="separate"/>
    </w:r>
    <w:r w:rsidR="00123F29">
      <w:t xml:space="preserve">doc.: </w:t>
    </w:r>
    <w:r w:rsidR="00123F29">
      <w:rPr>
        <w:lang w:eastAsia="ko-KR"/>
      </w:rPr>
      <w:t>IEEE</w:t>
    </w:r>
    <w:r w:rsidR="00DC0DBD">
      <w:t xml:space="preserve"> 802.11-</w:t>
    </w:r>
    <w:r w:rsidR="001A2886">
      <w:t>19</w:t>
    </w:r>
    <w:r w:rsidR="00DC0DBD">
      <w:t>/</w:t>
    </w:r>
    <w:r w:rsidR="001A2886">
      <w:t>0xxx</w:t>
    </w:r>
    <w:r w:rsidR="00123F29">
      <w:t>r</w:t>
    </w:r>
    <w:r w:rsidR="00BB28F0">
      <w:fldChar w:fldCharType="end"/>
    </w:r>
    <w:r w:rsidR="00DC0DB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4">
    <w:nsid w:val="5EC62609"/>
    <w:multiLevelType w:val="multilevel"/>
    <w:tmpl w:val="B4AA8874"/>
    <w:lvl w:ilvl="0">
      <w:start w:val="30"/>
      <w:numFmt w:val="decimal"/>
      <w:lvlText w:val="%1"/>
      <w:lvlJc w:val="left"/>
      <w:pPr>
        <w:ind w:left="540" w:hanging="540"/>
      </w:pPr>
      <w:rPr>
        <w:rFonts w:hint="default"/>
      </w:rPr>
    </w:lvl>
    <w:lvl w:ilvl="1">
      <w:start w:val="4"/>
      <w:numFmt w:val="decimal"/>
      <w:lvlText w:val="%1.%2"/>
      <w:lvlJc w:val="left"/>
      <w:pPr>
        <w:ind w:left="855" w:hanging="540"/>
      </w:pPr>
      <w:rPr>
        <w:rFonts w:hint="default"/>
      </w:rPr>
    </w:lvl>
    <w:lvl w:ilvl="2">
      <w:start w:val="6"/>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0103F"/>
    <w:rsid w:val="000304C3"/>
    <w:rsid w:val="00123F29"/>
    <w:rsid w:val="0014101A"/>
    <w:rsid w:val="00144FD5"/>
    <w:rsid w:val="0014705D"/>
    <w:rsid w:val="001A2886"/>
    <w:rsid w:val="001F6E64"/>
    <w:rsid w:val="0023229E"/>
    <w:rsid w:val="002741D6"/>
    <w:rsid w:val="00295D83"/>
    <w:rsid w:val="002B4BCD"/>
    <w:rsid w:val="00355528"/>
    <w:rsid w:val="003C6EFB"/>
    <w:rsid w:val="003D25DF"/>
    <w:rsid w:val="003E6524"/>
    <w:rsid w:val="00403C19"/>
    <w:rsid w:val="00454F3A"/>
    <w:rsid w:val="00455F7F"/>
    <w:rsid w:val="00481421"/>
    <w:rsid w:val="004C05ED"/>
    <w:rsid w:val="005263D6"/>
    <w:rsid w:val="0055564B"/>
    <w:rsid w:val="005C5E71"/>
    <w:rsid w:val="00662815"/>
    <w:rsid w:val="006B055D"/>
    <w:rsid w:val="006C5C78"/>
    <w:rsid w:val="00745C5D"/>
    <w:rsid w:val="00777553"/>
    <w:rsid w:val="00783094"/>
    <w:rsid w:val="007D5D25"/>
    <w:rsid w:val="008035CA"/>
    <w:rsid w:val="00823458"/>
    <w:rsid w:val="0084386B"/>
    <w:rsid w:val="00853C17"/>
    <w:rsid w:val="008860AE"/>
    <w:rsid w:val="008A6CE5"/>
    <w:rsid w:val="008B7255"/>
    <w:rsid w:val="008E6749"/>
    <w:rsid w:val="00907587"/>
    <w:rsid w:val="00933A9A"/>
    <w:rsid w:val="00950892"/>
    <w:rsid w:val="00950A1C"/>
    <w:rsid w:val="00984C0D"/>
    <w:rsid w:val="009C4822"/>
    <w:rsid w:val="009D6480"/>
    <w:rsid w:val="00A43384"/>
    <w:rsid w:val="00A43F3C"/>
    <w:rsid w:val="00A73CF7"/>
    <w:rsid w:val="00B30A8E"/>
    <w:rsid w:val="00B403A5"/>
    <w:rsid w:val="00B92DA6"/>
    <w:rsid w:val="00BB28F0"/>
    <w:rsid w:val="00BE48BA"/>
    <w:rsid w:val="00C8298F"/>
    <w:rsid w:val="00CC4F51"/>
    <w:rsid w:val="00CF75E3"/>
    <w:rsid w:val="00D108DF"/>
    <w:rsid w:val="00D329A0"/>
    <w:rsid w:val="00D72E77"/>
    <w:rsid w:val="00D82CF8"/>
    <w:rsid w:val="00DA26F7"/>
    <w:rsid w:val="00DC0DBD"/>
    <w:rsid w:val="00DD3E87"/>
    <w:rsid w:val="00DF1C9E"/>
    <w:rsid w:val="00E2550E"/>
    <w:rsid w:val="00EA0774"/>
    <w:rsid w:val="00EB249D"/>
    <w:rsid w:val="00F95C2D"/>
    <w:rsid w:val="00FA2FCD"/>
    <w:rsid w:val="00FB299E"/>
    <w:rsid w:val="00FE25BF"/>
    <w:rsid w:val="00FF2E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 w:type="paragraph" w:customStyle="1" w:styleId="SP10245950">
    <w:name w:val="SP.10.24595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92">
    <w:name w:val="SP.10.245992"/>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0">
    <w:name w:val="SP.10.24597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character" w:customStyle="1" w:styleId="SC10204816">
    <w:name w:val="SC.10.204816"/>
    <w:uiPriority w:val="99"/>
    <w:rsid w:val="00DD3E87"/>
    <w:rPr>
      <w:color w:val="000000"/>
      <w:sz w:val="20"/>
      <w:szCs w:val="20"/>
    </w:rPr>
  </w:style>
  <w:style w:type="paragraph" w:customStyle="1" w:styleId="SP10245927">
    <w:name w:val="SP.10.245927"/>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9">
    <w:name w:val="SP.10.245979"/>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29">
    <w:name w:val="SP.10.245929"/>
    <w:basedOn w:val="a"/>
    <w:next w:val="a"/>
    <w:uiPriority w:val="99"/>
    <w:rsid w:val="00783094"/>
    <w:pPr>
      <w:widowControl w:val="0"/>
      <w:autoSpaceDE w:val="0"/>
      <w:autoSpaceDN w:val="0"/>
      <w:adjustRightInd w:val="0"/>
    </w:pPr>
    <w:rPr>
      <w:rFonts w:eastAsiaTheme="minorEastAsia"/>
      <w:sz w:val="24"/>
      <w:szCs w:val="24"/>
      <w:lang w:val="en-US" w:eastAsia="ko-KR"/>
    </w:rPr>
  </w:style>
  <w:style w:type="character" w:customStyle="1" w:styleId="SC10204817">
    <w:name w:val="SC.10.204817"/>
    <w:uiPriority w:val="99"/>
    <w:rsid w:val="00783094"/>
    <w:rPr>
      <w:b/>
      <w:bCs/>
      <w:color w:val="000000"/>
      <w:sz w:val="18"/>
      <w:szCs w:val="18"/>
    </w:rPr>
  </w:style>
  <w:style w:type="paragraph" w:customStyle="1" w:styleId="SP12172141">
    <w:name w:val="SP.12.172141"/>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13">
    <w:name w:val="SP.12.172213"/>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55">
    <w:name w:val="SP.12.172255"/>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33">
    <w:name w:val="SP.12.172233"/>
    <w:basedOn w:val="a"/>
    <w:next w:val="a"/>
    <w:uiPriority w:val="99"/>
    <w:rsid w:val="0000103F"/>
    <w:pPr>
      <w:widowControl w:val="0"/>
      <w:autoSpaceDE w:val="0"/>
      <w:autoSpaceDN w:val="0"/>
      <w:adjustRightInd w:val="0"/>
    </w:pPr>
    <w:rPr>
      <w:rFonts w:eastAsiaTheme="minorEastAsia"/>
      <w:sz w:val="24"/>
      <w:szCs w:val="24"/>
      <w:lang w:val="en-US" w:eastAsia="ko-KR"/>
    </w:rPr>
  </w:style>
  <w:style w:type="character" w:customStyle="1" w:styleId="SC12204802">
    <w:name w:val="SC.12.204802"/>
    <w:uiPriority w:val="99"/>
    <w:rsid w:val="0000103F"/>
    <w:rPr>
      <w:color w:val="000000"/>
      <w:sz w:val="20"/>
      <w:szCs w:val="20"/>
    </w:rPr>
  </w:style>
  <w:style w:type="character" w:customStyle="1" w:styleId="SC12204872">
    <w:name w:val="SC.12.204872"/>
    <w:uiPriority w:val="99"/>
    <w:rsid w:val="0000103F"/>
    <w:rPr>
      <w:color w:val="000000"/>
      <w:sz w:val="16"/>
      <w:szCs w:val="16"/>
    </w:rPr>
  </w:style>
  <w:style w:type="character" w:customStyle="1" w:styleId="SC12204811">
    <w:name w:val="SC.12.204811"/>
    <w:uiPriority w:val="99"/>
    <w:rsid w:val="00B92DA6"/>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5A09-F6DC-4E3B-B18D-78ABFE64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1241</Words>
  <Characters>7076</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Jeongki Kim</dc:creator>
  <cp:keywords/>
  <dc:description/>
  <cp:lastModifiedBy>Jeongki Kim</cp:lastModifiedBy>
  <cp:revision>3</cp:revision>
  <dcterms:created xsi:type="dcterms:W3CDTF">2019-03-11T21:09:00Z</dcterms:created>
  <dcterms:modified xsi:type="dcterms:W3CDTF">2019-03-13T00:18:00Z</dcterms:modified>
</cp:coreProperties>
</file>