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AD70089" w:rsidR="00C723BC" w:rsidRPr="00183F4C" w:rsidRDefault="000E426E" w:rsidP="00133BE3">
            <w:pPr>
              <w:pStyle w:val="T2"/>
            </w:pPr>
            <w:r>
              <w:rPr>
                <w:lang w:eastAsia="ko-KR"/>
              </w:rPr>
              <w:t>CR for CID 21501, 21502</w:t>
            </w:r>
            <w:r w:rsidR="007A2251">
              <w:rPr>
                <w:lang w:eastAsia="ko-KR"/>
              </w:rPr>
              <w:t xml:space="preserve">, </w:t>
            </w:r>
            <w:r w:rsidR="007A2251">
              <w:rPr>
                <w:lang w:eastAsia="ko-KR"/>
              </w:rPr>
              <w:t>21436</w:t>
            </w:r>
            <w:bookmarkStart w:id="0" w:name="_GoBack"/>
            <w:bookmarkEnd w:id="0"/>
          </w:p>
        </w:tc>
      </w:tr>
      <w:tr w:rsidR="00C723BC" w:rsidRPr="00183F4C" w14:paraId="5B9F14D2" w14:textId="77777777" w:rsidTr="00D74DE9">
        <w:trPr>
          <w:trHeight w:val="359"/>
          <w:jc w:val="center"/>
        </w:trPr>
        <w:tc>
          <w:tcPr>
            <w:tcW w:w="9576" w:type="dxa"/>
            <w:gridSpan w:val="5"/>
            <w:vAlign w:val="center"/>
          </w:tcPr>
          <w:p w14:paraId="03728683" w14:textId="610DAB19" w:rsidR="00C723BC" w:rsidRPr="00183F4C" w:rsidRDefault="00C723BC" w:rsidP="00970A4D">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970A4D">
              <w:rPr>
                <w:b w:val="0"/>
                <w:sz w:val="20"/>
                <w:lang w:eastAsia="ko-KR"/>
              </w:rPr>
              <w:t>07</w:t>
            </w:r>
            <w:r w:rsidR="006A5CA8">
              <w:rPr>
                <w:b w:val="0"/>
                <w:sz w:val="20"/>
                <w:lang w:eastAsia="ko-KR"/>
              </w:rPr>
              <w:t>-</w:t>
            </w:r>
            <w:r w:rsidR="00970A4D">
              <w:rPr>
                <w:b w:val="0"/>
                <w:sz w:val="20"/>
                <w:lang w:eastAsia="ko-KR"/>
              </w:rPr>
              <w:t>15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7DE87C1"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4433EE">
        <w:rPr>
          <w:lang w:eastAsia="ko-KR"/>
        </w:rPr>
        <w:t>1</w:t>
      </w:r>
      <w:r w:rsidR="004433EE">
        <w:t xml:space="preserve"> for CID </w:t>
      </w:r>
      <w:r w:rsidR="004433EE">
        <w:rPr>
          <w:lang w:eastAsia="ko-KR"/>
        </w:rPr>
        <w:t>21501, 21502</w:t>
      </w:r>
      <w:r w:rsidR="00FB79EB">
        <w:rPr>
          <w:lang w:eastAsia="ko-KR"/>
        </w:rPr>
        <w:t>, 21436</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174C5F66"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r>
        <w:rPr>
          <w:lang w:eastAsia="ko-KR"/>
        </w:rPr>
        <w:t xml:space="preserve"> CID 21501</w:t>
      </w:r>
      <w:r w:rsidR="004433EE">
        <w:rPr>
          <w:lang w:eastAsia="ko-KR"/>
        </w:rPr>
        <w:t>.</w:t>
      </w:r>
    </w:p>
    <w:p w14:paraId="01F10B55" w14:textId="76F6406F" w:rsidR="004433EE" w:rsidRDefault="004433EE" w:rsidP="00FC0EB0">
      <w:pPr>
        <w:pStyle w:val="ListParagraph"/>
        <w:numPr>
          <w:ilvl w:val="0"/>
          <w:numId w:val="30"/>
        </w:numPr>
        <w:ind w:leftChars="0"/>
        <w:jc w:val="both"/>
      </w:pPr>
      <w:r>
        <w:rPr>
          <w:lang w:eastAsia="ko-KR"/>
        </w:rPr>
        <w:t>Rev 3: updated resolution for CID 21502</w:t>
      </w:r>
      <w:r w:rsidR="007A10A5">
        <w:rPr>
          <w:lang w:eastAsia="ko-KR"/>
        </w:rPr>
        <w:t>, 21501</w:t>
      </w:r>
      <w:r>
        <w:rPr>
          <w:lang w:eastAsia="ko-KR"/>
        </w:rPr>
        <w:t>.</w:t>
      </w:r>
    </w:p>
    <w:p w14:paraId="1DE3475C" w14:textId="3EB8DB08" w:rsidR="006F7A75" w:rsidRDefault="006F7A75" w:rsidP="00FC0EB0">
      <w:pPr>
        <w:pStyle w:val="ListParagraph"/>
        <w:numPr>
          <w:ilvl w:val="0"/>
          <w:numId w:val="30"/>
        </w:numPr>
        <w:ind w:leftChars="0"/>
        <w:jc w:val="both"/>
      </w:pPr>
      <w:r>
        <w:rPr>
          <w:lang w:eastAsia="ko-KR"/>
        </w:rPr>
        <w:t>Rev 4: page number updates</w:t>
      </w:r>
    </w:p>
    <w:p w14:paraId="1EFB736B" w14:textId="000EF5DB" w:rsidR="00151DA7" w:rsidRDefault="00151DA7" w:rsidP="00FC0EB0">
      <w:pPr>
        <w:pStyle w:val="ListParagraph"/>
        <w:numPr>
          <w:ilvl w:val="0"/>
          <w:numId w:val="30"/>
        </w:numPr>
        <w:ind w:leftChars="0"/>
        <w:jc w:val="both"/>
      </w:pPr>
      <w:r>
        <w:rPr>
          <w:lang w:eastAsia="ko-KR"/>
        </w:rPr>
        <w:t>Rev 5: add capability to support trigger dependent user info field.</w:t>
      </w:r>
    </w:p>
    <w:p w14:paraId="0607B5A1" w14:textId="3B24A716" w:rsidR="009E6E02" w:rsidRDefault="009E6E02" w:rsidP="00FC0EB0">
      <w:pPr>
        <w:pStyle w:val="ListParagraph"/>
        <w:numPr>
          <w:ilvl w:val="0"/>
          <w:numId w:val="30"/>
        </w:numPr>
        <w:ind w:leftChars="0"/>
        <w:jc w:val="both"/>
      </w:pPr>
      <w:r>
        <w:rPr>
          <w:lang w:eastAsia="ko-KR"/>
        </w:rPr>
        <w:t>Rev 6: editorial.</w:t>
      </w:r>
    </w:p>
    <w:p w14:paraId="08CAB990" w14:textId="2F4B7C6D" w:rsidR="00FB79EB" w:rsidRDefault="00FB79EB" w:rsidP="00FC0EB0">
      <w:pPr>
        <w:pStyle w:val="ListParagraph"/>
        <w:numPr>
          <w:ilvl w:val="0"/>
          <w:numId w:val="30"/>
        </w:numPr>
        <w:ind w:leftChars="0"/>
        <w:jc w:val="both"/>
      </w:pPr>
      <w:r>
        <w:rPr>
          <w:lang w:eastAsia="ko-KR"/>
        </w:rPr>
        <w:t>Rev 7: add CR for 21436</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0"/>
        <w:gridCol w:w="1217"/>
        <w:gridCol w:w="695"/>
        <w:gridCol w:w="628"/>
        <w:gridCol w:w="2436"/>
        <w:gridCol w:w="1515"/>
        <w:gridCol w:w="1250"/>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50833C0D" w:rsidR="00552699" w:rsidRDefault="00BA1AB5" w:rsidP="00930BFA">
            <w:pPr>
              <w:rPr>
                <w:rFonts w:eastAsia="Times New Roman"/>
                <w:color w:val="000000"/>
                <w:szCs w:val="18"/>
                <w:lang w:val="en-US"/>
              </w:rPr>
            </w:pPr>
            <w:r>
              <w:rPr>
                <w:rFonts w:eastAsia="Times New Roman"/>
                <w:color w:val="000000"/>
                <w:szCs w:val="18"/>
                <w:lang w:val="en-US"/>
              </w:rPr>
              <w:t>Rejected</w:t>
            </w:r>
          </w:p>
          <w:p w14:paraId="2364B107" w14:textId="7E54B2AC" w:rsidR="00552699" w:rsidRPr="00CE050C" w:rsidRDefault="00552699" w:rsidP="00BA1AB5">
            <w:pPr>
              <w:rPr>
                <w:rFonts w:ascii="Arial" w:eastAsia="Times New Roman" w:hAnsi="Arial" w:cs="Arial"/>
                <w:sz w:val="20"/>
                <w:lang w:val="en-US" w:eastAsia="zh-CN"/>
              </w:rPr>
            </w:pP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6BA706E" w:rsidR="002805E7" w:rsidRPr="00CE050C" w:rsidRDefault="002805E7" w:rsidP="00AD2E4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6A41F6">
              <w:rPr>
                <w:bCs/>
                <w:sz w:val="16"/>
                <w:szCs w:val="18"/>
                <w:lang w:eastAsia="ko-KR"/>
              </w:rPr>
              <w:t>0422r</w:t>
            </w:r>
            <w:r w:rsidR="00AD2E47">
              <w:rPr>
                <w:bCs/>
                <w:sz w:val="16"/>
                <w:szCs w:val="18"/>
                <w:lang w:eastAsia="ko-KR"/>
              </w:rPr>
              <w:t>4</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lastRenderedPageBreak/>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7682761E"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6A37CB">
        <w:rPr>
          <w:rFonts w:eastAsia="SimSun"/>
          <w:sz w:val="20"/>
          <w:lang w:val="en-US" w:eastAsia="zh-CN"/>
        </w:rPr>
        <w:t>will be impacted</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05FA44D4"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b/>
          <w:color w:val="000000"/>
          <w:sz w:val="20"/>
        </w:rPr>
      </w:pPr>
    </w:p>
    <w:p w14:paraId="6057B7E2" w14:textId="7F1F5D82" w:rsidR="009833FC" w:rsidRDefault="009833FC" w:rsidP="00E56B81">
      <w:pPr>
        <w:rPr>
          <w:rFonts w:ascii="TimesNewRomanPSMT" w:hAnsi="TimesNewRomanPSMT"/>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 paragraph and figure after P.L. 11</w:t>
      </w:r>
      <w:r w:rsidR="00A16048">
        <w:rPr>
          <w:i/>
          <w:sz w:val="22"/>
          <w:szCs w:val="22"/>
          <w:highlight w:val="yellow"/>
        </w:rPr>
        <w:t>9.65</w:t>
      </w:r>
      <w:r w:rsidRPr="009833FC">
        <w:rPr>
          <w:i/>
          <w:sz w:val="22"/>
          <w:szCs w:val="22"/>
          <w:highlight w:val="yellow"/>
        </w:rPr>
        <w:t xml:space="preserve">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b/>
          <w:color w:val="000000"/>
          <w:sz w:val="20"/>
        </w:rPr>
      </w:pPr>
    </w:p>
    <w:p w14:paraId="582BAF93" w14:textId="77777777" w:rsidR="00151DA7" w:rsidRPr="00A518DF" w:rsidRDefault="00757A82" w:rsidP="006C0DA3">
      <w:pPr>
        <w:jc w:val="both"/>
        <w:rPr>
          <w:rFonts w:ascii="TimesNewRomanPSMT" w:hAnsi="TimesNewRomanPSMT"/>
          <w:color w:val="FF0000"/>
          <w:sz w:val="20"/>
          <w:lang w:val="en-US"/>
        </w:rPr>
      </w:pPr>
      <w:r w:rsidRPr="00A518DF">
        <w:rPr>
          <w:rFonts w:ascii="TimesNewRomanPSMT" w:hAnsi="TimesNewRomanPSMT"/>
          <w:color w:val="FF0000"/>
          <w:sz w:val="20"/>
        </w:rPr>
        <w:t>The presence of the Trigger Dependent User Info subfield for the NFRP trigger frame is determined by the</w:t>
      </w:r>
      <w:r w:rsidR="008A2042" w:rsidRPr="00A518DF">
        <w:rPr>
          <w:rFonts w:ascii="TimesNewRomanPSMT" w:hAnsi="TimesNewRomanPSMT"/>
          <w:color w:val="FF0000"/>
          <w:sz w:val="20"/>
        </w:rPr>
        <w:t xml:space="preserve"> value of</w:t>
      </w:r>
      <w:r w:rsidRPr="00A518DF">
        <w:rPr>
          <w:rFonts w:ascii="TimesNewRomanPSMT" w:hAnsi="TimesNewRomanPSMT"/>
          <w:color w:val="FF0000"/>
          <w:sz w:val="20"/>
        </w:rPr>
        <w:t xml:space="preserve"> </w:t>
      </w:r>
      <w:r w:rsidR="00A16048" w:rsidRPr="00A518DF">
        <w:rPr>
          <w:color w:val="FF0000"/>
          <w:sz w:val="20"/>
        </w:rPr>
        <w:t xml:space="preserve">the </w:t>
      </w:r>
      <w:r w:rsidRPr="00A518DF">
        <w:rPr>
          <w:color w:val="FF0000"/>
          <w:sz w:val="20"/>
        </w:rPr>
        <w:t xml:space="preserve">Feedback Type subfield of the NFRP Trigger frame as defined in table 9-31i. If the </w:t>
      </w:r>
      <w:r w:rsidR="00803FF1" w:rsidRPr="00A518DF">
        <w:rPr>
          <w:color w:val="FF0000"/>
          <w:sz w:val="20"/>
        </w:rPr>
        <w:t xml:space="preserve">Feedback Type subfield is set to </w:t>
      </w:r>
      <w:r w:rsidR="008A2042" w:rsidRPr="00A518DF">
        <w:rPr>
          <w:color w:val="FF0000"/>
          <w:sz w:val="20"/>
        </w:rPr>
        <w:t>1</w:t>
      </w:r>
      <w:r w:rsidR="00803FF1" w:rsidRPr="00A518DF">
        <w:rPr>
          <w:color w:val="FF0000"/>
          <w:sz w:val="20"/>
        </w:rPr>
        <w:t xml:space="preserve">, the </w:t>
      </w:r>
      <w:r w:rsidRPr="00A518DF">
        <w:rPr>
          <w:rFonts w:ascii="TimesNewRomanPSMT" w:hAnsi="TimesNewRomanPSMT"/>
          <w:color w:val="FF0000"/>
          <w:sz w:val="20"/>
        </w:rPr>
        <w:t>Trigger Dependent User Info subfield is present</w:t>
      </w:r>
      <w:r w:rsidR="00803FF1" w:rsidRPr="00A518DF">
        <w:rPr>
          <w:rFonts w:ascii="TimesNewRomanPSMT" w:hAnsi="TimesNewRomanPSMT"/>
          <w:color w:val="FF0000"/>
          <w:sz w:val="20"/>
        </w:rPr>
        <w:t xml:space="preserve"> and</w:t>
      </w:r>
      <w:r w:rsidR="00E56B81" w:rsidRPr="00A518DF">
        <w:rPr>
          <w:rFonts w:ascii="TimesNewRomanPSMT" w:hAnsi="TimesNewRomanPSMT"/>
          <w:color w:val="FF0000"/>
          <w:sz w:val="20"/>
        </w:rPr>
        <w:t xml:space="preserve"> is defined in Figure 9-64Ix (Trigger Dependent</w:t>
      </w:r>
      <w:r w:rsidR="009833FC" w:rsidRPr="00A518DF">
        <w:rPr>
          <w:rFonts w:ascii="TimesNewRomanPSMT" w:hAnsi="TimesNewRomanPSMT"/>
          <w:color w:val="FF0000"/>
          <w:sz w:val="20"/>
        </w:rPr>
        <w:t xml:space="preserve"> </w:t>
      </w:r>
      <w:r w:rsidR="00E56B81" w:rsidRPr="00A518DF">
        <w:rPr>
          <w:rFonts w:ascii="TimesNewRomanPSMT" w:hAnsi="TimesNewRomanPSMT"/>
          <w:color w:val="FF0000"/>
          <w:sz w:val="20"/>
        </w:rPr>
        <w:t>User Info subfield for the NFRP variant).</w:t>
      </w:r>
      <w:r w:rsidR="002B3799" w:rsidRPr="00A518DF">
        <w:rPr>
          <w:rFonts w:ascii="TimesNewRomanPSMT" w:hAnsi="TimesNewRomanPSMT"/>
          <w:color w:val="FF0000"/>
          <w:sz w:val="20"/>
        </w:rPr>
        <w:t xml:space="preserve"> </w:t>
      </w:r>
      <w:r w:rsidR="00151DA7" w:rsidRPr="00A518DF">
        <w:rPr>
          <w:rFonts w:ascii="TimesNewRomanPSMT" w:hAnsi="TimesNewRomanPSMT"/>
          <w:color w:val="FF0000"/>
          <w:sz w:val="20"/>
        </w:rPr>
        <w:t xml:space="preserve">A non-AP STA shall set the OM Control UL MU Data Disable RX Support to 1 if the non-AP STA supports the </w:t>
      </w:r>
      <w:proofErr w:type="spellStart"/>
      <w:r w:rsidR="00151DA7" w:rsidRPr="00A518DF">
        <w:rPr>
          <w:rStyle w:val="fontstyle01"/>
          <w:color w:val="FF0000"/>
        </w:rPr>
        <w:t>receiption</w:t>
      </w:r>
      <w:proofErr w:type="spellEnd"/>
      <w:r w:rsidR="00151DA7" w:rsidRPr="00A518DF">
        <w:rPr>
          <w:rStyle w:val="fontstyle01"/>
          <w:color w:val="FF0000"/>
        </w:rPr>
        <w:t xml:space="preserve"> of NFRP trigger frame with the presence of the Trigger Dependent User Info subfield. Otherwise set to 0.</w:t>
      </w:r>
    </w:p>
    <w:p w14:paraId="5915426A" w14:textId="0A2D0AD2" w:rsidR="00E56B81" w:rsidRPr="009833FC" w:rsidRDefault="00E56B81" w:rsidP="00E56B81">
      <w:pPr>
        <w:rPr>
          <w:rFonts w:ascii="TimesNewRomanPSMT" w:hAnsi="TimesNewRomanPSMT"/>
          <w:color w:val="FF0000"/>
          <w:sz w:val="20"/>
        </w:rPr>
      </w:pPr>
    </w:p>
    <w:p w14:paraId="5B776700" w14:textId="77777777" w:rsidR="00E56B81" w:rsidRPr="009833FC" w:rsidRDefault="00E56B81" w:rsidP="00E56B81">
      <w:pPr>
        <w:rPr>
          <w:rFonts w:ascii="TimesNewRomanPSMT" w:hAnsi="TimesNewRomanPSMT"/>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35pt;height:75.65pt" o:ole="">
            <v:imagedata r:id="rId8" o:title="" croptop="-1426f" cropbottom="-3761f" cropleft="-1637f" cropright="-551f"/>
          </v:shape>
          <o:OLEObject Type="Embed" ProgID="Visio.Drawing.15" ShapeID="_x0000_i1025" DrawAspect="Content" ObjectID="_1624847754" r:id="rId9"/>
        </w:object>
      </w:r>
    </w:p>
    <w:p w14:paraId="38EAED0F" w14:textId="03248B88" w:rsidR="009833FC" w:rsidRDefault="009833FC" w:rsidP="00E56B81">
      <w:pPr>
        <w:jc w:val="center"/>
        <w:rPr>
          <w:rFonts w:ascii="TimesNewRomanPSMT" w:hAnsi="TimesNewRomanPSMT"/>
          <w:color w:val="FF0000"/>
          <w:sz w:val="20"/>
        </w:rPr>
      </w:pPr>
      <w:r w:rsidRPr="009833FC">
        <w:rPr>
          <w:rFonts w:ascii="TimesNewRomanPSMT" w:hAnsi="TimesNewRomanPSMT"/>
          <w:color w:val="FF0000"/>
          <w:sz w:val="20"/>
        </w:rPr>
        <w:t>Figure 9-64Ix (Trigger Dependent User Info subfield for the NFRP variant)</w:t>
      </w:r>
    </w:p>
    <w:p w14:paraId="51729D2F" w14:textId="77777777" w:rsidR="00072A20" w:rsidRDefault="00072A20" w:rsidP="00E56B81">
      <w:pPr>
        <w:jc w:val="center"/>
        <w:rPr>
          <w:rFonts w:ascii="TimesNewRomanPSMT" w:hAnsi="TimesNewRomanPSMT"/>
          <w:color w:val="FF0000"/>
          <w:sz w:val="20"/>
        </w:rPr>
      </w:pPr>
    </w:p>
    <w:p w14:paraId="35050059" w14:textId="77777777" w:rsidR="00072A20" w:rsidRDefault="00072A20" w:rsidP="00E56B81">
      <w:pPr>
        <w:jc w:val="center"/>
        <w:rPr>
          <w:rFonts w:ascii="TimesNewRomanPSMT" w:hAnsi="TimesNewRomanPSMT"/>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970"/>
      </w:tblGrid>
      <w:tr w:rsidR="00072A20" w14:paraId="7457C30C" w14:textId="77777777" w:rsidTr="00072A20">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2598DCB5" w14:textId="77777777" w:rsidR="00072A20" w:rsidRDefault="00072A20" w:rsidP="00072A20">
            <w:pPr>
              <w:pStyle w:val="TableTitle"/>
              <w:numPr>
                <w:ilvl w:val="0"/>
                <w:numId w:val="34"/>
              </w:numPr>
            </w:pPr>
            <w:r>
              <w:rPr>
                <w:w w:val="100"/>
              </w:rPr>
              <w:t>Feedback Type subfield encoding</w:t>
            </w:r>
          </w:p>
        </w:tc>
      </w:tr>
      <w:tr w:rsidR="00072A20" w14:paraId="3321E9F7" w14:textId="77777777" w:rsidTr="00072A2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2A582" w14:textId="77777777" w:rsidR="00072A20" w:rsidRDefault="00072A20" w:rsidP="0009129B">
            <w:pPr>
              <w:pStyle w:val="CellHeading"/>
            </w:pPr>
            <w:r>
              <w:rPr>
                <w:w w:val="100"/>
              </w:rPr>
              <w:t>Value</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F459B2" w14:textId="77777777" w:rsidR="00072A20" w:rsidRDefault="00072A20" w:rsidP="0009129B">
            <w:pPr>
              <w:pStyle w:val="CellHeading"/>
            </w:pPr>
            <w:r>
              <w:rPr>
                <w:w w:val="100"/>
              </w:rPr>
              <w:t>Description</w:t>
            </w:r>
          </w:p>
        </w:tc>
      </w:tr>
      <w:tr w:rsidR="00072A20" w14:paraId="3D2EC441"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197C93" w14:textId="77777777" w:rsidR="00072A20" w:rsidRDefault="00072A20" w:rsidP="0009129B">
            <w:pPr>
              <w:pStyle w:val="CellBody"/>
              <w:jc w:val="center"/>
            </w:pPr>
            <w:r>
              <w:rPr>
                <w:w w:val="100"/>
              </w:rPr>
              <w:t>0</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CF70E" w14:textId="77777777" w:rsidR="00072A20" w:rsidRDefault="00072A20" w:rsidP="0009129B">
            <w:pPr>
              <w:pStyle w:val="CellBody"/>
            </w:pPr>
            <w:r>
              <w:rPr>
                <w:w w:val="100"/>
              </w:rPr>
              <w:t>Resource request</w:t>
            </w:r>
          </w:p>
        </w:tc>
      </w:tr>
      <w:tr w:rsidR="00072A20" w14:paraId="6099BD85"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F68F7" w14:textId="3DDAB86B" w:rsidR="00072A20" w:rsidRDefault="008A2042" w:rsidP="0009129B">
            <w:pPr>
              <w:pStyle w:val="CellBody"/>
              <w:jc w:val="center"/>
              <w:rPr>
                <w:w w:val="100"/>
              </w:rPr>
            </w:pPr>
            <w:r>
              <w:rPr>
                <w:w w:val="100"/>
              </w:rPr>
              <w:t>1</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A8414" w14:textId="1BA52BDE" w:rsidR="00072A20" w:rsidRPr="005137A9" w:rsidRDefault="00622024" w:rsidP="00622024">
            <w:pPr>
              <w:pStyle w:val="CellBody"/>
              <w:rPr>
                <w:w w:val="100"/>
                <w:sz w:val="20"/>
                <w:szCs w:val="20"/>
              </w:rPr>
            </w:pPr>
            <w:r w:rsidRPr="005137A9">
              <w:rPr>
                <w:color w:val="FF0000"/>
                <w:w w:val="100"/>
                <w:sz w:val="20"/>
                <w:szCs w:val="20"/>
              </w:rPr>
              <w:t>Resource request with the p</w:t>
            </w:r>
            <w:r w:rsidR="00072A20" w:rsidRPr="005137A9">
              <w:rPr>
                <w:color w:val="FF0000"/>
                <w:w w:val="100"/>
                <w:sz w:val="20"/>
                <w:szCs w:val="20"/>
              </w:rPr>
              <w:t xml:space="preserve">resence of </w:t>
            </w:r>
            <w:r w:rsidR="00072A20" w:rsidRPr="005137A9">
              <w:rPr>
                <w:rFonts w:ascii="TimesNewRomanPSMT" w:hAnsi="TimesNewRomanPSMT"/>
                <w:color w:val="FF0000"/>
                <w:sz w:val="20"/>
                <w:szCs w:val="20"/>
              </w:rPr>
              <w:t>Trigger Dependent User Info subfield</w:t>
            </w:r>
          </w:p>
        </w:tc>
      </w:tr>
      <w:tr w:rsidR="00072A20" w14:paraId="10FB426C" w14:textId="77777777" w:rsidTr="00072A2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C55C25" w14:textId="1DA111D2" w:rsidR="00072A20" w:rsidRDefault="00AD2E47" w:rsidP="00072A20">
            <w:pPr>
              <w:pStyle w:val="CellBody"/>
              <w:jc w:val="center"/>
            </w:pPr>
            <w:r>
              <w:rPr>
                <w:w w:val="100"/>
              </w:rPr>
              <w:t>2</w:t>
            </w:r>
            <w:r w:rsidR="00072A20">
              <w:rPr>
                <w:w w:val="100"/>
              </w:rPr>
              <w:t>-15</w:t>
            </w:r>
          </w:p>
        </w:tc>
        <w:tc>
          <w:tcPr>
            <w:tcW w:w="3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6CE788" w14:textId="77777777" w:rsidR="00072A20" w:rsidRDefault="00072A20" w:rsidP="0009129B">
            <w:pPr>
              <w:pStyle w:val="CellBody"/>
            </w:pPr>
            <w:r>
              <w:rPr>
                <w:w w:val="100"/>
              </w:rPr>
              <w:t>Reserved</w:t>
            </w:r>
          </w:p>
        </w:tc>
      </w:tr>
    </w:tbl>
    <w:p w14:paraId="1BEB1BDE" w14:textId="77777777" w:rsidR="00072A20" w:rsidRPr="009833FC" w:rsidRDefault="00072A20" w:rsidP="00E56B81">
      <w:pPr>
        <w:jc w:val="center"/>
        <w:rPr>
          <w:rFonts w:ascii="TimesNewRomanPSMT" w:hAnsi="TimesNewRomanPSMT"/>
          <w:color w:val="FF0000"/>
          <w:sz w:val="20"/>
        </w:rPr>
      </w:pP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3101EA8E" w:rsidR="003E68CC" w:rsidRDefault="00E56B81" w:rsidP="00E56B81">
      <w:pPr>
        <w:rPr>
          <w:color w:val="FF0000"/>
          <w:sz w:val="20"/>
        </w:rPr>
      </w:pPr>
      <w:r w:rsidRPr="002A678B">
        <w:rPr>
          <w:color w:val="FF0000"/>
          <w:sz w:val="20"/>
        </w:rPr>
        <w:lastRenderedPageBreak/>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5E360F">
        <w:rPr>
          <w:color w:val="FF0000"/>
          <w:sz w:val="20"/>
        </w:rPr>
        <w:t>shall</w:t>
      </w:r>
      <w:r w:rsidR="003E68CC">
        <w:rPr>
          <w:color w:val="FF0000"/>
          <w:sz w:val="20"/>
        </w:rPr>
        <w:t xml:space="preserve">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5E360F">
        <w:rPr>
          <w:color w:val="FF0000"/>
          <w:sz w:val="20"/>
        </w:rPr>
        <w:t>may</w:t>
      </w:r>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177918CB"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w:t>
      </w:r>
      <w:r w:rsidR="00AD2E47">
        <w:rPr>
          <w:i/>
          <w:sz w:val="22"/>
          <w:szCs w:val="22"/>
          <w:highlight w:val="yellow"/>
        </w:rPr>
        <w:t>51</w:t>
      </w:r>
      <w:r w:rsidRPr="00BC0710">
        <w:rPr>
          <w:i/>
          <w:sz w:val="22"/>
          <w:szCs w:val="22"/>
          <w:highlight w:val="yellow"/>
        </w:rPr>
        <w:t>.</w:t>
      </w:r>
      <w:r w:rsidR="00AD2E47" w:rsidRPr="00AD2E47">
        <w:rPr>
          <w:i/>
          <w:sz w:val="22"/>
          <w:szCs w:val="22"/>
          <w:highlight w:val="yellow"/>
        </w:rPr>
        <w:t>65</w:t>
      </w:r>
    </w:p>
    <w:p w14:paraId="3930C717" w14:textId="7BC557AE" w:rsidR="00BC0710" w:rsidRDefault="00930BFA" w:rsidP="00E56B81">
      <w:pPr>
        <w:rPr>
          <w:rFonts w:ascii="TimesNewRomanPSMT" w:hAnsi="TimesNewRomanPSMT"/>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color w:val="000000"/>
          <w:sz w:val="20"/>
        </w:rPr>
      </w:pPr>
      <w:r w:rsidRPr="00930BFA">
        <w:rPr>
          <w:rFonts w:ascii="TimesNewRomanPSMT" w:hAnsi="TimesNewRomanPSMT"/>
          <w:color w:val="000000"/>
          <w:sz w:val="20"/>
        </w:rPr>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color w:val="000000"/>
          <w:sz w:val="20"/>
        </w:rPr>
      </w:pPr>
    </w:p>
    <w:p w14:paraId="2FFBCD5F" w14:textId="7E28F8AF" w:rsidR="00BC0710" w:rsidRPr="00E65F30" w:rsidRDefault="008A2042" w:rsidP="00BC0710">
      <w:pPr>
        <w:pStyle w:val="ListParagraph"/>
        <w:numPr>
          <w:ilvl w:val="0"/>
          <w:numId w:val="32"/>
        </w:numPr>
        <w:ind w:leftChars="0" w:left="360"/>
        <w:rPr>
          <w:color w:val="FF0000"/>
          <w:lang w:val="en-US"/>
        </w:rPr>
      </w:pPr>
      <w:r>
        <w:rPr>
          <w:rFonts w:ascii="TimesNewRomanPSMT" w:hAnsi="TimesNewRomanPSMT"/>
          <w:color w:val="FF0000"/>
          <w:sz w:val="20"/>
        </w:rPr>
        <w:t xml:space="preserve">Bit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w:t>
      </w:r>
      <w:r w:rsidR="00DF2B52">
        <w:rPr>
          <w:rFonts w:ascii="TimesNewRomanPSMT" w:hAnsi="TimesNewRomanPSMT"/>
          <w:color w:val="FF0000"/>
          <w:sz w:val="20"/>
        </w:rPr>
        <w:t xml:space="preserve">n the NFRP Feedback Blocking Bit Map subfield, </w:t>
      </w:r>
      <w:r>
        <w:rPr>
          <w:rFonts w:ascii="TimesNewRomanPSMT" w:hAnsi="TimesNewRomanPSMT"/>
          <w:color w:val="FF0000"/>
          <w:sz w:val="20"/>
        </w:rPr>
        <w:t xml:space="preserve">if present, </w:t>
      </w:r>
      <w:r w:rsidR="00DF2B52">
        <w:rPr>
          <w:rFonts w:ascii="TimesNewRomanPSMT" w:hAnsi="TimesNewRomanPSMT"/>
          <w:color w:val="FF0000"/>
          <w:sz w:val="20"/>
        </w:rPr>
        <w:t>is set to 0.</w:t>
      </w:r>
    </w:p>
    <w:p w14:paraId="32A7B002" w14:textId="77777777" w:rsidR="00E65F30" w:rsidRDefault="00E65F30" w:rsidP="00E65F30">
      <w:pPr>
        <w:rPr>
          <w:color w:val="FF0000"/>
          <w:lang w:val="en-US"/>
        </w:rPr>
      </w:pPr>
    </w:p>
    <w:p w14:paraId="56E273BC" w14:textId="77777777" w:rsidR="00151DA7" w:rsidRDefault="00151DA7" w:rsidP="00D5093F">
      <w:pPr>
        <w:rPr>
          <w:color w:val="FF0000"/>
        </w:rPr>
      </w:pPr>
    </w:p>
    <w:p w14:paraId="4639CABD" w14:textId="77777777" w:rsidR="00151DA7" w:rsidRDefault="00151DA7" w:rsidP="00151DA7">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w:t>
      </w:r>
      <w:r>
        <w:rPr>
          <w:i/>
          <w:sz w:val="22"/>
          <w:szCs w:val="22"/>
          <w:highlight w:val="yellow"/>
        </w:rPr>
        <w:t>modify the following entry</w:t>
      </w:r>
      <w:r w:rsidRPr="00BC0710">
        <w:rPr>
          <w:i/>
          <w:sz w:val="22"/>
          <w:szCs w:val="22"/>
          <w:highlight w:val="yellow"/>
        </w:rPr>
        <w:t xml:space="preserve"> in P.L. </w:t>
      </w:r>
      <w:r w:rsidRPr="00210440">
        <w:rPr>
          <w:i/>
          <w:sz w:val="22"/>
          <w:szCs w:val="22"/>
          <w:highlight w:val="yellow"/>
        </w:rPr>
        <w:t>176.40</w:t>
      </w:r>
    </w:p>
    <w:p w14:paraId="32237C71" w14:textId="77777777" w:rsidR="00151DA7" w:rsidRPr="006D0CDB" w:rsidRDefault="00151DA7" w:rsidP="00151DA7">
      <w:pPr>
        <w:rPr>
          <w:color w:val="FF0000"/>
        </w:rPr>
      </w:pPr>
    </w:p>
    <w:p w14:paraId="1669D558" w14:textId="77777777" w:rsidR="00151DA7" w:rsidRDefault="00151DA7" w:rsidP="00151DA7">
      <w:pPr>
        <w:rPr>
          <w:color w:val="FF0000"/>
        </w:rPr>
      </w:pPr>
    </w:p>
    <w:tbl>
      <w:tblPr>
        <w:tblStyle w:val="TableGrid"/>
        <w:tblW w:w="0" w:type="auto"/>
        <w:tblLook w:val="04A0" w:firstRow="1" w:lastRow="0" w:firstColumn="1" w:lastColumn="0" w:noHBand="0" w:noVBand="1"/>
      </w:tblPr>
      <w:tblGrid>
        <w:gridCol w:w="3284"/>
        <w:gridCol w:w="3285"/>
        <w:gridCol w:w="3285"/>
      </w:tblGrid>
      <w:tr w:rsidR="00151DA7" w14:paraId="5259FD1D" w14:textId="77777777" w:rsidTr="00706BD2">
        <w:tc>
          <w:tcPr>
            <w:tcW w:w="3284" w:type="dxa"/>
          </w:tcPr>
          <w:p w14:paraId="752A3FB9" w14:textId="77777777" w:rsidR="00151DA7" w:rsidRDefault="00151DA7" w:rsidP="00706BD2">
            <w:pPr>
              <w:rPr>
                <w:sz w:val="24"/>
                <w:lang w:val="en-US" w:eastAsia="zh-CN"/>
              </w:rPr>
            </w:pPr>
            <w:r>
              <w:rPr>
                <w:rStyle w:val="fontstyle01"/>
              </w:rPr>
              <w:t>OM Control UL</w:t>
            </w:r>
            <w:r>
              <w:rPr>
                <w:rFonts w:ascii="TimesNewRomanPSMT" w:hAnsi="TimesNewRomanPSMT"/>
                <w:color w:val="000000"/>
                <w:szCs w:val="18"/>
              </w:rPr>
              <w:br/>
            </w:r>
            <w:r>
              <w:rPr>
                <w:rStyle w:val="fontstyle01"/>
              </w:rPr>
              <w:t>MU Data Disable</w:t>
            </w:r>
            <w:r>
              <w:rPr>
                <w:rFonts w:ascii="TimesNewRomanPSMT" w:hAnsi="TimesNewRomanPSMT"/>
                <w:color w:val="000000"/>
                <w:szCs w:val="18"/>
              </w:rPr>
              <w:br/>
            </w:r>
            <w:r>
              <w:rPr>
                <w:rStyle w:val="fontstyle01"/>
              </w:rPr>
              <w:t>RX Support</w:t>
            </w:r>
          </w:p>
          <w:p w14:paraId="70DB833B" w14:textId="77777777" w:rsidR="00151DA7" w:rsidRPr="006D0CDB" w:rsidRDefault="00151DA7" w:rsidP="00706BD2">
            <w:pPr>
              <w:rPr>
                <w:color w:val="FF0000"/>
                <w:lang w:val="en-US"/>
              </w:rPr>
            </w:pPr>
          </w:p>
        </w:tc>
        <w:tc>
          <w:tcPr>
            <w:tcW w:w="3285" w:type="dxa"/>
          </w:tcPr>
          <w:p w14:paraId="30466559" w14:textId="77777777" w:rsidR="00151DA7" w:rsidRDefault="00151DA7" w:rsidP="00706BD2">
            <w:pPr>
              <w:rPr>
                <w:sz w:val="24"/>
                <w:lang w:val="en-US" w:eastAsia="zh-CN"/>
              </w:rPr>
            </w:pPr>
            <w:r>
              <w:rPr>
                <w:rStyle w:val="fontstyle01"/>
              </w:rPr>
              <w:t>Indicates whether an AP supports</w:t>
            </w:r>
            <w:r>
              <w:rPr>
                <w:rFonts w:ascii="TimesNewRomanPSMT" w:hAnsi="TimesNewRomanPSMT"/>
                <w:color w:val="000000"/>
                <w:szCs w:val="18"/>
              </w:rPr>
              <w:br/>
            </w:r>
            <w:r>
              <w:rPr>
                <w:rStyle w:val="fontstyle01"/>
              </w:rPr>
              <w:t>interpretation of the UL MU Data</w:t>
            </w:r>
            <w:r>
              <w:rPr>
                <w:rFonts w:ascii="TimesNewRomanPSMT" w:hAnsi="TimesNewRomanPSMT"/>
                <w:color w:val="000000"/>
                <w:szCs w:val="18"/>
              </w:rPr>
              <w:br/>
            </w:r>
            <w:r>
              <w:rPr>
                <w:rStyle w:val="fontstyle01"/>
              </w:rPr>
              <w:t>Disable subfield of the OM Con</w:t>
            </w:r>
            <w:r>
              <w:rPr>
                <w:rFonts w:ascii="TimesNewRomanPSMT" w:hAnsi="TimesNewRomanPSMT"/>
                <w:color w:val="000000"/>
                <w:szCs w:val="18"/>
              </w:rPr>
              <w:br/>
            </w:r>
            <w:proofErr w:type="spellStart"/>
            <w:r>
              <w:rPr>
                <w:rStyle w:val="fontstyle01"/>
              </w:rPr>
              <w:t>trol</w:t>
            </w:r>
            <w:proofErr w:type="spellEnd"/>
            <w:r>
              <w:rPr>
                <w:rStyle w:val="fontstyle01"/>
              </w:rPr>
              <w:t xml:space="preserve"> subfield as described in 26.5.2</w:t>
            </w:r>
            <w:r>
              <w:rPr>
                <w:rFonts w:ascii="TimesNewRomanPSMT" w:hAnsi="TimesNewRomanPSMT"/>
                <w:color w:val="000000"/>
                <w:szCs w:val="18"/>
              </w:rPr>
              <w:br/>
            </w:r>
            <w:r>
              <w:rPr>
                <w:rStyle w:val="fontstyle01"/>
              </w:rPr>
              <w:t>(UL MU operation).</w:t>
            </w:r>
          </w:p>
          <w:p w14:paraId="17AAC500" w14:textId="77777777" w:rsidR="00151DA7" w:rsidRPr="006D0CDB" w:rsidRDefault="00151DA7" w:rsidP="00706BD2">
            <w:pPr>
              <w:rPr>
                <w:color w:val="FF0000"/>
                <w:lang w:val="en-US"/>
              </w:rPr>
            </w:pPr>
          </w:p>
        </w:tc>
        <w:tc>
          <w:tcPr>
            <w:tcW w:w="3285" w:type="dxa"/>
          </w:tcPr>
          <w:p w14:paraId="0D545749" w14:textId="77777777" w:rsidR="00151DA7" w:rsidRDefault="00151DA7" w:rsidP="00706BD2">
            <w:pPr>
              <w:rPr>
                <w:rStyle w:val="fontstyle01"/>
              </w:rPr>
            </w:pPr>
            <w:r>
              <w:rPr>
                <w:rStyle w:val="fontstyle01"/>
              </w:rPr>
              <w:t>For an AP</w:t>
            </w:r>
            <w:proofErr w:type="gramStart"/>
            <w:r>
              <w:rPr>
                <w:rStyle w:val="fontstyle01"/>
              </w:rPr>
              <w:t>:</w:t>
            </w:r>
            <w:proofErr w:type="gramEnd"/>
            <w:r>
              <w:rPr>
                <w:rFonts w:ascii="TimesNewRomanPSMT" w:hAnsi="TimesNewRomanPSMT"/>
                <w:color w:val="000000"/>
                <w:szCs w:val="18"/>
              </w:rPr>
              <w:br/>
            </w:r>
            <w:r>
              <w:rPr>
                <w:rStyle w:val="fontstyle01"/>
              </w:rPr>
              <w:t>Set to 1 if supported.</w:t>
            </w:r>
            <w:r>
              <w:rPr>
                <w:rFonts w:ascii="TimesNewRomanPSMT" w:hAnsi="TimesNewRomanPSMT"/>
                <w:color w:val="000000"/>
                <w:szCs w:val="18"/>
              </w:rPr>
              <w:br/>
            </w:r>
            <w:r>
              <w:rPr>
                <w:rStyle w:val="fontstyle01"/>
              </w:rPr>
              <w:t>Set to 0 otherwise.</w:t>
            </w:r>
          </w:p>
          <w:p w14:paraId="77A54D87" w14:textId="77777777" w:rsidR="00151DA7" w:rsidRDefault="00151DA7" w:rsidP="00706BD2">
            <w:pPr>
              <w:rPr>
                <w:rStyle w:val="fontstyle01"/>
                <w:strike/>
                <w:color w:val="C0504D" w:themeColor="accent2"/>
              </w:rPr>
            </w:pPr>
            <w:r w:rsidRPr="006D0CDB">
              <w:rPr>
                <w:rFonts w:ascii="TimesNewRomanPSMT" w:hAnsi="TimesNewRomanPSMT"/>
                <w:strike/>
                <w:color w:val="C0504D" w:themeColor="accent2"/>
                <w:szCs w:val="18"/>
              </w:rPr>
              <w:br/>
            </w:r>
            <w:r w:rsidRPr="006D0CDB">
              <w:rPr>
                <w:rStyle w:val="fontstyle01"/>
                <w:strike/>
                <w:color w:val="C0504D" w:themeColor="accent2"/>
              </w:rPr>
              <w:t>Reserved for a non-AP STA</w:t>
            </w:r>
          </w:p>
          <w:p w14:paraId="1B9C3539" w14:textId="77777777" w:rsidR="00151DA7" w:rsidRPr="00E75444" w:rsidRDefault="00151DA7" w:rsidP="00706BD2">
            <w:pPr>
              <w:rPr>
                <w:rStyle w:val="fontstyle01"/>
                <w:color w:val="FF0000"/>
              </w:rPr>
            </w:pPr>
            <w:r w:rsidRPr="00E75444">
              <w:rPr>
                <w:rStyle w:val="fontstyle01"/>
                <w:color w:val="FF0000"/>
              </w:rPr>
              <w:t>For a non-AP STA:</w:t>
            </w:r>
          </w:p>
          <w:p w14:paraId="52B284E0" w14:textId="77777777" w:rsidR="00151DA7" w:rsidRPr="00E75444" w:rsidRDefault="00151DA7" w:rsidP="00706BD2">
            <w:pPr>
              <w:rPr>
                <w:rStyle w:val="fontstyle01"/>
                <w:color w:val="FF0000"/>
              </w:rPr>
            </w:pPr>
            <w:r w:rsidRPr="00E75444">
              <w:rPr>
                <w:rStyle w:val="fontstyle01"/>
                <w:rFonts w:hint="eastAsia"/>
                <w:color w:val="FF0000"/>
              </w:rPr>
              <w:t>S</w:t>
            </w:r>
            <w:r w:rsidRPr="00E75444">
              <w:rPr>
                <w:rStyle w:val="fontstyle01"/>
                <w:color w:val="FF0000"/>
              </w:rPr>
              <w:t xml:space="preserve">et to 1 if the STA supports the </w:t>
            </w:r>
            <w:proofErr w:type="spellStart"/>
            <w:r w:rsidRPr="00E75444">
              <w:rPr>
                <w:rStyle w:val="fontstyle01"/>
                <w:color w:val="FF0000"/>
              </w:rPr>
              <w:t>receiption</w:t>
            </w:r>
            <w:proofErr w:type="spellEnd"/>
            <w:r w:rsidRPr="00E75444">
              <w:rPr>
                <w:rStyle w:val="fontstyle01"/>
                <w:color w:val="FF0000"/>
              </w:rPr>
              <w:t xml:space="preserve"> of NFRP trigger frame with the presence of the Trigger Dependent User Info subfield.</w:t>
            </w:r>
          </w:p>
          <w:p w14:paraId="25A075EB" w14:textId="77777777" w:rsidR="00151DA7" w:rsidRPr="00E75444" w:rsidRDefault="00151DA7" w:rsidP="00706BD2">
            <w:pPr>
              <w:rPr>
                <w:rStyle w:val="fontstyle01"/>
                <w:color w:val="FF0000"/>
              </w:rPr>
            </w:pPr>
          </w:p>
          <w:p w14:paraId="17D88B78" w14:textId="77777777" w:rsidR="00151DA7" w:rsidRPr="00E75444" w:rsidRDefault="00151DA7" w:rsidP="00706BD2">
            <w:pPr>
              <w:rPr>
                <w:rStyle w:val="fontstyle01"/>
                <w:color w:val="FF0000"/>
              </w:rPr>
            </w:pPr>
            <w:r w:rsidRPr="00E75444">
              <w:rPr>
                <w:rStyle w:val="fontstyle01"/>
                <w:rFonts w:hint="eastAsia"/>
                <w:color w:val="FF0000"/>
              </w:rPr>
              <w:t>S</w:t>
            </w:r>
            <w:r w:rsidRPr="00E75444">
              <w:rPr>
                <w:rStyle w:val="fontstyle01"/>
                <w:color w:val="FF0000"/>
              </w:rPr>
              <w:t xml:space="preserve">et to 0 if the STA does not support the </w:t>
            </w:r>
            <w:proofErr w:type="spellStart"/>
            <w:r w:rsidRPr="00E75444">
              <w:rPr>
                <w:rStyle w:val="fontstyle01"/>
                <w:color w:val="FF0000"/>
              </w:rPr>
              <w:t>receiption</w:t>
            </w:r>
            <w:proofErr w:type="spellEnd"/>
            <w:r w:rsidRPr="00E75444">
              <w:rPr>
                <w:rStyle w:val="fontstyle01"/>
                <w:color w:val="FF0000"/>
              </w:rPr>
              <w:t xml:space="preserve"> of NFRP trigger frame with the presence of the Trigger Dependent User Info subfield.</w:t>
            </w:r>
          </w:p>
          <w:p w14:paraId="696B3EED" w14:textId="77777777" w:rsidR="00151DA7" w:rsidRPr="006D0CDB" w:rsidRDefault="00151DA7" w:rsidP="00706BD2">
            <w:pPr>
              <w:rPr>
                <w:color w:val="FF0000"/>
              </w:rPr>
            </w:pPr>
          </w:p>
        </w:tc>
      </w:tr>
    </w:tbl>
    <w:p w14:paraId="487EDEE5" w14:textId="77777777" w:rsidR="00151DA7" w:rsidRPr="00D5093F" w:rsidRDefault="00151DA7" w:rsidP="00D5093F">
      <w:pPr>
        <w:rPr>
          <w:color w:val="FF0000"/>
        </w:rPr>
      </w:pPr>
    </w:p>
    <w:p w14:paraId="24267964" w14:textId="091CFC09" w:rsidR="005243A7" w:rsidRPr="005243A7" w:rsidRDefault="005243A7" w:rsidP="005243A7">
      <w:pPr>
        <w:pStyle w:val="ListParagraph"/>
        <w:ind w:leftChars="0" w:left="720"/>
        <w:rPr>
          <w:rFonts w:ascii="TimesNewRomanPSMT" w:hAnsi="TimesNewRomanPSMT"/>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Default="005243A7" w:rsidP="005243A7">
      <w:pPr>
        <w:rPr>
          <w:color w:val="FF0000"/>
          <w:lang w:val="en-US"/>
        </w:rPr>
      </w:pPr>
    </w:p>
    <w:p w14:paraId="32A5FEF4" w14:textId="77777777" w:rsidR="00314B89" w:rsidRDefault="00314B89" w:rsidP="005243A7">
      <w:pPr>
        <w:rPr>
          <w:color w:val="FF0000"/>
          <w:lang w:val="en-US"/>
        </w:rPr>
      </w:pPr>
    </w:p>
    <w:p w14:paraId="2532B61A" w14:textId="77777777" w:rsidR="00314B89" w:rsidRDefault="00314B89" w:rsidP="005243A7">
      <w:pPr>
        <w:rPr>
          <w:color w:val="FF0000"/>
          <w:lang w:val="en-US"/>
        </w:rPr>
      </w:pPr>
    </w:p>
    <w:p w14:paraId="2580C6A8" w14:textId="77777777" w:rsidR="00314B89" w:rsidRDefault="00314B89" w:rsidP="005243A7">
      <w:pPr>
        <w:rPr>
          <w:color w:val="FF0000"/>
          <w:lang w:val="en-US"/>
        </w:rPr>
      </w:pPr>
    </w:p>
    <w:p w14:paraId="5851F23F" w14:textId="77777777" w:rsidR="00314B89" w:rsidRDefault="00314B89" w:rsidP="005243A7">
      <w:pPr>
        <w:rPr>
          <w:color w:val="FF0000"/>
          <w:lang w:val="en-US"/>
        </w:rPr>
      </w:pPr>
    </w:p>
    <w:p w14:paraId="5AC74535" w14:textId="77777777" w:rsidR="00314B89" w:rsidRDefault="00314B89" w:rsidP="005243A7">
      <w:pPr>
        <w:rPr>
          <w:color w:val="FF0000"/>
          <w:lang w:val="en-US"/>
        </w:rPr>
      </w:pPr>
    </w:p>
    <w:p w14:paraId="29B6F8CB" w14:textId="77777777" w:rsidR="00314B89" w:rsidRDefault="00314B89" w:rsidP="005243A7">
      <w:pPr>
        <w:rPr>
          <w:color w:val="FF0000"/>
          <w:lang w:val="en-US"/>
        </w:rPr>
      </w:pPr>
    </w:p>
    <w:p w14:paraId="6B7344DB" w14:textId="77777777" w:rsidR="00314B89" w:rsidRDefault="00314B89" w:rsidP="005243A7">
      <w:pPr>
        <w:rPr>
          <w:color w:val="FF0000"/>
          <w:lang w:val="en-US"/>
        </w:rPr>
      </w:pPr>
    </w:p>
    <w:p w14:paraId="40257FD8" w14:textId="77777777" w:rsidR="00314B89" w:rsidRDefault="00314B89" w:rsidP="005243A7">
      <w:pPr>
        <w:rPr>
          <w:color w:val="FF0000"/>
          <w:lang w:val="en-US"/>
        </w:rPr>
      </w:pPr>
    </w:p>
    <w:p w14:paraId="79A645BA" w14:textId="77777777" w:rsidR="00314B89" w:rsidRDefault="00314B89" w:rsidP="005243A7">
      <w:pPr>
        <w:rPr>
          <w:color w:val="FF0000"/>
          <w:lang w:val="en-US"/>
        </w:rPr>
      </w:pPr>
    </w:p>
    <w:p w14:paraId="7ACDDC9D" w14:textId="77777777" w:rsidR="00314B89" w:rsidRDefault="00314B89" w:rsidP="005243A7">
      <w:pPr>
        <w:rPr>
          <w:color w:val="FF0000"/>
          <w:lang w:val="en-US"/>
        </w:rPr>
      </w:pPr>
    </w:p>
    <w:p w14:paraId="4695708A" w14:textId="77777777" w:rsidR="00314B89" w:rsidRDefault="00314B89" w:rsidP="005243A7">
      <w:pPr>
        <w:rPr>
          <w:color w:val="FF0000"/>
          <w:lang w:val="en-US"/>
        </w:rPr>
      </w:pPr>
    </w:p>
    <w:p w14:paraId="6E0B418F" w14:textId="77777777" w:rsidR="00314B89" w:rsidRDefault="00314B89" w:rsidP="005243A7">
      <w:pPr>
        <w:rPr>
          <w:color w:val="FF0000"/>
          <w:lang w:val="en-US"/>
        </w:rPr>
      </w:pPr>
    </w:p>
    <w:p w14:paraId="40DF0C93" w14:textId="77777777" w:rsidR="00314B89" w:rsidRDefault="00314B89" w:rsidP="005243A7">
      <w:pPr>
        <w:rPr>
          <w:color w:val="FF0000"/>
          <w:lang w:val="en-US"/>
        </w:rPr>
      </w:pPr>
    </w:p>
    <w:p w14:paraId="47F24688" w14:textId="77777777" w:rsidR="00314B89" w:rsidRDefault="00314B89" w:rsidP="005243A7">
      <w:pPr>
        <w:rPr>
          <w:color w:val="FF0000"/>
          <w:lang w:val="en-US"/>
        </w:rPr>
      </w:pPr>
    </w:p>
    <w:p w14:paraId="2A6F969C" w14:textId="77777777" w:rsidR="00314B89" w:rsidRDefault="00314B89" w:rsidP="005243A7">
      <w:pPr>
        <w:rPr>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77"/>
        <w:gridCol w:w="872"/>
        <w:gridCol w:w="695"/>
        <w:gridCol w:w="628"/>
        <w:gridCol w:w="1765"/>
        <w:gridCol w:w="1560"/>
        <w:gridCol w:w="2084"/>
      </w:tblGrid>
      <w:tr w:rsidR="00314B89" w:rsidRPr="00CE050C" w14:paraId="4583F93B" w14:textId="77777777" w:rsidTr="0031779A">
        <w:trPr>
          <w:trHeight w:val="611"/>
        </w:trPr>
        <w:tc>
          <w:tcPr>
            <w:tcW w:w="0" w:type="auto"/>
            <w:shd w:val="clear" w:color="auto" w:fill="auto"/>
          </w:tcPr>
          <w:p w14:paraId="72382E2D" w14:textId="77777777" w:rsidR="00314B89" w:rsidRPr="00CE050C" w:rsidRDefault="00314B89" w:rsidP="0031779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lastRenderedPageBreak/>
              <w:t>CID</w:t>
            </w:r>
          </w:p>
        </w:tc>
        <w:tc>
          <w:tcPr>
            <w:tcW w:w="0" w:type="auto"/>
            <w:shd w:val="clear" w:color="auto" w:fill="auto"/>
          </w:tcPr>
          <w:p w14:paraId="7050743F"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988977C"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682860F6"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701CB34D"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8178D6E"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A99838F"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4E58F38B" w14:textId="77777777" w:rsidR="00314B89" w:rsidRPr="00CE050C" w:rsidRDefault="00314B89" w:rsidP="0031779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314B89" w:rsidRPr="00CE050C" w14:paraId="163CB986" w14:textId="77777777" w:rsidTr="0031779A">
        <w:trPr>
          <w:trHeight w:val="3000"/>
        </w:trPr>
        <w:tc>
          <w:tcPr>
            <w:tcW w:w="0" w:type="auto"/>
            <w:shd w:val="clear" w:color="auto" w:fill="auto"/>
            <w:hideMark/>
          </w:tcPr>
          <w:p w14:paraId="72FD2F30" w14:textId="7B9AB2FE" w:rsidR="00314B89" w:rsidRPr="00CE050C" w:rsidRDefault="00314B89" w:rsidP="00314B8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436</w:t>
            </w:r>
          </w:p>
        </w:tc>
        <w:tc>
          <w:tcPr>
            <w:tcW w:w="0" w:type="auto"/>
            <w:shd w:val="clear" w:color="auto" w:fill="auto"/>
            <w:hideMark/>
          </w:tcPr>
          <w:p w14:paraId="63CD4926" w14:textId="77777777" w:rsidR="00314B89" w:rsidRDefault="00314B89" w:rsidP="00314B89">
            <w:pPr>
              <w:rPr>
                <w:rFonts w:ascii="Arial" w:hAnsi="Arial" w:cs="Arial"/>
                <w:sz w:val="20"/>
                <w:lang w:val="en-US" w:eastAsia="zh-CN"/>
              </w:rPr>
            </w:pPr>
            <w:r>
              <w:rPr>
                <w:rFonts w:ascii="Arial" w:hAnsi="Arial" w:cs="Arial"/>
                <w:sz w:val="20"/>
              </w:rPr>
              <w:t xml:space="preserve">Stephen </w:t>
            </w:r>
            <w:proofErr w:type="spellStart"/>
            <w:r>
              <w:rPr>
                <w:rFonts w:ascii="Arial" w:hAnsi="Arial" w:cs="Arial"/>
                <w:sz w:val="20"/>
              </w:rPr>
              <w:t>Shellhammer</w:t>
            </w:r>
            <w:proofErr w:type="spellEnd"/>
          </w:p>
          <w:p w14:paraId="76082DB5" w14:textId="7BB88ACE" w:rsidR="00314B89" w:rsidRPr="00CE050C" w:rsidRDefault="00314B89" w:rsidP="0031779A">
            <w:pPr>
              <w:rPr>
                <w:rFonts w:ascii="Arial" w:eastAsia="Times New Roman" w:hAnsi="Arial" w:cs="Arial"/>
                <w:sz w:val="20"/>
                <w:lang w:val="en-US" w:eastAsia="zh-CN"/>
              </w:rPr>
            </w:pPr>
          </w:p>
        </w:tc>
        <w:tc>
          <w:tcPr>
            <w:tcW w:w="0" w:type="auto"/>
            <w:shd w:val="clear" w:color="auto" w:fill="auto"/>
            <w:hideMark/>
          </w:tcPr>
          <w:p w14:paraId="32CE80E6" w14:textId="13B6FA32" w:rsidR="00314B89" w:rsidRDefault="00314B89" w:rsidP="0031779A">
            <w:pPr>
              <w:rPr>
                <w:rFonts w:ascii="Arial" w:hAnsi="Arial" w:cs="Arial"/>
                <w:sz w:val="20"/>
                <w:lang w:val="en-US" w:eastAsia="zh-CN"/>
              </w:rPr>
            </w:pPr>
            <w:r>
              <w:rPr>
                <w:rFonts w:ascii="Arial" w:hAnsi="Arial" w:cs="Arial"/>
                <w:sz w:val="20"/>
              </w:rPr>
              <w:t>27.3.5</w:t>
            </w:r>
          </w:p>
          <w:p w14:paraId="3733D30B" w14:textId="77777777" w:rsidR="00314B89" w:rsidRPr="00CE050C" w:rsidRDefault="00314B89" w:rsidP="0031779A">
            <w:pPr>
              <w:rPr>
                <w:rFonts w:ascii="Arial" w:eastAsia="Times New Roman" w:hAnsi="Arial" w:cs="Arial"/>
                <w:sz w:val="20"/>
                <w:lang w:val="en-US" w:eastAsia="zh-CN"/>
              </w:rPr>
            </w:pPr>
          </w:p>
        </w:tc>
        <w:tc>
          <w:tcPr>
            <w:tcW w:w="0" w:type="auto"/>
            <w:shd w:val="clear" w:color="auto" w:fill="auto"/>
            <w:hideMark/>
          </w:tcPr>
          <w:p w14:paraId="5A341E84" w14:textId="06E0E90F" w:rsidR="00314B89" w:rsidRPr="00CE050C" w:rsidRDefault="00314B89" w:rsidP="0031779A">
            <w:pPr>
              <w:rPr>
                <w:rFonts w:ascii="Arial" w:eastAsia="Times New Roman" w:hAnsi="Arial" w:cs="Arial"/>
                <w:sz w:val="20"/>
                <w:lang w:val="en-US" w:eastAsia="zh-CN"/>
              </w:rPr>
            </w:pPr>
            <w:r>
              <w:rPr>
                <w:rFonts w:ascii="Arial" w:eastAsia="Times New Roman" w:hAnsi="Arial" w:cs="Arial"/>
                <w:sz w:val="20"/>
                <w:lang w:val="en-US" w:eastAsia="zh-CN"/>
              </w:rPr>
              <w:t>495</w:t>
            </w:r>
          </w:p>
        </w:tc>
        <w:tc>
          <w:tcPr>
            <w:tcW w:w="0" w:type="auto"/>
            <w:shd w:val="clear" w:color="auto" w:fill="auto"/>
            <w:hideMark/>
          </w:tcPr>
          <w:p w14:paraId="1C839FC6" w14:textId="77777777" w:rsidR="00314B89" w:rsidRPr="00CE050C" w:rsidRDefault="00314B89" w:rsidP="0031779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6CC3E736" w14:textId="77777777" w:rsidR="00314B89" w:rsidRDefault="00314B89" w:rsidP="00314B89">
            <w:pPr>
              <w:rPr>
                <w:rFonts w:ascii="Arial" w:hAnsi="Arial" w:cs="Arial"/>
                <w:sz w:val="20"/>
                <w:lang w:val="en-US" w:eastAsia="zh-CN"/>
              </w:rPr>
            </w:pPr>
            <w:r>
              <w:rPr>
                <w:rFonts w:ascii="Arial" w:hAnsi="Arial" w:cs="Arial"/>
                <w:sz w:val="20"/>
              </w:rPr>
              <w:t>A new term "non-DL MU-MIMO HE PPDU" is introduces without being defined.</w:t>
            </w:r>
          </w:p>
          <w:p w14:paraId="73D46745" w14:textId="77777777" w:rsidR="00314B89" w:rsidRPr="00CE050C" w:rsidRDefault="00314B89" w:rsidP="0031779A">
            <w:pPr>
              <w:rPr>
                <w:rFonts w:ascii="Arial" w:eastAsia="Times New Roman" w:hAnsi="Arial" w:cs="Arial"/>
                <w:sz w:val="20"/>
                <w:lang w:val="en-US" w:eastAsia="zh-CN"/>
              </w:rPr>
            </w:pPr>
          </w:p>
        </w:tc>
        <w:tc>
          <w:tcPr>
            <w:tcW w:w="0" w:type="auto"/>
            <w:shd w:val="clear" w:color="auto" w:fill="auto"/>
            <w:hideMark/>
          </w:tcPr>
          <w:p w14:paraId="020A87CA" w14:textId="77777777" w:rsidR="00314B89" w:rsidRDefault="00314B89" w:rsidP="00314B89">
            <w:pPr>
              <w:rPr>
                <w:rFonts w:ascii="Arial" w:hAnsi="Arial" w:cs="Arial"/>
                <w:sz w:val="20"/>
                <w:lang w:val="en-US" w:eastAsia="zh-CN"/>
              </w:rPr>
            </w:pPr>
            <w:r>
              <w:rPr>
                <w:rFonts w:ascii="Arial" w:hAnsi="Arial" w:cs="Arial"/>
                <w:sz w:val="20"/>
              </w:rPr>
              <w:t>Add a sentence to define "non-DL MU-MIMO HE PPDU"</w:t>
            </w:r>
          </w:p>
          <w:p w14:paraId="03461A0D" w14:textId="77777777" w:rsidR="00314B89" w:rsidRPr="00CE050C" w:rsidRDefault="00314B89" w:rsidP="0031779A">
            <w:pPr>
              <w:rPr>
                <w:rFonts w:ascii="Arial" w:eastAsia="Times New Roman" w:hAnsi="Arial" w:cs="Arial"/>
                <w:sz w:val="20"/>
                <w:lang w:val="en-US" w:eastAsia="zh-CN"/>
              </w:rPr>
            </w:pPr>
          </w:p>
        </w:tc>
        <w:tc>
          <w:tcPr>
            <w:tcW w:w="0" w:type="auto"/>
          </w:tcPr>
          <w:p w14:paraId="623CDB07" w14:textId="77777777" w:rsidR="00314B89" w:rsidRDefault="00314B89" w:rsidP="0031779A">
            <w:pPr>
              <w:rPr>
                <w:rFonts w:eastAsia="Times New Roman"/>
                <w:color w:val="000000"/>
                <w:szCs w:val="18"/>
                <w:lang w:val="en-US"/>
              </w:rPr>
            </w:pPr>
            <w:r>
              <w:rPr>
                <w:rFonts w:eastAsia="Times New Roman"/>
                <w:color w:val="000000"/>
                <w:szCs w:val="18"/>
                <w:lang w:val="en-US"/>
              </w:rPr>
              <w:t>Rejected-</w:t>
            </w:r>
          </w:p>
          <w:p w14:paraId="74B19789" w14:textId="77777777" w:rsidR="00314B89" w:rsidRDefault="00314B89" w:rsidP="0031779A">
            <w:pPr>
              <w:rPr>
                <w:rFonts w:eastAsia="Times New Roman"/>
                <w:color w:val="000000"/>
                <w:szCs w:val="18"/>
                <w:lang w:val="en-US"/>
              </w:rPr>
            </w:pPr>
          </w:p>
          <w:p w14:paraId="6F050D13" w14:textId="77777777" w:rsidR="00314B89" w:rsidRDefault="00314B89" w:rsidP="0031779A">
            <w:pPr>
              <w:rPr>
                <w:rFonts w:eastAsia="Times New Roman"/>
                <w:color w:val="000000"/>
                <w:szCs w:val="18"/>
                <w:lang w:val="en-US"/>
              </w:rPr>
            </w:pPr>
            <w:r>
              <w:rPr>
                <w:rFonts w:eastAsia="Times New Roman"/>
                <w:color w:val="000000"/>
                <w:szCs w:val="18"/>
                <w:lang w:val="en-US"/>
              </w:rPr>
              <w:t>The definition is right after the terminology.</w:t>
            </w:r>
          </w:p>
          <w:p w14:paraId="7FA273AD" w14:textId="3A9A0309" w:rsidR="00314B89" w:rsidRPr="00CE050C" w:rsidRDefault="00314B89" w:rsidP="0031779A">
            <w:pPr>
              <w:rPr>
                <w:rFonts w:ascii="Arial" w:eastAsia="Times New Roman" w:hAnsi="Arial" w:cs="Arial"/>
                <w:sz w:val="20"/>
                <w:lang w:val="en-US" w:eastAsia="zh-CN"/>
              </w:rPr>
            </w:pPr>
            <w:r>
              <w:rPr>
                <w:rFonts w:ascii="TimesNewRomanPSMT" w:eastAsia="TimesNewRomanPSMT" w:hAnsi="TimesNewRomanPSMT"/>
                <w:color w:val="000000"/>
              </w:rPr>
              <w:t>“</w:t>
            </w:r>
            <w:r w:rsidRPr="00314B89">
              <w:rPr>
                <w:rFonts w:ascii="TimesNewRomanPSMT" w:eastAsia="TimesNewRomanPSMT" w:hAnsi="TimesNewRomanPSMT"/>
                <w:color w:val="000000"/>
              </w:rPr>
              <w:t>The Data field of a non-DL MU-MIMO HE PPDU includes the Data field of an HE SU PPDU, the Data field for a STA on a</w:t>
            </w:r>
            <w:r w:rsidRPr="00314B89">
              <w:rPr>
                <w:rFonts w:ascii="TimesNewRomanPSMT" w:eastAsia="TimesNewRomanPSMT" w:hAnsi="TimesNewRomanPSMT" w:hint="eastAsia"/>
                <w:color w:val="000000"/>
              </w:rPr>
              <w:br/>
            </w:r>
            <w:r w:rsidRPr="00314B89">
              <w:rPr>
                <w:rFonts w:ascii="TimesNewRomanPSMT" w:eastAsia="TimesNewRomanPSMT" w:hAnsi="TimesNewRomanPSMT"/>
                <w:color w:val="000000"/>
              </w:rPr>
              <w:t>single user allocated RU in a DL or UL OFDMA transmission and the Data field for a STA that is part of an</w:t>
            </w:r>
            <w:r w:rsidRPr="00314B89">
              <w:rPr>
                <w:rFonts w:ascii="TimesNewRomanPSMT" w:eastAsia="TimesNewRomanPSMT" w:hAnsi="TimesNewRomanPSMT" w:hint="eastAsia"/>
                <w:color w:val="000000"/>
              </w:rPr>
              <w:br/>
            </w:r>
            <w:r w:rsidRPr="00314B89">
              <w:rPr>
                <w:rFonts w:ascii="TimesNewRomanPSMT" w:eastAsia="TimesNewRomanPSMT" w:hAnsi="TimesNewRomanPSMT"/>
                <w:color w:val="000000"/>
              </w:rPr>
              <w:t>UL MU-MIMO transmission.</w:t>
            </w:r>
            <w:r>
              <w:rPr>
                <w:rFonts w:ascii="TimesNewRomanPSMT" w:eastAsia="TimesNewRomanPSMT" w:hAnsi="TimesNewRomanPSMT"/>
                <w:color w:val="000000"/>
              </w:rPr>
              <w:t>”</w:t>
            </w:r>
          </w:p>
        </w:tc>
      </w:tr>
    </w:tbl>
    <w:p w14:paraId="15F1A448" w14:textId="2FD38FC8" w:rsidR="00314B89" w:rsidRPr="00314B89" w:rsidRDefault="00314B89" w:rsidP="005243A7">
      <w:pPr>
        <w:rPr>
          <w:color w:val="FF0000"/>
        </w:rPr>
      </w:pPr>
    </w:p>
    <w:sectPr w:rsidR="00314B89" w:rsidRPr="00314B8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C684" w14:textId="77777777" w:rsidR="00CC1ED4" w:rsidRDefault="00CC1ED4">
      <w:r>
        <w:separator/>
      </w:r>
    </w:p>
  </w:endnote>
  <w:endnote w:type="continuationSeparator" w:id="0">
    <w:p w14:paraId="7035E5C1" w14:textId="77777777" w:rsidR="00CC1ED4" w:rsidRDefault="00CC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CC1ED4">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7A2251">
      <w:rPr>
        <w:noProof/>
      </w:rPr>
      <w:t>5</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312C" w14:textId="77777777" w:rsidR="00CC1ED4" w:rsidRDefault="00CC1ED4">
      <w:r>
        <w:separator/>
      </w:r>
    </w:p>
  </w:footnote>
  <w:footnote w:type="continuationSeparator" w:id="0">
    <w:p w14:paraId="1A39E7E6" w14:textId="77777777" w:rsidR="00CC1ED4" w:rsidRDefault="00CC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0D18A9FF" w:rsidR="008B72A0" w:rsidRDefault="00133BE3">
    <w:pPr>
      <w:pStyle w:val="Header"/>
      <w:tabs>
        <w:tab w:val="clear" w:pos="6480"/>
        <w:tab w:val="center" w:pos="4680"/>
        <w:tab w:val="right" w:pos="9360"/>
      </w:tabs>
      <w:rPr>
        <w:lang w:eastAsia="ko-KR"/>
      </w:rPr>
    </w:pPr>
    <w:r>
      <w:rPr>
        <w:lang w:eastAsia="ko-KR"/>
      </w:rPr>
      <w:t>July</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r w:rsidR="00CC1ED4">
      <w:fldChar w:fldCharType="begin"/>
    </w:r>
    <w:r w:rsidR="00CC1ED4">
      <w:instrText xml:space="preserve"> TITLE  \* MERGEFORMAT </w:instrText>
    </w:r>
    <w:r w:rsidR="00CC1ED4">
      <w:fldChar w:fldCharType="separate"/>
    </w:r>
    <w:r w:rsidR="00930BFA">
      <w:t>doc.: IEEE 802.11-19/0</w:t>
    </w:r>
    <w:r w:rsidR="005A67A3">
      <w:t>422</w:t>
    </w:r>
    <w:r w:rsidR="00930BFA">
      <w:rPr>
        <w:lang w:eastAsia="ko-KR"/>
      </w:rPr>
      <w:t>r</w:t>
    </w:r>
    <w:r w:rsidR="00CC1ED4">
      <w:rPr>
        <w:lang w:eastAsia="ko-KR"/>
      </w:rPr>
      <w:fldChar w:fldCharType="end"/>
    </w:r>
    <w:r w:rsidR="00A73DB3">
      <w:rPr>
        <w:lang w:eastAsia="ko-KR"/>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A0C4-680D-4C4C-8356-F65A350D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7316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24</cp:revision>
  <cp:lastPrinted>2010-05-04T03:47:00Z</cp:lastPrinted>
  <dcterms:created xsi:type="dcterms:W3CDTF">2019-05-14T13:27:00Z</dcterms:created>
  <dcterms:modified xsi:type="dcterms:W3CDTF">2019-07-17T12:49:00Z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