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9196BD" w:rsidR="00C723BC" w:rsidRPr="00183F4C" w:rsidRDefault="000E426E" w:rsidP="000E426E">
            <w:pPr>
              <w:pStyle w:val="T2"/>
            </w:pPr>
            <w:r>
              <w:rPr>
                <w:lang w:eastAsia="ko-KR"/>
              </w:rPr>
              <w:t>CR for CID 21497, 21501, 21502</w:t>
            </w:r>
          </w:p>
        </w:tc>
      </w:tr>
      <w:tr w:rsidR="00C723BC" w:rsidRPr="00183F4C" w14:paraId="5B9F14D2" w14:textId="77777777" w:rsidTr="00D74DE9">
        <w:trPr>
          <w:trHeight w:val="359"/>
          <w:jc w:val="center"/>
        </w:trPr>
        <w:tc>
          <w:tcPr>
            <w:tcW w:w="9576" w:type="dxa"/>
            <w:gridSpan w:val="5"/>
            <w:vAlign w:val="center"/>
          </w:tcPr>
          <w:p w14:paraId="03728683" w14:textId="1849BE48" w:rsidR="00C723BC" w:rsidRPr="00183F4C" w:rsidRDefault="00C723BC" w:rsidP="005A67A3">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0E426E">
              <w:rPr>
                <w:b w:val="0"/>
                <w:sz w:val="20"/>
                <w:lang w:eastAsia="ko-KR"/>
              </w:rPr>
              <w:t>3</w:t>
            </w:r>
            <w:r w:rsidR="006A5CA8">
              <w:rPr>
                <w:b w:val="0"/>
                <w:sz w:val="20"/>
                <w:lang w:eastAsia="ko-KR"/>
              </w:rPr>
              <w:t>-</w:t>
            </w:r>
            <w:r w:rsidR="00E35F65">
              <w:rPr>
                <w:b w:val="0"/>
                <w:sz w:val="20"/>
                <w:lang w:eastAsia="ko-KR"/>
              </w:rPr>
              <w:t>0</w:t>
            </w:r>
            <w:r w:rsidR="005A67A3">
              <w:rPr>
                <w:b w:val="0"/>
                <w:sz w:val="20"/>
                <w:lang w:eastAsia="ko-KR"/>
              </w:rPr>
              <w:t>11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Ehud 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22E69340"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4433EE">
        <w:rPr>
          <w:lang w:eastAsia="ko-KR"/>
        </w:rPr>
        <w:t>1</w:t>
      </w:r>
      <w:r w:rsidR="004433EE">
        <w:t xml:space="preserve"> for CID </w:t>
      </w:r>
      <w:r w:rsidR="004433EE">
        <w:rPr>
          <w:lang w:eastAsia="ko-KR"/>
        </w:rPr>
        <w:t>21501, 21502</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FDDCBB7" w14:textId="7D8EDBA1" w:rsidR="001C0D85" w:rsidRDefault="001C0D85" w:rsidP="00FC0EB0">
      <w:pPr>
        <w:pStyle w:val="ListParagraph"/>
        <w:numPr>
          <w:ilvl w:val="0"/>
          <w:numId w:val="30"/>
        </w:numPr>
        <w:ind w:leftChars="0"/>
        <w:jc w:val="both"/>
      </w:pPr>
      <w:r>
        <w:t xml:space="preserve">Rev 1: update the CR of </w:t>
      </w:r>
      <w:r>
        <w:rPr>
          <w:lang w:eastAsia="ko-KR"/>
        </w:rPr>
        <w:t>21497, 21501</w:t>
      </w:r>
      <w:r w:rsidR="00C05C59">
        <w:rPr>
          <w:lang w:eastAsia="ko-KR"/>
        </w:rPr>
        <w:t>.</w:t>
      </w:r>
    </w:p>
    <w:p w14:paraId="6C8CB5AF" w14:textId="174C5F66" w:rsidR="00C05C59" w:rsidRDefault="00C05C59" w:rsidP="00FC0EB0">
      <w:pPr>
        <w:pStyle w:val="ListParagraph"/>
        <w:numPr>
          <w:ilvl w:val="0"/>
          <w:numId w:val="30"/>
        </w:numPr>
        <w:ind w:leftChars="0"/>
        <w:jc w:val="both"/>
      </w:pPr>
      <w:r>
        <w:rPr>
          <w:lang w:eastAsia="ko-KR"/>
        </w:rPr>
        <w:t xml:space="preserve">Rev 2: </w:t>
      </w:r>
      <w:r w:rsidR="006F0875">
        <w:rPr>
          <w:lang w:eastAsia="ko-KR"/>
        </w:rPr>
        <w:t xml:space="preserve">editorial </w:t>
      </w:r>
      <w:r>
        <w:rPr>
          <w:lang w:eastAsia="ko-KR"/>
        </w:rPr>
        <w:t xml:space="preserve">update </w:t>
      </w:r>
      <w:r w:rsidR="006F0875">
        <w:rPr>
          <w:lang w:eastAsia="ko-KR"/>
        </w:rPr>
        <w:t>for</w:t>
      </w:r>
      <w:r>
        <w:rPr>
          <w:lang w:eastAsia="ko-KR"/>
        </w:rPr>
        <w:t xml:space="preserve"> CID 21501</w:t>
      </w:r>
      <w:r w:rsidR="004433EE">
        <w:rPr>
          <w:lang w:eastAsia="ko-KR"/>
        </w:rPr>
        <w:t>.</w:t>
      </w:r>
    </w:p>
    <w:p w14:paraId="01F10B55" w14:textId="76F6406F" w:rsidR="004433EE" w:rsidRDefault="004433EE" w:rsidP="00FC0EB0">
      <w:pPr>
        <w:pStyle w:val="ListParagraph"/>
        <w:numPr>
          <w:ilvl w:val="0"/>
          <w:numId w:val="30"/>
        </w:numPr>
        <w:ind w:leftChars="0"/>
        <w:jc w:val="both"/>
      </w:pPr>
      <w:r>
        <w:rPr>
          <w:lang w:eastAsia="ko-KR"/>
        </w:rPr>
        <w:t>Rev 3: updated resolution for CID 21502</w:t>
      </w:r>
      <w:r w:rsidR="007A10A5">
        <w:rPr>
          <w:lang w:eastAsia="ko-KR"/>
        </w:rPr>
        <w:t>, 21501</w:t>
      </w:r>
      <w:r>
        <w:rPr>
          <w:lang w:eastAsia="ko-KR"/>
        </w:rPr>
        <w:t>.</w:t>
      </w:r>
    </w:p>
    <w:p w14:paraId="1DE3475C" w14:textId="3EB8DB08" w:rsidR="006F7A75" w:rsidRDefault="006F7A75" w:rsidP="00FC0EB0">
      <w:pPr>
        <w:pStyle w:val="ListParagraph"/>
        <w:numPr>
          <w:ilvl w:val="0"/>
          <w:numId w:val="30"/>
        </w:numPr>
        <w:ind w:leftChars="0"/>
        <w:jc w:val="both"/>
      </w:pPr>
      <w:r>
        <w:rPr>
          <w:lang w:eastAsia="ko-KR"/>
        </w:rPr>
        <w:t>Rev 4: page number updates</w:t>
      </w:r>
      <w:bookmarkStart w:id="0" w:name="_GoBack"/>
      <w:bookmarkEnd w:id="0"/>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0"/>
        <w:gridCol w:w="1217"/>
        <w:gridCol w:w="695"/>
        <w:gridCol w:w="628"/>
        <w:gridCol w:w="2436"/>
        <w:gridCol w:w="1515"/>
        <w:gridCol w:w="1250"/>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50833C0D" w:rsidR="00552699" w:rsidRDefault="00BA1AB5" w:rsidP="00930BFA">
            <w:pPr>
              <w:rPr>
                <w:rFonts w:eastAsia="Times New Roman"/>
                <w:color w:val="000000"/>
                <w:szCs w:val="18"/>
                <w:lang w:val="en-US"/>
              </w:rPr>
            </w:pPr>
            <w:r>
              <w:rPr>
                <w:rFonts w:eastAsia="Times New Roman"/>
                <w:color w:val="000000"/>
                <w:szCs w:val="18"/>
                <w:lang w:val="en-US"/>
              </w:rPr>
              <w:t>Rejected</w:t>
            </w:r>
          </w:p>
          <w:p w14:paraId="2364B107" w14:textId="7E54B2AC" w:rsidR="00552699" w:rsidRPr="00CE050C" w:rsidRDefault="00552699" w:rsidP="00BA1AB5">
            <w:pPr>
              <w:rPr>
                <w:rFonts w:ascii="Arial" w:eastAsia="Times New Roman" w:hAnsi="Arial" w:cs="Arial"/>
                <w:sz w:val="20"/>
                <w:lang w:val="en-US" w:eastAsia="zh-CN"/>
              </w:rPr>
            </w:pP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66BA706E" w:rsidR="002805E7" w:rsidRPr="00CE050C" w:rsidRDefault="002805E7" w:rsidP="00AD2E47">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6A41F6">
              <w:rPr>
                <w:bCs/>
                <w:sz w:val="16"/>
                <w:szCs w:val="18"/>
                <w:lang w:eastAsia="ko-KR"/>
              </w:rPr>
              <w:t>0422r</w:t>
            </w:r>
            <w:r w:rsidR="00AD2E47">
              <w:rPr>
                <w:bCs/>
                <w:sz w:val="16"/>
                <w:szCs w:val="18"/>
                <w:lang w:eastAsia="ko-KR"/>
              </w:rPr>
              <w:t>4</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 xml:space="preserve">50dB. The current TB NDP feedback has the following issues give </w:t>
      </w:r>
      <w:proofErr w:type="spellStart"/>
      <w:r w:rsidR="00EF5B12" w:rsidRPr="00CC424A">
        <w:rPr>
          <w:sz w:val="20"/>
          <w:lang w:val="en-US"/>
        </w:rPr>
        <w:t>extreamly</w:t>
      </w:r>
      <w:proofErr w:type="spellEnd"/>
      <w:r w:rsidR="00EF5B12" w:rsidRPr="00CC424A">
        <w:rPr>
          <w:sz w:val="20"/>
          <w:lang w:val="en-US"/>
        </w:rPr>
        <w:t xml:space="preserve">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7682761E"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6A37CB">
        <w:rPr>
          <w:rFonts w:eastAsia="SimSun"/>
          <w:sz w:val="20"/>
          <w:lang w:val="en-US" w:eastAsia="zh-CN"/>
        </w:rPr>
        <w:t>will be impacted</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lastRenderedPageBreak/>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05FA44D4"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w:t>
      </w:r>
      <w:proofErr w:type="spellStart"/>
      <w:r w:rsidRPr="00CC424A">
        <w:rPr>
          <w:rFonts w:eastAsia="SimSun"/>
          <w:sz w:val="20"/>
          <w:lang w:val="en-US" w:eastAsia="zh-CN"/>
        </w:rPr>
        <w:t>pach</w:t>
      </w:r>
      <w:proofErr w:type="spellEnd"/>
      <w:r w:rsidRPr="00CC424A">
        <w:rPr>
          <w:rFonts w:eastAsia="SimSun"/>
          <w:sz w:val="20"/>
          <w:lang w:val="en-US" w:eastAsia="zh-CN"/>
        </w:rPr>
        <w:t xml:space="preserve"> is to allow the AP to block a non-AP STA from responding to the NFRP trigger frame. The blocked STA may have much higher or much lower RSSI measured by the AP. </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hint="eastAsia"/>
          <w:b/>
          <w:color w:val="000000"/>
          <w:sz w:val="20"/>
        </w:rPr>
      </w:pPr>
    </w:p>
    <w:p w14:paraId="6057B7E2" w14:textId="7F1F5D82" w:rsidR="009833FC" w:rsidRDefault="009833FC" w:rsidP="00E56B81">
      <w:pPr>
        <w:rPr>
          <w:rFonts w:ascii="TimesNewRomanPSMT" w:hAnsi="TimesNewRomanPSMT" w:hint="eastAsia"/>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 paragraph and figure after P.L. 11</w:t>
      </w:r>
      <w:r w:rsidR="00A16048">
        <w:rPr>
          <w:i/>
          <w:sz w:val="22"/>
          <w:szCs w:val="22"/>
          <w:highlight w:val="yellow"/>
        </w:rPr>
        <w:t>9.65</w:t>
      </w:r>
      <w:r w:rsidRPr="009833FC">
        <w:rPr>
          <w:i/>
          <w:sz w:val="22"/>
          <w:szCs w:val="22"/>
          <w:highlight w:val="yellow"/>
        </w:rPr>
        <w:t xml:space="preserve"> (after </w:t>
      </w:r>
      <w:proofErr w:type="spellStart"/>
      <w:r w:rsidRPr="009833FC">
        <w:rPr>
          <w:i/>
          <w:sz w:val="22"/>
          <w:szCs w:val="22"/>
          <w:highlight w:val="yellow"/>
        </w:rPr>
        <w:t>subclause</w:t>
      </w:r>
      <w:proofErr w:type="spellEnd"/>
      <w:r w:rsidRPr="009833FC">
        <w:rPr>
          <w:i/>
          <w:sz w:val="22"/>
          <w:szCs w:val="22"/>
          <w:highlight w:val="yellow"/>
        </w:rPr>
        <w:t xml:space="preserve"> 9.3.1.22.9)</w:t>
      </w:r>
    </w:p>
    <w:p w14:paraId="5465DBA3" w14:textId="77777777" w:rsidR="009833FC" w:rsidRPr="009833FC" w:rsidRDefault="009833FC" w:rsidP="00E56B81">
      <w:pPr>
        <w:rPr>
          <w:rFonts w:ascii="TimesNewRomanPSMT" w:hAnsi="TimesNewRomanPSMT" w:hint="eastAsia"/>
          <w:b/>
          <w:color w:val="000000"/>
          <w:sz w:val="20"/>
        </w:rPr>
      </w:pPr>
    </w:p>
    <w:p w14:paraId="5915426A" w14:textId="0A2D0AD2" w:rsidR="00E56B81" w:rsidRPr="009833FC" w:rsidRDefault="00757A82" w:rsidP="00E56B81">
      <w:pPr>
        <w:rPr>
          <w:rFonts w:ascii="TimesNewRomanPSMT" w:hAnsi="TimesNewRomanPSMT" w:hint="eastAsia"/>
          <w:color w:val="FF0000"/>
          <w:sz w:val="20"/>
        </w:rPr>
      </w:pPr>
      <w:r>
        <w:rPr>
          <w:rFonts w:ascii="TimesNewRomanPSMT" w:hAnsi="TimesNewRomanPSMT"/>
          <w:color w:val="FF0000"/>
          <w:sz w:val="20"/>
        </w:rPr>
        <w:t xml:space="preserve">The presence of the </w:t>
      </w:r>
      <w:r w:rsidRPr="009833FC">
        <w:rPr>
          <w:rFonts w:ascii="TimesNewRomanPSMT" w:hAnsi="TimesNewRomanPSMT"/>
          <w:color w:val="FF0000"/>
          <w:sz w:val="20"/>
        </w:rPr>
        <w:t xml:space="preserve">Trigger Dependent User Info subfield for the NFRP </w:t>
      </w:r>
      <w:r>
        <w:rPr>
          <w:rFonts w:ascii="TimesNewRomanPSMT" w:hAnsi="TimesNewRomanPSMT"/>
          <w:color w:val="FF0000"/>
          <w:sz w:val="20"/>
        </w:rPr>
        <w:t>trigger frame is determined by</w:t>
      </w:r>
      <w:r w:rsidRPr="00757A82">
        <w:rPr>
          <w:rFonts w:ascii="TimesNewRomanPSMT" w:hAnsi="TimesNewRomanPSMT"/>
          <w:color w:val="FF0000"/>
          <w:sz w:val="20"/>
        </w:rPr>
        <w:t xml:space="preserve"> the</w:t>
      </w:r>
      <w:r w:rsidR="008A2042">
        <w:rPr>
          <w:rFonts w:ascii="TimesNewRomanPSMT" w:hAnsi="TimesNewRomanPSMT"/>
          <w:color w:val="FF0000"/>
          <w:sz w:val="20"/>
        </w:rPr>
        <w:t xml:space="preserve"> value of</w:t>
      </w:r>
      <w:r w:rsidRPr="00757A82">
        <w:rPr>
          <w:rFonts w:ascii="TimesNewRomanPSMT" w:hAnsi="TimesNewRomanPSMT"/>
          <w:color w:val="FF0000"/>
          <w:sz w:val="20"/>
        </w:rPr>
        <w:t xml:space="preserve"> </w:t>
      </w:r>
      <w:r w:rsidR="00A16048">
        <w:rPr>
          <w:color w:val="FF0000"/>
        </w:rPr>
        <w:t xml:space="preserve">the </w:t>
      </w:r>
      <w:r w:rsidRPr="00757A82">
        <w:rPr>
          <w:color w:val="FF0000"/>
        </w:rPr>
        <w:t>Feedback Type subfield of the NFRP Trigger frame</w:t>
      </w:r>
      <w:r>
        <w:rPr>
          <w:color w:val="FF0000"/>
        </w:rPr>
        <w:t xml:space="preserve"> as defined in </w:t>
      </w:r>
      <w:r w:rsidRPr="00757A82">
        <w:rPr>
          <w:color w:val="FF0000"/>
        </w:rPr>
        <w:t xml:space="preserve">table 9-31i. If the </w:t>
      </w:r>
      <w:r w:rsidR="00803FF1" w:rsidRPr="00803FF1">
        <w:rPr>
          <w:color w:val="FF0000"/>
        </w:rPr>
        <w:t xml:space="preserve">Feedback Type subfield is set to </w:t>
      </w:r>
      <w:r w:rsidR="008A2042">
        <w:rPr>
          <w:color w:val="FF0000"/>
        </w:rPr>
        <w:t>1</w:t>
      </w:r>
      <w:r w:rsidR="00803FF1" w:rsidRPr="00803FF1">
        <w:rPr>
          <w:color w:val="FF0000"/>
        </w:rPr>
        <w:t xml:space="preserve">, the </w:t>
      </w:r>
      <w:r w:rsidRPr="00803FF1">
        <w:rPr>
          <w:rFonts w:ascii="TimesNewRomanPSMT" w:hAnsi="TimesNewRomanPSMT"/>
          <w:color w:val="FF0000"/>
          <w:sz w:val="20"/>
        </w:rPr>
        <w:t xml:space="preserve">Trigger </w:t>
      </w:r>
      <w:r w:rsidRPr="00757A82">
        <w:rPr>
          <w:rFonts w:ascii="TimesNewRomanPSMT" w:hAnsi="TimesNewRomanPSMT"/>
          <w:color w:val="FF0000"/>
          <w:sz w:val="20"/>
        </w:rPr>
        <w:t>Dependent User Info subfield is present</w:t>
      </w:r>
      <w:r w:rsidR="00803FF1">
        <w:rPr>
          <w:rFonts w:ascii="TimesNewRomanPSMT" w:hAnsi="TimesNewRomanPSMT"/>
          <w:color w:val="FF0000"/>
          <w:sz w:val="20"/>
        </w:rPr>
        <w:t xml:space="preserve"> and</w:t>
      </w:r>
      <w:r w:rsidR="00E56B81" w:rsidRPr="00757A82">
        <w:rPr>
          <w:rFonts w:ascii="TimesNewRomanPSMT" w:hAnsi="TimesNewRomanPSMT"/>
          <w:color w:val="FF0000"/>
          <w:sz w:val="20"/>
        </w:rPr>
        <w:t xml:space="preserve"> is defined in Figure 9-64Ix (Trigger Dependent</w:t>
      </w:r>
      <w:r w:rsidR="009833FC" w:rsidRPr="00757A82">
        <w:rPr>
          <w:rFonts w:ascii="TimesNewRomanPSMT" w:hAnsi="TimesNewRomanPSMT"/>
          <w:color w:val="FF0000"/>
          <w:sz w:val="20"/>
        </w:rPr>
        <w:t xml:space="preserve"> </w:t>
      </w:r>
      <w:r w:rsidR="00E56B81" w:rsidRPr="00757A82">
        <w:rPr>
          <w:rFonts w:ascii="TimesNewRomanPSMT" w:hAnsi="TimesNewRomanPSMT"/>
          <w:color w:val="FF0000"/>
          <w:sz w:val="20"/>
        </w:rPr>
        <w:t>User Info subfield for the NFRP variant).</w:t>
      </w:r>
      <w:r w:rsidR="002B3799" w:rsidRPr="00757A82">
        <w:rPr>
          <w:rFonts w:ascii="TimesNewRomanPSMT" w:hAnsi="TimesNewRomanPSMT"/>
          <w:color w:val="FF0000"/>
          <w:sz w:val="20"/>
        </w:rPr>
        <w:t xml:space="preserve"> </w:t>
      </w:r>
    </w:p>
    <w:p w14:paraId="5B776700" w14:textId="77777777" w:rsidR="00E56B81" w:rsidRPr="009833FC" w:rsidRDefault="00E56B81" w:rsidP="00E56B81">
      <w:pPr>
        <w:rPr>
          <w:rFonts w:ascii="TimesNewRomanPSMT" w:hAnsi="TimesNewRomanPSMT" w:hint="eastAsia"/>
          <w:color w:val="FF0000"/>
          <w:sz w:val="20"/>
        </w:rPr>
      </w:pPr>
    </w:p>
    <w:p w14:paraId="0EB7575A" w14:textId="7D4C7C00" w:rsidR="00E56B81" w:rsidRPr="009833FC" w:rsidRDefault="0037522A" w:rsidP="00E56B81">
      <w:pPr>
        <w:jc w:val="center"/>
        <w:rPr>
          <w:color w:val="FF0000"/>
        </w:rPr>
      </w:pPr>
      <w:r w:rsidRPr="009833FC">
        <w:rPr>
          <w:color w:val="FF0000"/>
        </w:rPr>
        <w:object w:dxaOrig="4801" w:dyaOrig="1560" w14:anchorId="39099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3pt;height:75.2pt" o:ole="">
            <v:imagedata r:id="rId8" o:title="" croptop="-1426f" cropbottom="-3761f" cropleft="-1637f" cropright="-551f"/>
          </v:shape>
          <o:OLEObject Type="Embed" ProgID="Visio.Drawing.15" ShapeID="_x0000_i1025" DrawAspect="Content" ObjectID="_1619433831" r:id="rId9"/>
        </w:object>
      </w:r>
    </w:p>
    <w:p w14:paraId="38EAED0F" w14:textId="03248B88" w:rsidR="009833FC" w:rsidRDefault="009833FC" w:rsidP="00E56B81">
      <w:pPr>
        <w:jc w:val="center"/>
        <w:rPr>
          <w:rFonts w:ascii="TimesNewRomanPSMT" w:hAnsi="TimesNewRomanPSMT" w:hint="eastAsia"/>
          <w:color w:val="FF0000"/>
          <w:sz w:val="20"/>
        </w:rPr>
      </w:pPr>
      <w:r w:rsidRPr="009833FC">
        <w:rPr>
          <w:rFonts w:ascii="TimesNewRomanPSMT" w:hAnsi="TimesNewRomanPSMT"/>
          <w:color w:val="FF0000"/>
          <w:sz w:val="20"/>
        </w:rPr>
        <w:t>Figure 9-64Ix (Trigger Dependent User Info subfield for the NFRP variant)</w:t>
      </w:r>
    </w:p>
    <w:p w14:paraId="51729D2F" w14:textId="77777777" w:rsidR="00072A20" w:rsidRDefault="00072A20" w:rsidP="00E56B81">
      <w:pPr>
        <w:jc w:val="center"/>
        <w:rPr>
          <w:rFonts w:ascii="TimesNewRomanPSMT" w:hAnsi="TimesNewRomanPSMT" w:hint="eastAsia"/>
          <w:color w:val="FF0000"/>
          <w:sz w:val="20"/>
        </w:rPr>
      </w:pPr>
    </w:p>
    <w:p w14:paraId="35050059" w14:textId="77777777" w:rsidR="00072A20" w:rsidRDefault="00072A20" w:rsidP="00E56B81">
      <w:pPr>
        <w:jc w:val="center"/>
        <w:rPr>
          <w:rFonts w:ascii="TimesNewRomanPSMT" w:hAnsi="TimesNewRomanPSMT" w:hint="eastAsia"/>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970"/>
      </w:tblGrid>
      <w:tr w:rsidR="00072A20" w14:paraId="7457C30C" w14:textId="77777777" w:rsidTr="00072A20">
        <w:trPr>
          <w:jc w:val="center"/>
        </w:trPr>
        <w:tc>
          <w:tcPr>
            <w:tcW w:w="5490" w:type="dxa"/>
            <w:gridSpan w:val="2"/>
            <w:tcBorders>
              <w:top w:val="nil"/>
              <w:left w:val="nil"/>
              <w:bottom w:val="nil"/>
              <w:right w:val="nil"/>
            </w:tcBorders>
            <w:tcMar>
              <w:top w:w="120" w:type="dxa"/>
              <w:left w:w="120" w:type="dxa"/>
              <w:bottom w:w="60" w:type="dxa"/>
              <w:right w:w="120" w:type="dxa"/>
            </w:tcMar>
            <w:vAlign w:val="center"/>
          </w:tcPr>
          <w:p w14:paraId="2598DCB5" w14:textId="77777777" w:rsidR="00072A20" w:rsidRDefault="00072A20" w:rsidP="00072A20">
            <w:pPr>
              <w:pStyle w:val="TableTitle"/>
              <w:numPr>
                <w:ilvl w:val="0"/>
                <w:numId w:val="34"/>
              </w:numPr>
            </w:pPr>
            <w:r>
              <w:rPr>
                <w:w w:val="100"/>
              </w:rPr>
              <w:t>Feedback Type subfield encoding</w:t>
            </w:r>
          </w:p>
        </w:tc>
      </w:tr>
      <w:tr w:rsidR="00072A20" w14:paraId="3321E9F7" w14:textId="77777777" w:rsidTr="00072A2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E2A582" w14:textId="77777777" w:rsidR="00072A20" w:rsidRDefault="00072A20" w:rsidP="0009129B">
            <w:pPr>
              <w:pStyle w:val="CellHeading"/>
            </w:pPr>
            <w:r>
              <w:rPr>
                <w:w w:val="100"/>
              </w:rPr>
              <w:t>Value</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F459B2" w14:textId="77777777" w:rsidR="00072A20" w:rsidRDefault="00072A20" w:rsidP="0009129B">
            <w:pPr>
              <w:pStyle w:val="CellHeading"/>
            </w:pPr>
            <w:r>
              <w:rPr>
                <w:w w:val="100"/>
              </w:rPr>
              <w:t>Description</w:t>
            </w:r>
          </w:p>
        </w:tc>
      </w:tr>
      <w:tr w:rsidR="00072A20" w14:paraId="3D2EC441"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197C93" w14:textId="77777777" w:rsidR="00072A20" w:rsidRDefault="00072A20" w:rsidP="0009129B">
            <w:pPr>
              <w:pStyle w:val="CellBody"/>
              <w:jc w:val="center"/>
            </w:pPr>
            <w:r>
              <w:rPr>
                <w:w w:val="100"/>
              </w:rPr>
              <w:t>0</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CF70E" w14:textId="77777777" w:rsidR="00072A20" w:rsidRDefault="00072A20" w:rsidP="0009129B">
            <w:pPr>
              <w:pStyle w:val="CellBody"/>
            </w:pPr>
            <w:r>
              <w:rPr>
                <w:w w:val="100"/>
              </w:rPr>
              <w:t>Resource request</w:t>
            </w:r>
          </w:p>
        </w:tc>
      </w:tr>
      <w:tr w:rsidR="00072A20" w14:paraId="6099BD85"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F68F7" w14:textId="3DDAB86B" w:rsidR="00072A20" w:rsidRDefault="008A2042" w:rsidP="0009129B">
            <w:pPr>
              <w:pStyle w:val="CellBody"/>
              <w:jc w:val="center"/>
              <w:rPr>
                <w:w w:val="100"/>
              </w:rPr>
            </w:pPr>
            <w:r>
              <w:rPr>
                <w:w w:val="100"/>
              </w:rPr>
              <w:t>1</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A8414" w14:textId="1BA52BDE" w:rsidR="00072A20" w:rsidRPr="005137A9" w:rsidRDefault="00622024" w:rsidP="00622024">
            <w:pPr>
              <w:pStyle w:val="CellBody"/>
              <w:rPr>
                <w:w w:val="100"/>
                <w:sz w:val="20"/>
                <w:szCs w:val="20"/>
              </w:rPr>
            </w:pPr>
            <w:r w:rsidRPr="005137A9">
              <w:rPr>
                <w:color w:val="FF0000"/>
                <w:w w:val="100"/>
                <w:sz w:val="20"/>
                <w:szCs w:val="20"/>
              </w:rPr>
              <w:t>Resource request with the p</w:t>
            </w:r>
            <w:r w:rsidR="00072A20" w:rsidRPr="005137A9">
              <w:rPr>
                <w:color w:val="FF0000"/>
                <w:w w:val="100"/>
                <w:sz w:val="20"/>
                <w:szCs w:val="20"/>
              </w:rPr>
              <w:t xml:space="preserve">resence of </w:t>
            </w:r>
            <w:r w:rsidR="00072A20" w:rsidRPr="005137A9">
              <w:rPr>
                <w:rFonts w:ascii="TimesNewRomanPSMT" w:hAnsi="TimesNewRomanPSMT"/>
                <w:color w:val="FF0000"/>
                <w:sz w:val="20"/>
                <w:szCs w:val="20"/>
              </w:rPr>
              <w:t>Trigger Dependent User Info subfield</w:t>
            </w:r>
          </w:p>
        </w:tc>
      </w:tr>
      <w:tr w:rsidR="00072A20" w14:paraId="10FB426C" w14:textId="77777777" w:rsidTr="00072A2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EC55C25" w14:textId="1DA111D2" w:rsidR="00072A20" w:rsidRDefault="00AD2E47" w:rsidP="00072A20">
            <w:pPr>
              <w:pStyle w:val="CellBody"/>
              <w:jc w:val="center"/>
            </w:pPr>
            <w:r>
              <w:rPr>
                <w:w w:val="100"/>
              </w:rPr>
              <w:t>2</w:t>
            </w:r>
            <w:r w:rsidR="00072A20">
              <w:rPr>
                <w:w w:val="100"/>
              </w:rPr>
              <w:t>-15</w:t>
            </w:r>
          </w:p>
        </w:tc>
        <w:tc>
          <w:tcPr>
            <w:tcW w:w="3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46CE788" w14:textId="77777777" w:rsidR="00072A20" w:rsidRDefault="00072A20" w:rsidP="0009129B">
            <w:pPr>
              <w:pStyle w:val="CellBody"/>
            </w:pPr>
            <w:r>
              <w:rPr>
                <w:w w:val="100"/>
              </w:rPr>
              <w:t>Reserved</w:t>
            </w:r>
          </w:p>
        </w:tc>
      </w:tr>
    </w:tbl>
    <w:p w14:paraId="1BEB1BDE" w14:textId="77777777" w:rsidR="00072A20" w:rsidRPr="009833FC" w:rsidRDefault="00072A20" w:rsidP="00E56B81">
      <w:pPr>
        <w:jc w:val="center"/>
        <w:rPr>
          <w:rFonts w:ascii="TimesNewRomanPSMT" w:hAnsi="TimesNewRomanPSMT" w:hint="eastAsia"/>
          <w:color w:val="FF0000"/>
          <w:sz w:val="20"/>
        </w:rPr>
      </w:pPr>
    </w:p>
    <w:p w14:paraId="502E6C59" w14:textId="77777777" w:rsidR="009833FC" w:rsidRPr="009833FC" w:rsidRDefault="009833FC" w:rsidP="00E56B81">
      <w:pPr>
        <w:jc w:val="center"/>
        <w:rPr>
          <w:color w:val="FF0000"/>
        </w:rPr>
      </w:pPr>
    </w:p>
    <w:p w14:paraId="5691B49A" w14:textId="320935A0" w:rsidR="00693A5F" w:rsidRDefault="0037522A" w:rsidP="00693A5F">
      <w:pPr>
        <w:rPr>
          <w:color w:val="FF0000"/>
          <w:sz w:val="20"/>
        </w:rPr>
      </w:pPr>
      <w:r>
        <w:rPr>
          <w:color w:val="FF0000"/>
          <w:sz w:val="20"/>
        </w:rPr>
        <w:t>The size of t</w:t>
      </w:r>
      <w:r w:rsidRPr="002A678B">
        <w:rPr>
          <w:color w:val="FF0000"/>
          <w:sz w:val="20"/>
        </w:rPr>
        <w:t xml:space="preserve">he NFRP Feedback Blocking Bit Map </w:t>
      </w:r>
      <w:r>
        <w:rPr>
          <w:color w:val="FF0000"/>
          <w:sz w:val="20"/>
        </w:rPr>
        <w:t xml:space="preserve">is determined by </w:t>
      </w:r>
      <w:r w:rsidR="00693A5F">
        <w:rPr>
          <w:color w:val="FF0000"/>
          <w:sz w:val="20"/>
        </w:rPr>
        <w:t xml:space="preserve">the </w:t>
      </w:r>
      <w:r w:rsidR="00693A5F" w:rsidRPr="00693A5F">
        <w:rPr>
          <w:color w:val="FF0000"/>
          <w:sz w:val="20"/>
        </w:rPr>
        <w:t>UL BW subfield indicated in the Common Info field of the NFRP Trigger fra</w:t>
      </w:r>
      <w:r w:rsidR="009124F6">
        <w:rPr>
          <w:color w:val="FF0000"/>
          <w:sz w:val="20"/>
        </w:rPr>
        <w:t>me and is defined in table 9-31xx.</w:t>
      </w:r>
    </w:p>
    <w:p w14:paraId="5E299004" w14:textId="77777777" w:rsidR="009124F6" w:rsidRDefault="009124F6" w:rsidP="00693A5F">
      <w:pPr>
        <w:rPr>
          <w:color w:val="FF0000"/>
          <w:sz w:val="20"/>
        </w:rPr>
      </w:pPr>
    </w:p>
    <w:p w14:paraId="367A01B4" w14:textId="52B0D398" w:rsidR="009124F6" w:rsidRDefault="009124F6" w:rsidP="009124F6">
      <w:pPr>
        <w:pStyle w:val="Caption"/>
        <w:keepNext/>
        <w:spacing w:after="0"/>
        <w:jc w:val="center"/>
      </w:pPr>
      <w:r>
        <w:rPr>
          <w:color w:val="FF0000"/>
          <w:sz w:val="20"/>
        </w:rPr>
        <w:t xml:space="preserve">Table 9-31xx Relation between the </w:t>
      </w:r>
      <w:r w:rsidRPr="009124F6">
        <w:rPr>
          <w:color w:val="FF0000"/>
          <w:sz w:val="20"/>
        </w:rPr>
        <w:t>UL BW subfield value</w:t>
      </w:r>
      <w:r>
        <w:rPr>
          <w:color w:val="FF0000"/>
          <w:sz w:val="20"/>
        </w:rPr>
        <w:t xml:space="preserve"> and the size</w:t>
      </w:r>
      <w:r w:rsidRPr="009124F6">
        <w:rPr>
          <w:color w:val="FF0000"/>
          <w:sz w:val="20"/>
        </w:rPr>
        <w:t xml:space="preserve"> of the NFRP Feedback Blocking Bit Map</w:t>
      </w:r>
    </w:p>
    <w:tbl>
      <w:tblPr>
        <w:tblStyle w:val="TableGrid"/>
        <w:tblW w:w="0" w:type="auto"/>
        <w:jc w:val="center"/>
        <w:tblLook w:val="04A0" w:firstRow="1" w:lastRow="0" w:firstColumn="1" w:lastColumn="0" w:noHBand="0" w:noVBand="1"/>
      </w:tblPr>
      <w:tblGrid>
        <w:gridCol w:w="2781"/>
        <w:gridCol w:w="6944"/>
      </w:tblGrid>
      <w:tr w:rsidR="009124F6" w:rsidRPr="009124F6" w14:paraId="669865D5" w14:textId="77777777" w:rsidTr="009124F6">
        <w:trPr>
          <w:jc w:val="center"/>
        </w:trPr>
        <w:tc>
          <w:tcPr>
            <w:tcW w:w="0" w:type="auto"/>
          </w:tcPr>
          <w:p w14:paraId="409EF0C5" w14:textId="7E053805" w:rsidR="009124F6" w:rsidRPr="009124F6" w:rsidRDefault="009124F6" w:rsidP="009124F6">
            <w:pPr>
              <w:rPr>
                <w:rFonts w:eastAsia="Times New Roman"/>
                <w:color w:val="FF0000"/>
                <w:sz w:val="24"/>
                <w:szCs w:val="24"/>
                <w:lang w:val="en-US" w:eastAsia="zh-CN"/>
              </w:rPr>
            </w:pPr>
            <w:r w:rsidRPr="009124F6">
              <w:rPr>
                <w:rFonts w:eastAsia="Times New Roman"/>
                <w:color w:val="FF0000"/>
                <w:sz w:val="24"/>
                <w:szCs w:val="24"/>
                <w:lang w:val="en-US" w:eastAsia="zh-CN"/>
              </w:rPr>
              <w:t>UL BW subfield value</w:t>
            </w:r>
          </w:p>
        </w:tc>
        <w:tc>
          <w:tcPr>
            <w:tcW w:w="0" w:type="auto"/>
          </w:tcPr>
          <w:p w14:paraId="2C8788D0" w14:textId="5F70A3B9"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Number of Octets of the NFRP Feedback Blocking Bit Map</w:t>
            </w:r>
          </w:p>
        </w:tc>
      </w:tr>
      <w:tr w:rsidR="009124F6" w:rsidRPr="009124F6" w14:paraId="1F693222" w14:textId="77777777" w:rsidTr="009124F6">
        <w:trPr>
          <w:jc w:val="center"/>
        </w:trPr>
        <w:tc>
          <w:tcPr>
            <w:tcW w:w="0" w:type="auto"/>
          </w:tcPr>
          <w:p w14:paraId="7F878726" w14:textId="7F45E9D0"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0</w:t>
            </w:r>
          </w:p>
        </w:tc>
        <w:tc>
          <w:tcPr>
            <w:tcW w:w="0" w:type="auto"/>
          </w:tcPr>
          <w:p w14:paraId="0D58B6CB" w14:textId="09EA10C5" w:rsidR="009124F6" w:rsidRPr="009124F6" w:rsidRDefault="009124F6" w:rsidP="00AC4CFE">
            <w:pPr>
              <w:rPr>
                <w:rFonts w:eastAsia="Times New Roman"/>
                <w:color w:val="FF0000"/>
                <w:sz w:val="24"/>
                <w:szCs w:val="24"/>
                <w:lang w:val="en-US" w:eastAsia="zh-CN"/>
              </w:rPr>
            </w:pPr>
            <w:r w:rsidRPr="009124F6">
              <w:rPr>
                <w:rFonts w:eastAsia="Times New Roman"/>
                <w:color w:val="FF0000"/>
                <w:sz w:val="24"/>
                <w:szCs w:val="24"/>
                <w:lang w:val="en-US" w:eastAsia="zh-CN"/>
              </w:rPr>
              <w:t>5</w:t>
            </w:r>
          </w:p>
        </w:tc>
      </w:tr>
      <w:tr w:rsidR="009124F6" w:rsidRPr="009124F6" w14:paraId="64EC97B4" w14:textId="77777777" w:rsidTr="009124F6">
        <w:trPr>
          <w:jc w:val="center"/>
        </w:trPr>
        <w:tc>
          <w:tcPr>
            <w:tcW w:w="0" w:type="auto"/>
          </w:tcPr>
          <w:p w14:paraId="21B51885" w14:textId="3827C933"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w:t>
            </w:r>
          </w:p>
        </w:tc>
        <w:tc>
          <w:tcPr>
            <w:tcW w:w="0" w:type="auto"/>
          </w:tcPr>
          <w:p w14:paraId="3B7A7BCF" w14:textId="417842DA"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9</w:t>
            </w:r>
          </w:p>
        </w:tc>
      </w:tr>
      <w:tr w:rsidR="009124F6" w:rsidRPr="009124F6" w14:paraId="51763BF4" w14:textId="77777777" w:rsidTr="009124F6">
        <w:trPr>
          <w:jc w:val="center"/>
        </w:trPr>
        <w:tc>
          <w:tcPr>
            <w:tcW w:w="0" w:type="auto"/>
          </w:tcPr>
          <w:p w14:paraId="6384B69F" w14:textId="695E6E16"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2</w:t>
            </w:r>
          </w:p>
        </w:tc>
        <w:tc>
          <w:tcPr>
            <w:tcW w:w="0" w:type="auto"/>
          </w:tcPr>
          <w:p w14:paraId="755ED09E" w14:textId="3DA973A5"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18</w:t>
            </w:r>
          </w:p>
        </w:tc>
      </w:tr>
      <w:tr w:rsidR="009124F6" w:rsidRPr="009124F6" w14:paraId="71424509" w14:textId="77777777" w:rsidTr="009124F6">
        <w:trPr>
          <w:jc w:val="center"/>
        </w:trPr>
        <w:tc>
          <w:tcPr>
            <w:tcW w:w="0" w:type="auto"/>
          </w:tcPr>
          <w:p w14:paraId="3FE6D18A" w14:textId="66B2238C"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w:t>
            </w:r>
          </w:p>
        </w:tc>
        <w:tc>
          <w:tcPr>
            <w:tcW w:w="0" w:type="auto"/>
          </w:tcPr>
          <w:p w14:paraId="15016311" w14:textId="5D9B108F"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36</w:t>
            </w:r>
          </w:p>
        </w:tc>
      </w:tr>
      <w:tr w:rsidR="00AC4CFE" w:rsidRPr="009124F6" w14:paraId="528C837F" w14:textId="77777777" w:rsidTr="00A66D41">
        <w:trPr>
          <w:jc w:val="center"/>
        </w:trPr>
        <w:tc>
          <w:tcPr>
            <w:tcW w:w="0" w:type="auto"/>
            <w:gridSpan w:val="2"/>
          </w:tcPr>
          <w:p w14:paraId="6E5874FA" w14:textId="41DD016A" w:rsidR="00AC4CFE" w:rsidRPr="009124F6" w:rsidRDefault="00AC4CFE" w:rsidP="00AC4CFE">
            <w:pPr>
              <w:rPr>
                <w:rFonts w:eastAsia="Times New Roman"/>
                <w:color w:val="FF0000"/>
                <w:sz w:val="24"/>
                <w:szCs w:val="24"/>
                <w:lang w:val="en-US" w:eastAsia="zh-CN"/>
              </w:rPr>
            </w:pPr>
            <w:r w:rsidRPr="00AC4CFE">
              <w:rPr>
                <w:rFonts w:eastAsia="Times New Roman"/>
                <w:color w:val="FF0000"/>
                <w:sz w:val="20"/>
                <w:szCs w:val="24"/>
                <w:lang w:val="en-US" w:eastAsia="zh-CN"/>
              </w:rPr>
              <w:t xml:space="preserve">Note - </w:t>
            </w:r>
            <w:r>
              <w:rPr>
                <w:rFonts w:eastAsia="Times New Roman"/>
                <w:color w:val="FF0000"/>
                <w:sz w:val="20"/>
                <w:szCs w:val="24"/>
                <w:lang w:val="en-US" w:eastAsia="zh-CN"/>
              </w:rPr>
              <w:t>I</w:t>
            </w:r>
            <w:r w:rsidRPr="00AC4CFE">
              <w:rPr>
                <w:rFonts w:eastAsia="Times New Roman"/>
                <w:color w:val="FF0000"/>
                <w:sz w:val="20"/>
                <w:szCs w:val="24"/>
                <w:lang w:val="en-US" w:eastAsia="zh-CN"/>
              </w:rPr>
              <w:t>f the value of UL BW subfield equal to 0</w:t>
            </w:r>
            <w:r>
              <w:rPr>
                <w:rFonts w:eastAsia="Times New Roman"/>
                <w:color w:val="FF0000"/>
                <w:sz w:val="20"/>
                <w:szCs w:val="24"/>
                <w:lang w:val="en-US" w:eastAsia="zh-CN"/>
              </w:rPr>
              <w:t xml:space="preserve">, </w:t>
            </w:r>
            <w:r w:rsidRPr="00AC4CFE">
              <w:rPr>
                <w:rFonts w:eastAsia="Times New Roman"/>
                <w:color w:val="FF0000"/>
                <w:sz w:val="20"/>
                <w:szCs w:val="24"/>
                <w:lang w:val="en-US" w:eastAsia="zh-CN"/>
              </w:rPr>
              <w:t>the last 4 bits of the NFRP Feedback Blocking Bit Map are reserved</w:t>
            </w:r>
            <w:r>
              <w:rPr>
                <w:rFonts w:eastAsia="Times New Roman"/>
                <w:color w:val="FF0000"/>
                <w:sz w:val="20"/>
                <w:szCs w:val="24"/>
                <w:lang w:val="en-US" w:eastAsia="zh-CN"/>
              </w:rPr>
              <w:t>.</w:t>
            </w:r>
            <w:r w:rsidRPr="00AC4CFE">
              <w:rPr>
                <w:rFonts w:eastAsia="Times New Roman"/>
                <w:color w:val="FF0000"/>
                <w:sz w:val="20"/>
                <w:szCs w:val="24"/>
                <w:lang w:val="en-US" w:eastAsia="zh-CN"/>
              </w:rPr>
              <w:t xml:space="preserve"> </w:t>
            </w:r>
          </w:p>
        </w:tc>
      </w:tr>
    </w:tbl>
    <w:p w14:paraId="1CDD95B9" w14:textId="77777777" w:rsidR="00693A5F" w:rsidRPr="00693A5F" w:rsidRDefault="00693A5F" w:rsidP="00693A5F">
      <w:pPr>
        <w:rPr>
          <w:rFonts w:eastAsia="Times New Roman"/>
          <w:sz w:val="24"/>
          <w:szCs w:val="24"/>
          <w:lang w:val="en-US" w:eastAsia="zh-CN"/>
        </w:rPr>
      </w:pPr>
    </w:p>
    <w:p w14:paraId="2038D4FE" w14:textId="3101EA8E" w:rsidR="003E68CC" w:rsidRDefault="00E56B81" w:rsidP="00E56B81">
      <w:pPr>
        <w:rPr>
          <w:color w:val="FF0000"/>
          <w:sz w:val="20"/>
        </w:rPr>
      </w:pPr>
      <w:r w:rsidRPr="002A678B">
        <w:rPr>
          <w:color w:val="FF0000"/>
          <w:sz w:val="20"/>
        </w:rPr>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 xml:space="preserve">it </w:t>
      </w:r>
      <w:proofErr w:type="spellStart"/>
      <w:r w:rsidR="002B3799" w:rsidRPr="002A678B">
        <w:rPr>
          <w:color w:val="FF0000"/>
          <w:sz w:val="20"/>
        </w:rPr>
        <w:t>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proofErr w:type="spellEnd"/>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proofErr w:type="spellStart"/>
      <w:r w:rsidR="002B3799" w:rsidRPr="0052009E">
        <w:rPr>
          <w:i/>
          <w:color w:val="FF0000"/>
          <w:sz w:val="20"/>
        </w:rPr>
        <w:t>AID</w:t>
      </w:r>
      <w:r w:rsidR="002B3799" w:rsidRPr="0052009E">
        <w:rPr>
          <w:i/>
          <w:color w:val="FF0000"/>
          <w:sz w:val="20"/>
          <w:vertAlign w:val="subscript"/>
        </w:rPr>
        <w:t>n</w:t>
      </w:r>
      <w:proofErr w:type="spellEnd"/>
      <w:r w:rsidR="002B3799" w:rsidRPr="002A678B">
        <w:rPr>
          <w:color w:val="FF0000"/>
          <w:sz w:val="20"/>
        </w:rPr>
        <w:t xml:space="preserve"> </w:t>
      </w:r>
      <w:r w:rsidR="005E360F">
        <w:rPr>
          <w:color w:val="FF0000"/>
          <w:sz w:val="20"/>
        </w:rPr>
        <w:t>shall</w:t>
      </w:r>
      <w:r w:rsidR="003E68CC">
        <w:rPr>
          <w:color w:val="FF0000"/>
          <w:sz w:val="20"/>
        </w:rPr>
        <w:t xml:space="preserve"> not</w:t>
      </w:r>
      <w:r w:rsidR="002B3799" w:rsidRPr="002A678B">
        <w:rPr>
          <w:color w:val="FF0000"/>
          <w:sz w:val="20"/>
        </w:rPr>
        <w:t xml:space="preserve"> response to the NFRP trigger frame. </w:t>
      </w:r>
      <w:r w:rsidR="003E68CC">
        <w:rPr>
          <w:color w:val="FF0000"/>
          <w:sz w:val="20"/>
        </w:rPr>
        <w:t>B</w:t>
      </w:r>
      <w:r w:rsidR="003E68CC" w:rsidRPr="002A678B">
        <w:rPr>
          <w:color w:val="FF0000"/>
          <w:sz w:val="20"/>
        </w:rPr>
        <w:t xml:space="preserve">it </w:t>
      </w:r>
      <w:proofErr w:type="spellStart"/>
      <w:r w:rsidR="003E68CC" w:rsidRPr="002A678B">
        <w:rPr>
          <w:color w:val="FF0000"/>
          <w:sz w:val="20"/>
        </w:rPr>
        <w:t>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proofErr w:type="spellEnd"/>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proofErr w:type="spellStart"/>
      <w:r w:rsidR="003E68CC" w:rsidRPr="0052009E">
        <w:rPr>
          <w:i/>
          <w:color w:val="FF0000"/>
          <w:sz w:val="20"/>
        </w:rPr>
        <w:t>AID</w:t>
      </w:r>
      <w:r w:rsidR="003E68CC" w:rsidRPr="0052009E">
        <w:rPr>
          <w:i/>
          <w:color w:val="FF0000"/>
          <w:sz w:val="20"/>
          <w:vertAlign w:val="subscript"/>
        </w:rPr>
        <w:t>n</w:t>
      </w:r>
      <w:proofErr w:type="spellEnd"/>
      <w:r w:rsidR="003E68CC" w:rsidRPr="002A678B">
        <w:rPr>
          <w:color w:val="FF0000"/>
          <w:sz w:val="20"/>
        </w:rPr>
        <w:t xml:space="preserve"> </w:t>
      </w:r>
      <w:r w:rsidR="005E360F">
        <w:rPr>
          <w:color w:val="FF0000"/>
          <w:sz w:val="20"/>
        </w:rPr>
        <w:t>may</w:t>
      </w:r>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177918CB" w:rsidR="00930BFA" w:rsidRDefault="00BC0710" w:rsidP="00E56B81">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w:t>
      </w:r>
      <w:r w:rsidRPr="00BC0710">
        <w:rPr>
          <w:i/>
          <w:sz w:val="22"/>
          <w:szCs w:val="22"/>
          <w:highlight w:val="yellow"/>
        </w:rPr>
        <w:t>bullet in P.L. 3</w:t>
      </w:r>
      <w:r w:rsidR="00AD2E47">
        <w:rPr>
          <w:i/>
          <w:sz w:val="22"/>
          <w:szCs w:val="22"/>
          <w:highlight w:val="yellow"/>
        </w:rPr>
        <w:t>51</w:t>
      </w:r>
      <w:r w:rsidRPr="00BC0710">
        <w:rPr>
          <w:i/>
          <w:sz w:val="22"/>
          <w:szCs w:val="22"/>
          <w:highlight w:val="yellow"/>
        </w:rPr>
        <w:t>.</w:t>
      </w:r>
      <w:r w:rsidR="00AD2E47" w:rsidRPr="00AD2E47">
        <w:rPr>
          <w:i/>
          <w:sz w:val="22"/>
          <w:szCs w:val="22"/>
          <w:highlight w:val="yellow"/>
        </w:rPr>
        <w:t>65</w:t>
      </w:r>
    </w:p>
    <w:p w14:paraId="3930C717" w14:textId="7BC557AE"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lastRenderedPageBreak/>
        <w:t xml:space="preserve">A non-AP STA </w:t>
      </w:r>
      <w:r w:rsidR="00DF2B52" w:rsidRPr="00DF2B52">
        <w:rPr>
          <w:rFonts w:ascii="TimesNewRomanPSMT" w:hAnsi="TimesNewRomanPSMT"/>
          <w:color w:val="FF0000"/>
          <w:sz w:val="20"/>
        </w:rPr>
        <w:t xml:space="preserve">with AID equal to </w:t>
      </w:r>
      <w:proofErr w:type="spellStart"/>
      <w:r w:rsidR="00DF2B52" w:rsidRPr="00DF2B52">
        <w:rPr>
          <w:rFonts w:ascii="TimesNewRomanPSMT" w:hAnsi="TimesNewRomanPSMT"/>
          <w:i/>
          <w:color w:val="FF0000"/>
          <w:sz w:val="20"/>
        </w:rPr>
        <w:t>AIDn</w:t>
      </w:r>
      <w:proofErr w:type="spellEnd"/>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br/>
        <w:t>— The non-AP STA is associated with the BSSID indicated in the TA field of the NFRP Trigger frame</w:t>
      </w:r>
      <w:r w:rsidRPr="00930BFA">
        <w:rPr>
          <w:rFonts w:ascii="TimesNewRomanPSMT" w:hAnsi="TimesNewRomanPSMT"/>
          <w:color w:val="000000"/>
          <w:sz w:val="20"/>
        </w:rPr>
        <w:br/>
        <w:t xml:space="preserve">or the non-AP STA is associated with a </w:t>
      </w:r>
      <w:proofErr w:type="spellStart"/>
      <w:r w:rsidRPr="00930BFA">
        <w:rPr>
          <w:rFonts w:ascii="TimesNewRomanPSMT" w:hAnsi="TimesNewRomanPSMT"/>
          <w:color w:val="000000"/>
          <w:sz w:val="20"/>
        </w:rPr>
        <w:t>nontransmitted</w:t>
      </w:r>
      <w:proofErr w:type="spellEnd"/>
      <w:r w:rsidRPr="00930BFA">
        <w:rPr>
          <w:rFonts w:ascii="TimesNewRomanPSMT" w:hAnsi="TimesNewRomanPSMT"/>
          <w:color w:val="000000"/>
          <w:sz w:val="20"/>
        </w:rPr>
        <w:t xml:space="preserve">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hint="eastAsia"/>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proofErr w:type="spellStart"/>
      <w:r w:rsidR="00DF2B52" w:rsidRPr="00DF2B52">
        <w:rPr>
          <w:rFonts w:ascii="TimesNewRomanPSMT" w:hAnsi="TimesNewRomanPSMT"/>
          <w:i/>
          <w:color w:val="FF0000"/>
          <w:sz w:val="20"/>
        </w:rPr>
        <w:t>AIDn</w:t>
      </w:r>
      <w:proofErr w:type="spellEnd"/>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t>frame</w:t>
      </w:r>
      <w:proofErr w:type="gramStart"/>
      <w:r w:rsidRPr="00930BFA">
        <w:rPr>
          <w:rFonts w:ascii="TimesNewRomanPSMT" w:hAnsi="TimesNewRomanPSMT"/>
          <w:color w:val="000000"/>
          <w:sz w:val="20"/>
        </w:rPr>
        <w:t>:</w:t>
      </w:r>
      <w:proofErr w:type="gramEnd"/>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hint="eastAsia"/>
          <w:color w:val="000000"/>
          <w:sz w:val="20"/>
        </w:rPr>
      </w:pPr>
    </w:p>
    <w:p w14:paraId="2FFBCD5F" w14:textId="7E28F8AF" w:rsidR="00BC0710" w:rsidRPr="00E65F30" w:rsidRDefault="008A2042" w:rsidP="00BC0710">
      <w:pPr>
        <w:pStyle w:val="ListParagraph"/>
        <w:numPr>
          <w:ilvl w:val="0"/>
          <w:numId w:val="32"/>
        </w:numPr>
        <w:ind w:leftChars="0" w:left="360"/>
        <w:rPr>
          <w:color w:val="FF0000"/>
          <w:lang w:val="en-US"/>
        </w:rPr>
      </w:pPr>
      <w:r>
        <w:rPr>
          <w:rFonts w:ascii="TimesNewRomanPSMT" w:hAnsi="TimesNewRomanPSMT"/>
          <w:color w:val="FF0000"/>
          <w:sz w:val="20"/>
        </w:rPr>
        <w:t xml:space="preserve">Bit </w:t>
      </w:r>
      <w:proofErr w:type="spellStart"/>
      <w:r w:rsidRPr="009833FC">
        <w:rPr>
          <w:color w:val="FF0000"/>
        </w:rPr>
        <w:t>B</w:t>
      </w:r>
      <w:r w:rsidRPr="009833FC">
        <w:rPr>
          <w:rFonts w:ascii="TimesNewRomanPSMT" w:hAnsi="TimesNewRomanPSMT"/>
          <w:i/>
          <w:color w:val="FF0000"/>
          <w:vertAlign w:val="subscript"/>
        </w:rPr>
        <w:t>AIDn</w:t>
      </w:r>
      <w:proofErr w:type="spellEnd"/>
      <w:r w:rsidRPr="009833FC">
        <w:rPr>
          <w:rFonts w:ascii="TimesNewRomanPSMT" w:hAnsi="TimesNewRomanPSMT"/>
          <w:i/>
          <w:color w:val="FF0000"/>
          <w:vertAlign w:val="subscript"/>
        </w:rPr>
        <w:t xml:space="preserve"> – Starting AID</w:t>
      </w:r>
      <w:r>
        <w:rPr>
          <w:color w:val="FF0000"/>
          <w:sz w:val="20"/>
        </w:rPr>
        <w:t xml:space="preserve"> </w:t>
      </w:r>
      <w:r>
        <w:rPr>
          <w:rFonts w:ascii="TimesNewRomanPSMT" w:hAnsi="TimesNewRomanPSMT"/>
          <w:color w:val="FF0000"/>
          <w:sz w:val="20"/>
        </w:rPr>
        <w:t>i</w:t>
      </w:r>
      <w:r w:rsidR="00DF2B52">
        <w:rPr>
          <w:rFonts w:ascii="TimesNewRomanPSMT" w:hAnsi="TimesNewRomanPSMT"/>
          <w:color w:val="FF0000"/>
          <w:sz w:val="20"/>
        </w:rPr>
        <w:t xml:space="preserve">n the NFRP Feedback Blocking Bit Map subfield, </w:t>
      </w:r>
      <w:r>
        <w:rPr>
          <w:rFonts w:ascii="TimesNewRomanPSMT" w:hAnsi="TimesNewRomanPSMT"/>
          <w:color w:val="FF0000"/>
          <w:sz w:val="20"/>
        </w:rPr>
        <w:t xml:space="preserve">if present, </w:t>
      </w:r>
      <w:r w:rsidR="00DF2B52">
        <w:rPr>
          <w:rFonts w:ascii="TimesNewRomanPSMT" w:hAnsi="TimesNewRomanPSMT"/>
          <w:color w:val="FF0000"/>
          <w:sz w:val="20"/>
        </w:rPr>
        <w:t>is set to 0.</w:t>
      </w:r>
    </w:p>
    <w:p w14:paraId="32A7B002" w14:textId="77777777" w:rsidR="00E65F30" w:rsidRDefault="00E65F30" w:rsidP="00E65F30">
      <w:pPr>
        <w:rPr>
          <w:color w:val="FF0000"/>
          <w:lang w:val="en-US"/>
        </w:rPr>
      </w:pPr>
    </w:p>
    <w:p w14:paraId="716301A3" w14:textId="77777777" w:rsidR="00063AFB" w:rsidRPr="00D5093F" w:rsidRDefault="00063AFB" w:rsidP="00D5093F">
      <w:pPr>
        <w:rPr>
          <w:color w:val="FF0000"/>
        </w:rPr>
      </w:pPr>
    </w:p>
    <w:p w14:paraId="24267964" w14:textId="091CFC09" w:rsidR="005243A7" w:rsidRPr="005243A7" w:rsidRDefault="005243A7" w:rsidP="005243A7">
      <w:pPr>
        <w:pStyle w:val="ListParagraph"/>
        <w:ind w:leftChars="0" w:left="720"/>
        <w:rPr>
          <w:rFonts w:ascii="TimesNewRomanPSMT" w:hAnsi="TimesNewRomanPSMT" w:hint="eastAsia"/>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Pr="005243A7" w:rsidRDefault="005243A7" w:rsidP="005243A7">
      <w:pPr>
        <w:rPr>
          <w:color w:val="FF0000"/>
          <w:lang w:val="en-US"/>
        </w:rPr>
      </w:pPr>
    </w:p>
    <w:sectPr w:rsidR="005243A7" w:rsidRPr="005243A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CAF8D" w14:textId="77777777" w:rsidR="00665313" w:rsidRDefault="00665313">
      <w:r>
        <w:separator/>
      </w:r>
    </w:p>
  </w:endnote>
  <w:endnote w:type="continuationSeparator" w:id="0">
    <w:p w14:paraId="5FABE67C" w14:textId="77777777" w:rsidR="00665313" w:rsidRDefault="006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1409C8">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6F7A75">
      <w:rPr>
        <w:noProof/>
      </w:rPr>
      <w:t>4</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1451F" w14:textId="77777777" w:rsidR="00665313" w:rsidRDefault="00665313">
      <w:r>
        <w:separator/>
      </w:r>
    </w:p>
  </w:footnote>
  <w:footnote w:type="continuationSeparator" w:id="0">
    <w:p w14:paraId="4786E4EB" w14:textId="77777777" w:rsidR="00665313" w:rsidRDefault="00665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6013FC29" w:rsidR="00930BFA" w:rsidRDefault="00AD2E47">
    <w:pPr>
      <w:pStyle w:val="Header"/>
      <w:tabs>
        <w:tab w:val="clear" w:pos="6480"/>
        <w:tab w:val="center" w:pos="4680"/>
        <w:tab w:val="right" w:pos="9360"/>
      </w:tabs>
      <w:rPr>
        <w:lang w:eastAsia="ko-KR"/>
      </w:rPr>
    </w:pPr>
    <w:r>
      <w:rPr>
        <w:lang w:eastAsia="ko-KR"/>
      </w:rPr>
      <w:t>May</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fldSimple w:instr=" TITLE  \* MERGEFORMAT ">
      <w:r w:rsidR="00930BFA">
        <w:t>doc.: IEEE 802.11-19/0</w:t>
      </w:r>
      <w:r w:rsidR="005A67A3">
        <w:t>422</w:t>
      </w:r>
      <w:r w:rsidR="00930BFA">
        <w:rPr>
          <w:lang w:eastAsia="ko-KR"/>
        </w:rPr>
        <w:t>r</w:t>
      </w:r>
    </w:fldSimple>
    <w:r>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4E5"/>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4994-CD19-49E9-B0C1-9E6867C0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12</cp:revision>
  <cp:lastPrinted>2010-05-04T03:47:00Z</cp:lastPrinted>
  <dcterms:created xsi:type="dcterms:W3CDTF">2019-05-14T13:27:00Z</dcterms:created>
  <dcterms:modified xsi:type="dcterms:W3CDTF">2019-05-15T17:57:00Z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