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9196BD" w:rsidR="00C723BC" w:rsidRPr="00183F4C" w:rsidRDefault="000E426E" w:rsidP="000E426E">
            <w:pPr>
              <w:pStyle w:val="T2"/>
            </w:pPr>
            <w:r>
              <w:rPr>
                <w:lang w:eastAsia="ko-KR"/>
              </w:rPr>
              <w:t>CR for CID 21497, 21501, 21502</w:t>
            </w:r>
          </w:p>
        </w:tc>
      </w:tr>
      <w:tr w:rsidR="00C723BC" w:rsidRPr="00183F4C" w14:paraId="5B9F14D2" w14:textId="77777777" w:rsidTr="00D74DE9">
        <w:trPr>
          <w:trHeight w:val="359"/>
          <w:jc w:val="center"/>
        </w:trPr>
        <w:tc>
          <w:tcPr>
            <w:tcW w:w="9576" w:type="dxa"/>
            <w:gridSpan w:val="5"/>
            <w:vAlign w:val="center"/>
          </w:tcPr>
          <w:p w14:paraId="03728683" w14:textId="1849BE48" w:rsidR="00C723BC" w:rsidRPr="00183F4C" w:rsidRDefault="00C723BC" w:rsidP="005A67A3">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0E426E">
              <w:rPr>
                <w:b w:val="0"/>
                <w:sz w:val="20"/>
                <w:lang w:eastAsia="ko-KR"/>
              </w:rPr>
              <w:t>3</w:t>
            </w:r>
            <w:r w:rsidR="006A5CA8">
              <w:rPr>
                <w:b w:val="0"/>
                <w:sz w:val="20"/>
                <w:lang w:eastAsia="ko-KR"/>
              </w:rPr>
              <w:t>-</w:t>
            </w:r>
            <w:r w:rsidR="00E35F65">
              <w:rPr>
                <w:b w:val="0"/>
                <w:sz w:val="20"/>
                <w:lang w:eastAsia="ko-KR"/>
              </w:rPr>
              <w:t>0</w:t>
            </w:r>
            <w:r w:rsidR="005A67A3">
              <w:rPr>
                <w:b w:val="0"/>
                <w:sz w:val="20"/>
                <w:lang w:eastAsia="ko-KR"/>
              </w:rPr>
              <w:t>11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 xml:space="preserve">Ehud </w:t>
            </w:r>
            <w:r w:rsidRPr="00802184">
              <w:rPr>
                <w:b w:val="0"/>
                <w:sz w:val="18"/>
                <w:szCs w:val="18"/>
                <w:lang w:eastAsia="ko-KR"/>
              </w:rPr>
              <w:t>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bookmarkStart w:id="0" w:name="_GoBack"/>
      <w:bookmarkEnd w:id="0"/>
    </w:p>
    <w:p w14:paraId="34B1EC40" w14:textId="77777777" w:rsidR="003E4403" w:rsidRDefault="003E4403" w:rsidP="003E4403">
      <w:pPr>
        <w:pStyle w:val="T1"/>
        <w:spacing w:after="120"/>
      </w:pPr>
      <w:r>
        <w:t>Abstract</w:t>
      </w:r>
    </w:p>
    <w:p w14:paraId="3345F5C9" w14:textId="327A9370"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0E426E">
        <w:rPr>
          <w:lang w:eastAsia="ko-KR"/>
        </w:rPr>
        <w:t>0</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lastRenderedPageBreak/>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7"/>
        <w:gridCol w:w="872"/>
        <w:gridCol w:w="695"/>
        <w:gridCol w:w="628"/>
        <w:gridCol w:w="2398"/>
        <w:gridCol w:w="1493"/>
        <w:gridCol w:w="1648"/>
      </w:tblGrid>
      <w:tr w:rsidR="002B29D3" w:rsidRPr="00CE050C" w14:paraId="1937869C" w14:textId="78A8F18F" w:rsidTr="00CE050C">
        <w:trPr>
          <w:trHeight w:val="611"/>
        </w:trPr>
        <w:tc>
          <w:tcPr>
            <w:tcW w:w="0" w:type="auto"/>
            <w:shd w:val="clear" w:color="auto" w:fill="auto"/>
          </w:tcPr>
          <w:p w14:paraId="01C738EE" w14:textId="1AED8378" w:rsidR="00CE050C" w:rsidRPr="00CE050C" w:rsidRDefault="00CE050C" w:rsidP="00CE050C">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52DFB017" w14:textId="6464EEC9"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71B151C4" w14:textId="14364C0D"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3A9AC54A" w14:textId="038048BC"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5E8F6FBD" w14:textId="6B73158F"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31A78205" w14:textId="3AAB0F5A"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0233D323" w14:textId="614FAFA6"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0447F6CF" w14:textId="38608F6A" w:rsidR="00CE050C" w:rsidRPr="00CE050C" w:rsidRDefault="00CE050C" w:rsidP="00CE050C">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B29D3" w:rsidRPr="00CE050C" w14:paraId="3437C974" w14:textId="57D4206A" w:rsidTr="00CE050C">
        <w:trPr>
          <w:trHeight w:val="3000"/>
        </w:trPr>
        <w:tc>
          <w:tcPr>
            <w:tcW w:w="0" w:type="auto"/>
            <w:shd w:val="clear" w:color="auto" w:fill="auto"/>
            <w:hideMark/>
          </w:tcPr>
          <w:p w14:paraId="55263289" w14:textId="77777777" w:rsidR="00CE050C" w:rsidRPr="00CE050C" w:rsidRDefault="00CE050C" w:rsidP="00CE050C">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21497</w:t>
            </w:r>
          </w:p>
        </w:tc>
        <w:tc>
          <w:tcPr>
            <w:tcW w:w="0" w:type="auto"/>
            <w:shd w:val="clear" w:color="auto" w:fill="auto"/>
            <w:hideMark/>
          </w:tcPr>
          <w:p w14:paraId="356D8B4F"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4AC594D6"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27.3.9</w:t>
            </w:r>
          </w:p>
        </w:tc>
        <w:tc>
          <w:tcPr>
            <w:tcW w:w="0" w:type="auto"/>
            <w:shd w:val="clear" w:color="auto" w:fill="auto"/>
            <w:hideMark/>
          </w:tcPr>
          <w:p w14:paraId="18EBAF95"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515</w:t>
            </w:r>
          </w:p>
        </w:tc>
        <w:tc>
          <w:tcPr>
            <w:tcW w:w="0" w:type="auto"/>
            <w:shd w:val="clear" w:color="auto" w:fill="auto"/>
            <w:hideMark/>
          </w:tcPr>
          <w:p w14:paraId="24BBB8CE"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58</w:t>
            </w:r>
          </w:p>
        </w:tc>
        <w:tc>
          <w:tcPr>
            <w:tcW w:w="0" w:type="auto"/>
            <w:shd w:val="clear" w:color="auto" w:fill="auto"/>
            <w:hideMark/>
          </w:tcPr>
          <w:p w14:paraId="1EF105DB"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"The total</w:t>
            </w:r>
            <w:r w:rsidRPr="00CE050C">
              <w:rPr>
                <w:rFonts w:ascii="Arial" w:eastAsia="Times New Roman" w:hAnsi="Arial" w:cs="Arial"/>
                <w:sz w:val="20"/>
                <w:lang w:val="en-US" w:eastAsia="zh-CN"/>
              </w:rPr>
              <w:br/>
              <w:t>power of the time domain HE modulated field signals summed over all transmit chains should not exceed</w:t>
            </w:r>
            <w:r w:rsidRPr="00CE050C">
              <w:rPr>
                <w:rFonts w:ascii="Arial" w:eastAsia="Times New Roman" w:hAnsi="Arial" w:cs="Arial"/>
                <w:sz w:val="20"/>
                <w:lang w:val="en-US" w:eastAsia="zh-CN"/>
              </w:rPr>
              <w:br/>
              <w:t xml:space="preserve">the total power of the time domain pre-HE modulated field signals summed over all transmit chains if ..." The </w:t>
            </w:r>
            <w:proofErr w:type="spellStart"/>
            <w:r w:rsidRPr="00CE050C">
              <w:rPr>
                <w:rFonts w:ascii="Arial" w:eastAsia="Times New Roman" w:hAnsi="Arial" w:cs="Arial"/>
                <w:sz w:val="20"/>
                <w:lang w:val="en-US" w:eastAsia="zh-CN"/>
              </w:rPr>
              <w:t>Tx</w:t>
            </w:r>
            <w:proofErr w:type="spellEnd"/>
            <w:r w:rsidRPr="00CE050C">
              <w:rPr>
                <w:rFonts w:ascii="Arial" w:eastAsia="Times New Roman" w:hAnsi="Arial" w:cs="Arial"/>
                <w:sz w:val="20"/>
                <w:lang w:val="en-US" w:eastAsia="zh-CN"/>
              </w:rPr>
              <w:t xml:space="preserve"> power could be limited by the pre-HE if the pre-HE portion is not be able to </w:t>
            </w:r>
            <w:proofErr w:type="spellStart"/>
            <w:r w:rsidRPr="00CE050C">
              <w:rPr>
                <w:rFonts w:ascii="Arial" w:eastAsia="Times New Roman" w:hAnsi="Arial" w:cs="Arial"/>
                <w:sz w:val="20"/>
                <w:lang w:val="en-US" w:eastAsia="zh-CN"/>
              </w:rPr>
              <w:t>deboosted</w:t>
            </w:r>
            <w:proofErr w:type="spellEnd"/>
            <w:r w:rsidRPr="00CE050C">
              <w:rPr>
                <w:rFonts w:ascii="Arial" w:eastAsia="Times New Roman" w:hAnsi="Arial" w:cs="Arial"/>
                <w:sz w:val="20"/>
                <w:lang w:val="en-US" w:eastAsia="zh-CN"/>
              </w:rPr>
              <w:t>.</w:t>
            </w:r>
          </w:p>
        </w:tc>
        <w:tc>
          <w:tcPr>
            <w:tcW w:w="0" w:type="auto"/>
            <w:shd w:val="clear" w:color="auto" w:fill="auto"/>
            <w:hideMark/>
          </w:tcPr>
          <w:p w14:paraId="1F7A5C68" w14:textId="77777777" w:rsidR="00CE050C" w:rsidRPr="00CE050C" w:rsidRDefault="00CE050C" w:rsidP="00CE050C">
            <w:pPr>
              <w:rPr>
                <w:rFonts w:ascii="Arial" w:eastAsia="Times New Roman" w:hAnsi="Arial" w:cs="Arial"/>
                <w:sz w:val="20"/>
                <w:lang w:val="en-US" w:eastAsia="zh-CN"/>
              </w:rPr>
            </w:pPr>
            <w:r w:rsidRPr="00CE050C">
              <w:rPr>
                <w:rFonts w:ascii="Arial" w:eastAsia="Times New Roman" w:hAnsi="Arial" w:cs="Arial"/>
                <w:sz w:val="20"/>
                <w:lang w:val="en-US" w:eastAsia="zh-CN"/>
              </w:rPr>
              <w:t>Will come up with a contribution to solve the issue</w:t>
            </w:r>
          </w:p>
        </w:tc>
        <w:tc>
          <w:tcPr>
            <w:tcW w:w="0" w:type="auto"/>
          </w:tcPr>
          <w:p w14:paraId="41930D9B" w14:textId="77777777" w:rsidR="002B29D3" w:rsidRDefault="002B29D3" w:rsidP="002B29D3">
            <w:pPr>
              <w:rPr>
                <w:rFonts w:eastAsia="Times New Roman"/>
                <w:color w:val="000000"/>
                <w:szCs w:val="18"/>
                <w:lang w:val="en-US"/>
              </w:rPr>
            </w:pPr>
            <w:r>
              <w:rPr>
                <w:rFonts w:eastAsia="Times New Roman"/>
                <w:color w:val="000000"/>
                <w:szCs w:val="18"/>
                <w:lang w:val="en-US"/>
              </w:rPr>
              <w:t xml:space="preserve">Revised </w:t>
            </w:r>
          </w:p>
          <w:p w14:paraId="417DCDE6" w14:textId="77777777" w:rsidR="002B29D3" w:rsidRDefault="002B29D3" w:rsidP="002B29D3">
            <w:pPr>
              <w:rPr>
                <w:rFonts w:eastAsia="Times New Roman"/>
                <w:color w:val="000000"/>
                <w:szCs w:val="18"/>
                <w:lang w:val="en-US"/>
              </w:rPr>
            </w:pPr>
          </w:p>
          <w:p w14:paraId="7FEC6BB4" w14:textId="380825C1" w:rsidR="00CE050C" w:rsidRPr="00CE050C" w:rsidRDefault="002B29D3" w:rsidP="002B29D3">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5A67A3">
              <w:rPr>
                <w:bCs/>
                <w:sz w:val="16"/>
                <w:szCs w:val="18"/>
                <w:lang w:eastAsia="ko-KR"/>
              </w:rPr>
              <w:t>422r0</w:t>
            </w:r>
            <w:r w:rsidRPr="00765C2E">
              <w:rPr>
                <w:bCs/>
                <w:sz w:val="16"/>
                <w:szCs w:val="18"/>
                <w:lang w:eastAsia="ko-KR"/>
              </w:rPr>
              <w:t xml:space="preserve"> under all headings that include CID </w:t>
            </w:r>
            <w:r>
              <w:rPr>
                <w:rFonts w:eastAsia="Times New Roman"/>
                <w:color w:val="000000"/>
                <w:szCs w:val="18"/>
                <w:lang w:val="en-US"/>
              </w:rPr>
              <w:t>21497</w:t>
            </w:r>
            <w:r w:rsidRPr="00765C2E">
              <w:rPr>
                <w:bCs/>
                <w:sz w:val="16"/>
                <w:szCs w:val="18"/>
                <w:lang w:eastAsia="ko-KR"/>
              </w:rPr>
              <w:t>.</w:t>
            </w:r>
          </w:p>
        </w:tc>
      </w:tr>
    </w:tbl>
    <w:p w14:paraId="6DA95D76" w14:textId="77777777" w:rsidR="00CE050C" w:rsidRDefault="00CE050C" w:rsidP="005E768D">
      <w:pPr>
        <w:rPr>
          <w:b/>
          <w:sz w:val="32"/>
          <w:lang w:val="en-US"/>
        </w:rPr>
      </w:pPr>
    </w:p>
    <w:p w14:paraId="094262C1" w14:textId="77777777" w:rsidR="00CE050C" w:rsidRDefault="00CE050C" w:rsidP="005E768D">
      <w:pPr>
        <w:rPr>
          <w:b/>
          <w:sz w:val="32"/>
          <w:lang w:val="en-US"/>
        </w:rPr>
      </w:pPr>
    </w:p>
    <w:p w14:paraId="0AD0AC22" w14:textId="3A8B97C4" w:rsidR="007A0395" w:rsidRPr="00473F91" w:rsidRDefault="00AC76D2" w:rsidP="005E768D">
      <w:pPr>
        <w:rPr>
          <w:b/>
          <w:sz w:val="32"/>
          <w:lang w:val="en-US"/>
        </w:rPr>
      </w:pPr>
      <w:r>
        <w:rPr>
          <w:b/>
          <w:sz w:val="32"/>
          <w:lang w:val="en-US"/>
        </w:rPr>
        <w:t>D</w:t>
      </w:r>
      <w:r w:rsidR="009A6621" w:rsidRPr="00473F91">
        <w:rPr>
          <w:b/>
          <w:sz w:val="32"/>
          <w:lang w:val="en-US"/>
        </w:rPr>
        <w:t>iscussions</w:t>
      </w:r>
      <w:r w:rsidR="007A0395" w:rsidRPr="00473F91">
        <w:rPr>
          <w:b/>
          <w:sz w:val="32"/>
          <w:lang w:val="en-US"/>
        </w:rPr>
        <w:t>:</w:t>
      </w:r>
    </w:p>
    <w:p w14:paraId="383AF57A" w14:textId="77777777" w:rsidR="004D7F25" w:rsidRDefault="004D7F25" w:rsidP="005E768D">
      <w:pPr>
        <w:rPr>
          <w:rFonts w:ascii="TimesNewRomanPSMT" w:hAnsi="TimesNewRomanPSMT" w:hint="eastAsia"/>
          <w:color w:val="000000"/>
          <w:sz w:val="20"/>
        </w:rPr>
      </w:pPr>
    </w:p>
    <w:p w14:paraId="78A56D2D" w14:textId="4A593877" w:rsidR="00174C0E" w:rsidRDefault="00174C0E" w:rsidP="007E5808">
      <w:pPr>
        <w:spacing w:before="120" w:line="360" w:lineRule="auto"/>
        <w:rPr>
          <w:rFonts w:ascii="TimesNewRomanPSMT" w:hAnsi="TimesNewRomanPSMT" w:hint="eastAsia"/>
          <w:color w:val="000000"/>
          <w:sz w:val="20"/>
        </w:rPr>
      </w:pPr>
      <w:r>
        <w:rPr>
          <w:rFonts w:ascii="TimesNewRomanPSMT" w:hAnsi="TimesNewRomanPSMT"/>
          <w:color w:val="000000"/>
          <w:sz w:val="20"/>
        </w:rPr>
        <w:t xml:space="preserve">For HE TB PPDU, the Pre-HE portion may </w:t>
      </w:r>
      <w:r w:rsidR="007E5808">
        <w:rPr>
          <w:rFonts w:ascii="TimesNewRomanPSMT" w:hAnsi="TimesNewRomanPSMT"/>
          <w:color w:val="000000"/>
          <w:sz w:val="20"/>
        </w:rPr>
        <w:t xml:space="preserve">be </w:t>
      </w:r>
      <w:r w:rsidRPr="007E5808">
        <w:rPr>
          <w:rFonts w:ascii="TimesNewRomanPSMT" w:hAnsi="TimesNewRomanPSMT"/>
          <w:b/>
          <w:sz w:val="20"/>
        </w:rPr>
        <w:t>transmit</w:t>
      </w:r>
      <w:r w:rsidR="007E5808" w:rsidRPr="007E5808">
        <w:rPr>
          <w:rFonts w:ascii="TimesNewRomanPSMT" w:hAnsi="TimesNewRomanPSMT"/>
          <w:b/>
          <w:sz w:val="20"/>
        </w:rPr>
        <w:t>ted</w:t>
      </w:r>
      <w:r w:rsidRPr="007E5808">
        <w:rPr>
          <w:rFonts w:ascii="TimesNewRomanPSMT" w:hAnsi="TimesNewRomanPSMT"/>
          <w:b/>
          <w:sz w:val="20"/>
        </w:rPr>
        <w:t xml:space="preserve"> on wider bandwidth than</w:t>
      </w:r>
      <w:r w:rsidRPr="007E5808">
        <w:rPr>
          <w:rFonts w:ascii="TimesNewRomanPSMT" w:hAnsi="TimesNewRomanPSMT"/>
          <w:sz w:val="20"/>
        </w:rPr>
        <w:t xml:space="preserve"> </w:t>
      </w:r>
      <w:r>
        <w:rPr>
          <w:rFonts w:ascii="TimesNewRomanPSMT" w:hAnsi="TimesNewRomanPSMT"/>
          <w:color w:val="000000"/>
          <w:sz w:val="20"/>
        </w:rPr>
        <w:t>the HE portion if the H</w:t>
      </w:r>
      <w:r w:rsidRPr="00174C0E">
        <w:rPr>
          <w:rFonts w:ascii="TimesNewRomanPSMT" w:hAnsi="TimesNewRomanPSMT"/>
          <w:color w:val="000000"/>
          <w:sz w:val="20"/>
        </w:rPr>
        <w:t>E</w:t>
      </w:r>
      <w:r>
        <w:rPr>
          <w:rFonts w:ascii="TimesNewRomanPSMT" w:hAnsi="TimesNewRomanPSMT"/>
          <w:color w:val="000000"/>
          <w:sz w:val="20"/>
        </w:rPr>
        <w:t xml:space="preserve"> portion is populated on some </w:t>
      </w:r>
      <w:proofErr w:type="spellStart"/>
      <w:r>
        <w:rPr>
          <w:rFonts w:ascii="TimesNewRomanPSMT" w:hAnsi="TimesNewRomanPSMT"/>
          <w:color w:val="000000"/>
          <w:sz w:val="20"/>
        </w:rPr>
        <w:t>RUs.</w:t>
      </w:r>
      <w:proofErr w:type="spellEnd"/>
      <w:r>
        <w:rPr>
          <w:rFonts w:ascii="TimesNewRomanPSMT" w:hAnsi="TimesNewRomanPSMT"/>
          <w:color w:val="000000"/>
          <w:sz w:val="20"/>
        </w:rPr>
        <w:t xml:space="preserve"> E.g. the inner 242 tone RU</w:t>
      </w:r>
      <w:r w:rsidR="002F1872">
        <w:rPr>
          <w:rFonts w:ascii="TimesNewRomanPSMT" w:hAnsi="TimesNewRomanPSMT"/>
          <w:color w:val="000000"/>
          <w:sz w:val="20"/>
        </w:rPr>
        <w:t>s</w:t>
      </w:r>
      <w:r>
        <w:rPr>
          <w:rFonts w:ascii="TimesNewRomanPSMT" w:hAnsi="TimesNewRomanPSMT"/>
          <w:color w:val="000000"/>
          <w:sz w:val="20"/>
        </w:rPr>
        <w:t xml:space="preserve"> in 80MHz. That</w:t>
      </w:r>
      <w:r w:rsidR="009566F0">
        <w:rPr>
          <w:rFonts w:ascii="TimesNewRomanPSMT" w:hAnsi="TimesNewRomanPSMT"/>
          <w:color w:val="000000"/>
          <w:sz w:val="20"/>
        </w:rPr>
        <w:t xml:space="preserve"> means </w:t>
      </w:r>
      <w:r>
        <w:rPr>
          <w:rFonts w:ascii="TimesNewRomanPSMT" w:hAnsi="TimesNewRomanPSMT"/>
          <w:color w:val="000000"/>
          <w:sz w:val="20"/>
        </w:rPr>
        <w:t xml:space="preserve">the </w:t>
      </w:r>
      <w:r w:rsidRPr="007E5808">
        <w:rPr>
          <w:rFonts w:ascii="TimesNewRomanPSMT" w:hAnsi="TimesNewRomanPSMT"/>
          <w:b/>
          <w:sz w:val="20"/>
        </w:rPr>
        <w:t xml:space="preserve">HE portion </w:t>
      </w:r>
      <w:r w:rsidR="00E676F6">
        <w:rPr>
          <w:rFonts w:ascii="TimesNewRomanPSMT" w:hAnsi="TimesNewRomanPSMT"/>
          <w:b/>
          <w:sz w:val="20"/>
        </w:rPr>
        <w:t xml:space="preserve">is </w:t>
      </w:r>
      <w:proofErr w:type="spellStart"/>
      <w:r w:rsidRPr="007E5808">
        <w:rPr>
          <w:rFonts w:ascii="TimesNewRomanPSMT" w:hAnsi="TimesNewRomanPSMT"/>
          <w:b/>
          <w:sz w:val="20"/>
        </w:rPr>
        <w:t>transmit</w:t>
      </w:r>
      <w:r w:rsidR="00E676F6">
        <w:rPr>
          <w:rFonts w:ascii="TimesNewRomanPSMT" w:hAnsi="TimesNewRomanPSMT"/>
          <w:b/>
          <w:sz w:val="20"/>
        </w:rPr>
        <w:t>ed</w:t>
      </w:r>
      <w:proofErr w:type="spellEnd"/>
      <w:r w:rsidRPr="007E5808">
        <w:rPr>
          <w:rFonts w:ascii="TimesNewRomanPSMT" w:hAnsi="TimesNewRomanPSMT"/>
          <w:b/>
          <w:sz w:val="20"/>
        </w:rPr>
        <w:t xml:space="preserve"> </w:t>
      </w:r>
      <w:r w:rsidR="00E676F6">
        <w:rPr>
          <w:rFonts w:ascii="TimesNewRomanPSMT" w:hAnsi="TimesNewRomanPSMT"/>
          <w:b/>
          <w:sz w:val="20"/>
        </w:rPr>
        <w:t>across</w:t>
      </w:r>
      <w:r w:rsidRPr="007E5808">
        <w:rPr>
          <w:rFonts w:ascii="TimesNewRomanPSMT" w:hAnsi="TimesNewRomanPSMT"/>
          <w:b/>
          <w:sz w:val="20"/>
        </w:rPr>
        <w:t xml:space="preserve"> 20MHz but Pre-HE portion </w:t>
      </w:r>
      <w:r w:rsidR="00E676F6">
        <w:rPr>
          <w:rFonts w:ascii="TimesNewRomanPSMT" w:hAnsi="TimesNewRomanPSMT"/>
          <w:b/>
          <w:sz w:val="20"/>
        </w:rPr>
        <w:t xml:space="preserve">is transmitted across </w:t>
      </w:r>
      <w:r w:rsidRPr="007E5808">
        <w:rPr>
          <w:rFonts w:ascii="TimesNewRomanPSMT" w:hAnsi="TimesNewRomanPSMT"/>
          <w:b/>
          <w:sz w:val="20"/>
        </w:rPr>
        <w:t>40MHz</w:t>
      </w:r>
      <w:r>
        <w:rPr>
          <w:rFonts w:ascii="TimesNewRomanPSMT" w:hAnsi="TimesNewRomanPSMT"/>
          <w:color w:val="000000"/>
          <w:sz w:val="20"/>
        </w:rPr>
        <w:t>.</w:t>
      </w:r>
    </w:p>
    <w:p w14:paraId="08D9A67A" w14:textId="707C93A3" w:rsidR="006166AA" w:rsidRDefault="006166AA" w:rsidP="007E5808">
      <w:pPr>
        <w:spacing w:before="120" w:line="360" w:lineRule="auto"/>
        <w:rPr>
          <w:rFonts w:ascii="TimesNewRomanPSMT" w:hAnsi="TimesNewRomanPSMT" w:hint="eastAsia"/>
          <w:color w:val="000000"/>
          <w:sz w:val="20"/>
        </w:rPr>
      </w:pPr>
      <w:r>
        <w:rPr>
          <w:rFonts w:ascii="TimesNewRomanPSMT" w:hAnsi="TimesNewRomanPSMT"/>
          <w:color w:val="000000"/>
          <w:sz w:val="20"/>
        </w:rPr>
        <w:t>For the above mentioned HE TB PPDU, in some of the band edge</w:t>
      </w:r>
      <w:r w:rsidR="00EC1567">
        <w:rPr>
          <w:rFonts w:ascii="TimesNewRomanPSMT" w:hAnsi="TimesNewRomanPSMT"/>
          <w:color w:val="000000"/>
          <w:sz w:val="20"/>
        </w:rPr>
        <w:t>,</w:t>
      </w:r>
      <w:r w:rsidR="004D7F25">
        <w:rPr>
          <w:rFonts w:ascii="TimesNewRomanPSMT" w:hAnsi="TimesNewRomanPSMT"/>
          <w:color w:val="000000"/>
          <w:sz w:val="20"/>
        </w:rPr>
        <w:t xml:space="preserve"> we found the following </w:t>
      </w:r>
      <w:proofErr w:type="spellStart"/>
      <w:proofErr w:type="gramStart"/>
      <w:r w:rsidR="00EC1567">
        <w:rPr>
          <w:rFonts w:ascii="TimesNewRomanPSMT" w:hAnsi="TimesNewRomanPSMT"/>
          <w:color w:val="000000"/>
          <w:sz w:val="20"/>
        </w:rPr>
        <w:t>Tx</w:t>
      </w:r>
      <w:proofErr w:type="spellEnd"/>
      <w:proofErr w:type="gramEnd"/>
      <w:r w:rsidR="00EC1567">
        <w:rPr>
          <w:rFonts w:ascii="TimesNewRomanPSMT" w:hAnsi="TimesNewRomanPSMT"/>
          <w:color w:val="000000"/>
          <w:sz w:val="20"/>
        </w:rPr>
        <w:t xml:space="preserve"> power limitation </w:t>
      </w:r>
      <w:r w:rsidR="004D7F25">
        <w:rPr>
          <w:rFonts w:ascii="TimesNewRomanPSMT" w:hAnsi="TimesNewRomanPSMT"/>
          <w:color w:val="000000"/>
          <w:sz w:val="20"/>
        </w:rPr>
        <w:t xml:space="preserve">issue due to </w:t>
      </w:r>
      <w:r>
        <w:rPr>
          <w:rFonts w:ascii="TimesNewRomanPSMT" w:hAnsi="TimesNewRomanPSMT"/>
          <w:color w:val="000000"/>
          <w:sz w:val="20"/>
        </w:rPr>
        <w:t xml:space="preserve">the </w:t>
      </w:r>
      <w:r w:rsidR="004D7F25">
        <w:rPr>
          <w:rFonts w:ascii="TimesNewRomanPSMT" w:hAnsi="TimesNewRomanPSMT"/>
          <w:color w:val="000000"/>
          <w:sz w:val="20"/>
        </w:rPr>
        <w:t xml:space="preserve">OOBE </w:t>
      </w:r>
      <w:r>
        <w:rPr>
          <w:rFonts w:ascii="TimesNewRomanPSMT" w:hAnsi="TimesNewRomanPSMT"/>
          <w:color w:val="000000"/>
          <w:sz w:val="20"/>
        </w:rPr>
        <w:t xml:space="preserve">caused by IM3 </w:t>
      </w:r>
      <w:r w:rsidR="00414CC9">
        <w:rPr>
          <w:rFonts w:ascii="TimesNewRomanPSMT" w:hAnsi="TimesNewRomanPSMT"/>
          <w:color w:val="000000"/>
          <w:sz w:val="20"/>
        </w:rPr>
        <w:t xml:space="preserve">(one example is shown </w:t>
      </w:r>
      <w:r w:rsidR="00232FC3">
        <w:rPr>
          <w:rFonts w:ascii="TimesNewRomanPSMT" w:hAnsi="TimesNewRomanPSMT"/>
          <w:color w:val="000000"/>
          <w:sz w:val="20"/>
        </w:rPr>
        <w:t xml:space="preserve">in the table </w:t>
      </w:r>
      <w:r w:rsidR="00414CC9">
        <w:rPr>
          <w:rFonts w:ascii="TimesNewRomanPSMT" w:hAnsi="TimesNewRomanPSMT"/>
          <w:color w:val="000000"/>
          <w:sz w:val="20"/>
        </w:rPr>
        <w:t>below for band 36)</w:t>
      </w:r>
      <w:r>
        <w:rPr>
          <w:rFonts w:ascii="TimesNewRomanPSMT" w:hAnsi="TimesNewRomanPSMT"/>
          <w:color w:val="000000"/>
          <w:sz w:val="20"/>
        </w:rPr>
        <w:t>.</w:t>
      </w:r>
      <w:r w:rsidR="00414CC9">
        <w:rPr>
          <w:rFonts w:ascii="TimesNewRomanPSMT" w:hAnsi="TimesNewRomanPSMT"/>
          <w:color w:val="000000"/>
          <w:sz w:val="20"/>
        </w:rPr>
        <w:t xml:space="preserve"> </w:t>
      </w:r>
    </w:p>
    <w:p w14:paraId="3A326153" w14:textId="40BFAA6F" w:rsidR="00D00B44" w:rsidRPr="006166AA" w:rsidRDefault="006166AA" w:rsidP="007E5808">
      <w:pPr>
        <w:spacing w:before="120" w:line="360" w:lineRule="auto"/>
        <w:rPr>
          <w:rFonts w:ascii="TimesNewRomanPSMT" w:hAnsi="TimesNewRomanPSMT" w:hint="eastAsia"/>
          <w:i/>
          <w:color w:val="000000"/>
          <w:sz w:val="20"/>
        </w:rPr>
      </w:pPr>
      <w:r w:rsidRPr="006166AA">
        <w:rPr>
          <w:rFonts w:ascii="TimesNewRomanPSMT" w:hAnsi="TimesNewRomanPSMT"/>
          <w:i/>
          <w:color w:val="000000"/>
          <w:sz w:val="20"/>
        </w:rPr>
        <w:t>I</w:t>
      </w:r>
      <w:r w:rsidR="00414CC9" w:rsidRPr="006166AA">
        <w:rPr>
          <w:rFonts w:ascii="TimesNewRomanPSMT" w:hAnsi="TimesNewRomanPSMT"/>
          <w:i/>
          <w:color w:val="000000"/>
          <w:sz w:val="20"/>
        </w:rPr>
        <w:t xml:space="preserve">f </w:t>
      </w:r>
      <w:r w:rsidR="00B803A1" w:rsidRPr="006166AA">
        <w:rPr>
          <w:rFonts w:ascii="TimesNewRomanPSMT" w:hAnsi="TimesNewRomanPSMT"/>
          <w:b/>
          <w:i/>
          <w:color w:val="000000"/>
          <w:sz w:val="20"/>
        </w:rPr>
        <w:t xml:space="preserve">both </w:t>
      </w:r>
      <w:r w:rsidR="00414CC9" w:rsidRPr="006166AA">
        <w:rPr>
          <w:rFonts w:ascii="TimesNewRomanPSMT" w:hAnsi="TimesNewRomanPSMT"/>
          <w:b/>
          <w:i/>
          <w:color w:val="000000"/>
          <w:sz w:val="20"/>
        </w:rPr>
        <w:t xml:space="preserve">the HE portion </w:t>
      </w:r>
      <w:r w:rsidR="00B803A1" w:rsidRPr="006166AA">
        <w:rPr>
          <w:rFonts w:ascii="TimesNewRomanPSMT" w:hAnsi="TimesNewRomanPSMT"/>
          <w:b/>
          <w:i/>
          <w:color w:val="000000"/>
          <w:sz w:val="20"/>
        </w:rPr>
        <w:t xml:space="preserve">and the Pre-HE </w:t>
      </w:r>
      <w:proofErr w:type="spellStart"/>
      <w:r w:rsidR="00B803A1" w:rsidRPr="006166AA">
        <w:rPr>
          <w:rFonts w:ascii="TimesNewRomanPSMT" w:hAnsi="TimesNewRomanPSMT"/>
          <w:b/>
          <w:i/>
          <w:color w:val="000000"/>
          <w:sz w:val="20"/>
        </w:rPr>
        <w:t>protion</w:t>
      </w:r>
      <w:proofErr w:type="spellEnd"/>
      <w:r w:rsidR="00B803A1" w:rsidRPr="006166AA">
        <w:rPr>
          <w:rFonts w:ascii="TimesNewRomanPSMT" w:hAnsi="TimesNewRomanPSMT"/>
          <w:i/>
          <w:color w:val="000000"/>
          <w:sz w:val="20"/>
        </w:rPr>
        <w:t xml:space="preserve"> </w:t>
      </w:r>
      <w:r w:rsidR="00414CC9" w:rsidRPr="006166AA">
        <w:rPr>
          <w:rFonts w:ascii="TimesNewRomanPSMT" w:hAnsi="TimesNewRomanPSMT"/>
          <w:i/>
          <w:color w:val="000000"/>
          <w:sz w:val="20"/>
        </w:rPr>
        <w:t xml:space="preserve">of TB PPDU </w:t>
      </w:r>
      <w:r w:rsidR="00087A5D">
        <w:rPr>
          <w:rFonts w:ascii="TimesNewRomanPSMT" w:hAnsi="TimesNewRomanPSMT"/>
          <w:i/>
          <w:color w:val="000000"/>
          <w:sz w:val="20"/>
        </w:rPr>
        <w:t>are</w:t>
      </w:r>
      <w:r w:rsidR="00414CC9" w:rsidRPr="006166AA">
        <w:rPr>
          <w:rFonts w:ascii="TimesNewRomanPSMT" w:hAnsi="TimesNewRomanPSMT"/>
          <w:i/>
          <w:color w:val="000000"/>
          <w:sz w:val="20"/>
        </w:rPr>
        <w:t xml:space="preserve"> transmitted in channel 4</w:t>
      </w:r>
      <w:r w:rsidR="00B803A1" w:rsidRPr="006166AA">
        <w:rPr>
          <w:rFonts w:ascii="TimesNewRomanPSMT" w:hAnsi="TimesNewRomanPSMT"/>
          <w:i/>
          <w:color w:val="000000"/>
          <w:sz w:val="20"/>
        </w:rPr>
        <w:t>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they can be transmitted by 20dBm; however, if HE portion is transmitted in channel 44</w:t>
      </w:r>
      <w:r w:rsidR="007E5808" w:rsidRPr="006166AA">
        <w:rPr>
          <w:rFonts w:ascii="TimesNewRomanPSMT" w:hAnsi="TimesNewRomanPSMT"/>
          <w:i/>
          <w:color w:val="000000"/>
          <w:sz w:val="20"/>
        </w:rPr>
        <w:t xml:space="preserve"> (20MHz)</w:t>
      </w:r>
      <w:r w:rsidR="00B803A1" w:rsidRPr="006166AA">
        <w:rPr>
          <w:rFonts w:ascii="TimesNewRomanPSMT" w:hAnsi="TimesNewRomanPSMT"/>
          <w:i/>
          <w:color w:val="000000"/>
          <w:sz w:val="20"/>
        </w:rPr>
        <w:t xml:space="preserve"> but pre-HE portion is transmitted in channel 46F (40MHz), </w:t>
      </w:r>
      <w:r w:rsidR="00D00B44" w:rsidRPr="006166AA">
        <w:rPr>
          <w:rFonts w:ascii="TimesNewRomanPSMT" w:hAnsi="TimesNewRomanPSMT"/>
          <w:i/>
          <w:color w:val="000000"/>
          <w:sz w:val="20"/>
        </w:rPr>
        <w:t xml:space="preserve">the </w:t>
      </w:r>
      <w:proofErr w:type="spellStart"/>
      <w:proofErr w:type="gramStart"/>
      <w:r w:rsidR="00D00B44" w:rsidRPr="006166AA">
        <w:rPr>
          <w:rFonts w:ascii="TimesNewRomanPSMT" w:hAnsi="TimesNewRomanPSMT"/>
          <w:i/>
          <w:color w:val="000000"/>
          <w:sz w:val="20"/>
        </w:rPr>
        <w:t>Tx</w:t>
      </w:r>
      <w:proofErr w:type="spellEnd"/>
      <w:proofErr w:type="gramEnd"/>
      <w:r w:rsidR="00D00B44" w:rsidRPr="006166AA">
        <w:rPr>
          <w:rFonts w:ascii="TimesNewRomanPSMT" w:hAnsi="TimesNewRomanPSMT"/>
          <w:i/>
          <w:color w:val="000000"/>
          <w:sz w:val="20"/>
        </w:rPr>
        <w:t xml:space="preserve"> power of HE portion will be limited by 18dBm</w:t>
      </w:r>
      <w:r w:rsidR="009C4E0F">
        <w:rPr>
          <w:rFonts w:ascii="TimesNewRomanPSMT" w:hAnsi="TimesNewRomanPSMT"/>
          <w:i/>
          <w:color w:val="000000"/>
          <w:sz w:val="20"/>
        </w:rPr>
        <w:t xml:space="preserve"> instead of 20dBm</w:t>
      </w:r>
      <w:r w:rsidR="00D00B44" w:rsidRPr="006166AA">
        <w:rPr>
          <w:rFonts w:ascii="TimesNewRomanPSMT" w:hAnsi="TimesNewRomanPSMT"/>
          <w:i/>
          <w:color w:val="000000"/>
          <w:sz w:val="20"/>
        </w:rPr>
        <w:t xml:space="preserve">. </w:t>
      </w:r>
      <w:r w:rsidR="007E5808" w:rsidRPr="006166AA">
        <w:rPr>
          <w:rFonts w:ascii="TimesNewRomanPSMT" w:hAnsi="TimesNewRomanPSMT"/>
          <w:i/>
          <w:color w:val="000000"/>
          <w:sz w:val="20"/>
        </w:rPr>
        <w:t>The reason is the IM3 of 40MHz is much worse than the 20MHz. The IMs push the PA back off more to accommodate the OOBE especially in the band edge.</w:t>
      </w:r>
    </w:p>
    <w:p w14:paraId="1FCDA0C5" w14:textId="77777777" w:rsidR="004D7F25" w:rsidRDefault="004D7F25" w:rsidP="005E768D">
      <w:pPr>
        <w:rPr>
          <w:rFonts w:ascii="TimesNewRomanPSMT" w:hAnsi="TimesNewRomanPSMT" w:hint="eastAsia"/>
          <w:color w:val="000000"/>
          <w:sz w:val="20"/>
        </w:rPr>
      </w:pPr>
    </w:p>
    <w:p w14:paraId="0E19D918" w14:textId="590A22E4" w:rsidR="009A6621" w:rsidRPr="009A6621" w:rsidRDefault="009A6621" w:rsidP="009A6621">
      <w:pPr>
        <w:pStyle w:val="Caption"/>
        <w:keepNext/>
        <w:spacing w:after="0"/>
        <w:jc w:val="center"/>
        <w:rPr>
          <w:b/>
          <w:i w:val="0"/>
        </w:rPr>
      </w:pPr>
      <w:r w:rsidRPr="009A6621">
        <w:rPr>
          <w:b/>
          <w:i w:val="0"/>
        </w:rPr>
        <w:t xml:space="preserve">Table </w:t>
      </w:r>
      <w:r w:rsidRPr="009A6621">
        <w:rPr>
          <w:b/>
          <w:i w:val="0"/>
        </w:rPr>
        <w:fldChar w:fldCharType="begin"/>
      </w:r>
      <w:r w:rsidRPr="009A6621">
        <w:rPr>
          <w:b/>
          <w:i w:val="0"/>
        </w:rPr>
        <w:instrText xml:space="preserve"> SEQ Table \* ARABIC </w:instrText>
      </w:r>
      <w:r w:rsidRPr="009A6621">
        <w:rPr>
          <w:b/>
          <w:i w:val="0"/>
        </w:rPr>
        <w:fldChar w:fldCharType="separate"/>
      </w:r>
      <w:r w:rsidR="009124F6">
        <w:rPr>
          <w:b/>
          <w:i w:val="0"/>
          <w:noProof/>
        </w:rPr>
        <w:t>1</w:t>
      </w:r>
      <w:r w:rsidRPr="009A6621">
        <w:rPr>
          <w:b/>
          <w:i w:val="0"/>
        </w:rPr>
        <w:fldChar w:fldCharType="end"/>
      </w:r>
      <w:r w:rsidRPr="009A6621">
        <w:rPr>
          <w:b/>
          <w:i w:val="0"/>
        </w:rPr>
        <w:t xml:space="preserve"> </w:t>
      </w:r>
      <w:r w:rsidR="00232FC3">
        <w:rPr>
          <w:b/>
          <w:i w:val="0"/>
        </w:rPr>
        <w:t xml:space="preserve">Measured </w:t>
      </w:r>
      <w:proofErr w:type="spellStart"/>
      <w:proofErr w:type="gramStart"/>
      <w:r w:rsidRPr="009A6621">
        <w:rPr>
          <w:b/>
          <w:i w:val="0"/>
        </w:rPr>
        <w:t>Tx</w:t>
      </w:r>
      <w:proofErr w:type="spellEnd"/>
      <w:proofErr w:type="gramEnd"/>
      <w:r w:rsidRPr="009A6621">
        <w:rPr>
          <w:b/>
          <w:i w:val="0"/>
        </w:rPr>
        <w:t xml:space="preserve"> power (in </w:t>
      </w:r>
      <w:proofErr w:type="spellStart"/>
      <w:r w:rsidRPr="009A6621">
        <w:rPr>
          <w:b/>
          <w:i w:val="0"/>
        </w:rPr>
        <w:t>dBm</w:t>
      </w:r>
      <w:proofErr w:type="spellEnd"/>
      <w:r w:rsidRPr="009A6621">
        <w:rPr>
          <w:b/>
          <w:i w:val="0"/>
        </w:rPr>
        <w:t>) for different band</w:t>
      </w:r>
      <w:r w:rsidR="00232FC3">
        <w:rPr>
          <w:b/>
          <w:i w:val="0"/>
        </w:rPr>
        <w:t xml:space="preserve"> </w:t>
      </w:r>
    </w:p>
    <w:tbl>
      <w:tblPr>
        <w:tblW w:w="6098" w:type="dxa"/>
        <w:jc w:val="center"/>
        <w:tblLook w:val="04A0" w:firstRow="1" w:lastRow="0" w:firstColumn="1" w:lastColumn="0" w:noHBand="0" w:noVBand="1"/>
      </w:tblPr>
      <w:tblGrid>
        <w:gridCol w:w="1161"/>
        <w:gridCol w:w="962"/>
        <w:gridCol w:w="926"/>
        <w:gridCol w:w="1161"/>
        <w:gridCol w:w="962"/>
        <w:gridCol w:w="926"/>
      </w:tblGrid>
      <w:tr w:rsidR="009A6621" w:rsidRPr="00414CC9" w14:paraId="1ABCCBF2" w14:textId="77777777" w:rsidTr="009A6621">
        <w:trPr>
          <w:trHeight w:val="332"/>
          <w:jc w:val="center"/>
        </w:trPr>
        <w:tc>
          <w:tcPr>
            <w:tcW w:w="3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A73F6" w14:textId="710C98D8"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20MHz</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4339A8D" w14:textId="66372B3C" w:rsidR="009A6621" w:rsidRPr="00414CC9" w:rsidRDefault="009A6621" w:rsidP="00414CC9">
            <w:pPr>
              <w:jc w:val="center"/>
              <w:rPr>
                <w:rFonts w:ascii="Arial" w:eastAsia="Times New Roman" w:hAnsi="Arial" w:cs="Arial"/>
                <w:sz w:val="20"/>
                <w:lang w:val="en-US" w:eastAsia="zh-CN"/>
              </w:rPr>
            </w:pPr>
            <w:r>
              <w:rPr>
                <w:rFonts w:ascii="Arial" w:eastAsia="Times New Roman" w:hAnsi="Arial" w:cs="Arial"/>
                <w:sz w:val="20"/>
                <w:lang w:val="en-US" w:eastAsia="zh-CN"/>
              </w:rPr>
              <w:t>40MHz</w:t>
            </w:r>
          </w:p>
        </w:tc>
      </w:tr>
      <w:tr w:rsidR="00414CC9" w:rsidRPr="00414CC9" w14:paraId="18138B52" w14:textId="77777777" w:rsidTr="009A6621">
        <w:trPr>
          <w:trHeight w:val="750"/>
          <w:jc w:val="center"/>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107D"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2D141B3"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093A0703" w14:textId="6CEABF7B"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DF7AA9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Frequency</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157F07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Central Channel</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7EDA4EF2" w14:textId="04C0B02C"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 xml:space="preserve">SISO </w:t>
            </w:r>
          </w:p>
        </w:tc>
      </w:tr>
      <w:tr w:rsidR="00414CC9" w:rsidRPr="00414CC9" w14:paraId="490AC6EF"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0D48C2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5180</w:t>
            </w:r>
          </w:p>
        </w:tc>
        <w:tc>
          <w:tcPr>
            <w:tcW w:w="962" w:type="dxa"/>
            <w:tcBorders>
              <w:top w:val="nil"/>
              <w:left w:val="nil"/>
              <w:bottom w:val="single" w:sz="4" w:space="0" w:color="auto"/>
              <w:right w:val="single" w:sz="4" w:space="0" w:color="auto"/>
            </w:tcBorders>
            <w:shd w:val="clear" w:color="auto" w:fill="auto"/>
            <w:noWrap/>
            <w:vAlign w:val="center"/>
            <w:hideMark/>
          </w:tcPr>
          <w:p w14:paraId="351172F5"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36</w:t>
            </w:r>
          </w:p>
        </w:tc>
        <w:tc>
          <w:tcPr>
            <w:tcW w:w="926" w:type="dxa"/>
            <w:tcBorders>
              <w:top w:val="nil"/>
              <w:left w:val="nil"/>
              <w:bottom w:val="single" w:sz="4" w:space="0" w:color="auto"/>
              <w:right w:val="single" w:sz="4" w:space="0" w:color="auto"/>
            </w:tcBorders>
            <w:shd w:val="clear" w:color="000000" w:fill="D8E4BC"/>
            <w:noWrap/>
            <w:vAlign w:val="center"/>
            <w:hideMark/>
          </w:tcPr>
          <w:p w14:paraId="72A733E9"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106B80"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5190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8F89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38F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66398E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17.00</w:t>
            </w:r>
          </w:p>
        </w:tc>
      </w:tr>
      <w:tr w:rsidR="00414CC9" w:rsidRPr="00414CC9" w14:paraId="25F851A1"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3D7EAC9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5200</w:t>
            </w:r>
          </w:p>
        </w:tc>
        <w:tc>
          <w:tcPr>
            <w:tcW w:w="962" w:type="dxa"/>
            <w:tcBorders>
              <w:top w:val="nil"/>
              <w:left w:val="nil"/>
              <w:bottom w:val="single" w:sz="4" w:space="0" w:color="auto"/>
              <w:right w:val="single" w:sz="4" w:space="0" w:color="auto"/>
            </w:tcBorders>
            <w:shd w:val="clear" w:color="auto" w:fill="auto"/>
            <w:noWrap/>
            <w:vAlign w:val="center"/>
            <w:hideMark/>
          </w:tcPr>
          <w:p w14:paraId="3FB02108"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40</w:t>
            </w:r>
          </w:p>
        </w:tc>
        <w:tc>
          <w:tcPr>
            <w:tcW w:w="926" w:type="dxa"/>
            <w:tcBorders>
              <w:top w:val="nil"/>
              <w:left w:val="nil"/>
              <w:bottom w:val="single" w:sz="4" w:space="0" w:color="auto"/>
              <w:right w:val="single" w:sz="4" w:space="0" w:color="auto"/>
            </w:tcBorders>
            <w:shd w:val="clear" w:color="000000" w:fill="D8E4BC"/>
            <w:noWrap/>
            <w:vAlign w:val="center"/>
            <w:hideMark/>
          </w:tcPr>
          <w:p w14:paraId="2A545CDC"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51BB9EF"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3B8E284"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4F666332" w14:textId="77777777" w:rsidR="00414CC9" w:rsidRPr="00414CC9" w:rsidRDefault="00414CC9" w:rsidP="00414CC9">
            <w:pPr>
              <w:rPr>
                <w:rFonts w:ascii="Arial" w:eastAsia="Times New Roman" w:hAnsi="Arial" w:cs="Arial"/>
                <w:sz w:val="20"/>
                <w:lang w:val="en-US" w:eastAsia="zh-CN"/>
              </w:rPr>
            </w:pPr>
          </w:p>
        </w:tc>
      </w:tr>
      <w:tr w:rsidR="00414CC9" w:rsidRPr="00414CC9" w14:paraId="062A8F06"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4260468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5220</w:t>
            </w:r>
          </w:p>
        </w:tc>
        <w:tc>
          <w:tcPr>
            <w:tcW w:w="962" w:type="dxa"/>
            <w:tcBorders>
              <w:top w:val="nil"/>
              <w:left w:val="nil"/>
              <w:bottom w:val="single" w:sz="4" w:space="0" w:color="auto"/>
              <w:right w:val="single" w:sz="4" w:space="0" w:color="auto"/>
            </w:tcBorders>
            <w:shd w:val="clear" w:color="auto" w:fill="auto"/>
            <w:noWrap/>
            <w:vAlign w:val="center"/>
            <w:hideMark/>
          </w:tcPr>
          <w:p w14:paraId="027DCBD6"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44</w:t>
            </w:r>
          </w:p>
        </w:tc>
        <w:tc>
          <w:tcPr>
            <w:tcW w:w="926" w:type="dxa"/>
            <w:tcBorders>
              <w:top w:val="nil"/>
              <w:left w:val="nil"/>
              <w:bottom w:val="single" w:sz="4" w:space="0" w:color="auto"/>
              <w:right w:val="single" w:sz="4" w:space="0" w:color="auto"/>
            </w:tcBorders>
            <w:shd w:val="clear" w:color="auto" w:fill="auto"/>
            <w:noWrap/>
            <w:vAlign w:val="center"/>
            <w:hideMark/>
          </w:tcPr>
          <w:p w14:paraId="6873A76E"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20.00</w:t>
            </w:r>
          </w:p>
        </w:tc>
        <w:tc>
          <w:tcPr>
            <w:tcW w:w="11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C5983B"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5230</w:t>
            </w:r>
          </w:p>
        </w:tc>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53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46F</w:t>
            </w:r>
          </w:p>
        </w:tc>
        <w:tc>
          <w:tcPr>
            <w:tcW w:w="926" w:type="dxa"/>
            <w:vMerge w:val="restart"/>
            <w:tcBorders>
              <w:top w:val="nil"/>
              <w:left w:val="single" w:sz="4" w:space="0" w:color="auto"/>
              <w:bottom w:val="single" w:sz="4" w:space="0" w:color="auto"/>
              <w:right w:val="single" w:sz="4" w:space="0" w:color="auto"/>
            </w:tcBorders>
            <w:shd w:val="clear" w:color="000000" w:fill="D8E4BC"/>
            <w:noWrap/>
            <w:vAlign w:val="center"/>
            <w:hideMark/>
          </w:tcPr>
          <w:p w14:paraId="70B90CBC" w14:textId="77777777" w:rsidR="00414CC9" w:rsidRPr="00414CC9" w:rsidRDefault="00414CC9" w:rsidP="00414CC9">
            <w:pPr>
              <w:jc w:val="center"/>
              <w:rPr>
                <w:rFonts w:ascii="Arial" w:eastAsia="Times New Roman" w:hAnsi="Arial" w:cs="Arial"/>
                <w:sz w:val="20"/>
                <w:lang w:val="en-US" w:eastAsia="zh-CN"/>
              </w:rPr>
            </w:pPr>
            <w:r w:rsidRPr="008D4388">
              <w:rPr>
                <w:rFonts w:ascii="Arial" w:eastAsia="Times New Roman" w:hAnsi="Arial" w:cs="Arial"/>
                <w:color w:val="FF0000"/>
                <w:sz w:val="20"/>
                <w:lang w:val="en-US" w:eastAsia="zh-CN"/>
              </w:rPr>
              <w:t>18.00</w:t>
            </w:r>
          </w:p>
        </w:tc>
      </w:tr>
      <w:tr w:rsidR="00414CC9" w:rsidRPr="00414CC9" w14:paraId="29ED2278" w14:textId="77777777" w:rsidTr="009A6621">
        <w:trPr>
          <w:trHeight w:val="283"/>
          <w:jc w:val="center"/>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9BD7D12"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5240</w:t>
            </w:r>
          </w:p>
        </w:tc>
        <w:tc>
          <w:tcPr>
            <w:tcW w:w="962" w:type="dxa"/>
            <w:tcBorders>
              <w:top w:val="nil"/>
              <w:left w:val="nil"/>
              <w:bottom w:val="single" w:sz="4" w:space="0" w:color="auto"/>
              <w:right w:val="single" w:sz="4" w:space="0" w:color="auto"/>
            </w:tcBorders>
            <w:shd w:val="clear" w:color="auto" w:fill="auto"/>
            <w:noWrap/>
            <w:vAlign w:val="center"/>
            <w:hideMark/>
          </w:tcPr>
          <w:p w14:paraId="6573F59A"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48</w:t>
            </w:r>
          </w:p>
        </w:tc>
        <w:tc>
          <w:tcPr>
            <w:tcW w:w="926" w:type="dxa"/>
            <w:tcBorders>
              <w:top w:val="nil"/>
              <w:left w:val="nil"/>
              <w:bottom w:val="single" w:sz="4" w:space="0" w:color="auto"/>
              <w:right w:val="single" w:sz="4" w:space="0" w:color="auto"/>
            </w:tcBorders>
            <w:shd w:val="clear" w:color="000000" w:fill="D8E4BC"/>
            <w:noWrap/>
            <w:vAlign w:val="center"/>
            <w:hideMark/>
          </w:tcPr>
          <w:p w14:paraId="5D3B10B4" w14:textId="77777777" w:rsidR="00414CC9" w:rsidRPr="00414CC9" w:rsidRDefault="00414CC9" w:rsidP="00414CC9">
            <w:pPr>
              <w:jc w:val="center"/>
              <w:rPr>
                <w:rFonts w:ascii="Arial" w:eastAsia="Times New Roman" w:hAnsi="Arial" w:cs="Arial"/>
                <w:sz w:val="20"/>
                <w:lang w:val="en-US" w:eastAsia="zh-CN"/>
              </w:rPr>
            </w:pPr>
            <w:r w:rsidRPr="00414CC9">
              <w:rPr>
                <w:rFonts w:ascii="Arial" w:eastAsia="Times New Roman" w:hAnsi="Arial" w:cs="Arial"/>
                <w:sz w:val="20"/>
                <w:lang w:val="en-US" w:eastAsia="zh-CN"/>
              </w:rPr>
              <w:t>20.00</w:t>
            </w:r>
          </w:p>
        </w:tc>
        <w:tc>
          <w:tcPr>
            <w:tcW w:w="1161" w:type="dxa"/>
            <w:vMerge/>
            <w:tcBorders>
              <w:top w:val="nil"/>
              <w:left w:val="single" w:sz="4" w:space="0" w:color="auto"/>
              <w:bottom w:val="single" w:sz="4" w:space="0" w:color="auto"/>
              <w:right w:val="single" w:sz="4" w:space="0" w:color="auto"/>
            </w:tcBorders>
            <w:vAlign w:val="center"/>
            <w:hideMark/>
          </w:tcPr>
          <w:p w14:paraId="340A2487" w14:textId="77777777" w:rsidR="00414CC9" w:rsidRPr="00414CC9" w:rsidRDefault="00414CC9" w:rsidP="00414CC9">
            <w:pPr>
              <w:rPr>
                <w:rFonts w:ascii="Arial" w:eastAsia="Times New Roman" w:hAnsi="Arial" w:cs="Arial"/>
                <w:sz w:val="20"/>
                <w:lang w:val="en-US" w:eastAsia="zh-CN"/>
              </w:rPr>
            </w:pPr>
          </w:p>
        </w:tc>
        <w:tc>
          <w:tcPr>
            <w:tcW w:w="962" w:type="dxa"/>
            <w:vMerge/>
            <w:tcBorders>
              <w:top w:val="nil"/>
              <w:left w:val="single" w:sz="4" w:space="0" w:color="auto"/>
              <w:bottom w:val="single" w:sz="4" w:space="0" w:color="auto"/>
              <w:right w:val="single" w:sz="4" w:space="0" w:color="auto"/>
            </w:tcBorders>
            <w:vAlign w:val="center"/>
            <w:hideMark/>
          </w:tcPr>
          <w:p w14:paraId="04280F30" w14:textId="77777777" w:rsidR="00414CC9" w:rsidRPr="00414CC9" w:rsidRDefault="00414CC9" w:rsidP="00414CC9">
            <w:pPr>
              <w:rPr>
                <w:rFonts w:ascii="Arial" w:eastAsia="Times New Roman" w:hAnsi="Arial" w:cs="Arial"/>
                <w:sz w:val="20"/>
                <w:lang w:val="en-US" w:eastAsia="zh-CN"/>
              </w:rPr>
            </w:pPr>
          </w:p>
        </w:tc>
        <w:tc>
          <w:tcPr>
            <w:tcW w:w="926" w:type="dxa"/>
            <w:vMerge/>
            <w:tcBorders>
              <w:top w:val="nil"/>
              <w:left w:val="single" w:sz="4" w:space="0" w:color="auto"/>
              <w:bottom w:val="single" w:sz="4" w:space="0" w:color="auto"/>
              <w:right w:val="single" w:sz="4" w:space="0" w:color="auto"/>
            </w:tcBorders>
            <w:vAlign w:val="center"/>
            <w:hideMark/>
          </w:tcPr>
          <w:p w14:paraId="69D19FD2" w14:textId="77777777" w:rsidR="00414CC9" w:rsidRPr="00414CC9" w:rsidRDefault="00414CC9" w:rsidP="00414CC9">
            <w:pPr>
              <w:rPr>
                <w:rFonts w:ascii="Arial" w:eastAsia="Times New Roman" w:hAnsi="Arial" w:cs="Arial"/>
                <w:sz w:val="20"/>
                <w:lang w:val="en-US" w:eastAsia="zh-CN"/>
              </w:rPr>
            </w:pPr>
          </w:p>
        </w:tc>
      </w:tr>
    </w:tbl>
    <w:p w14:paraId="39086184" w14:textId="77777777" w:rsidR="004D7F25" w:rsidRDefault="004D7F25" w:rsidP="005E768D">
      <w:pPr>
        <w:rPr>
          <w:rFonts w:ascii="TimesNewRomanPSMT" w:hAnsi="TimesNewRomanPSMT" w:hint="eastAsia"/>
          <w:color w:val="000000"/>
          <w:sz w:val="20"/>
        </w:rPr>
      </w:pPr>
    </w:p>
    <w:p w14:paraId="1191D68E" w14:textId="75F44FC3" w:rsidR="004D7F25" w:rsidRPr="004D7FF0" w:rsidRDefault="00C11881" w:rsidP="005E768D">
      <w:pPr>
        <w:rPr>
          <w:b/>
          <w:lang w:val="en-US"/>
        </w:rPr>
      </w:pPr>
      <w:r w:rsidRPr="004D7FF0">
        <w:rPr>
          <w:b/>
          <w:lang w:val="en-US"/>
        </w:rPr>
        <w:t xml:space="preserve">We propose to </w:t>
      </w:r>
      <w:r w:rsidR="004D7FF0">
        <w:rPr>
          <w:b/>
          <w:lang w:val="en-US"/>
        </w:rPr>
        <w:t xml:space="preserve">make it </w:t>
      </w:r>
      <w:r w:rsidR="004D7FF0" w:rsidRPr="00ED62A7">
        <w:rPr>
          <w:b/>
          <w:color w:val="FF0000"/>
          <w:lang w:val="en-US"/>
        </w:rPr>
        <w:t>optional</w:t>
      </w:r>
      <w:r w:rsidR="004D7FF0">
        <w:rPr>
          <w:b/>
          <w:lang w:val="en-US"/>
        </w:rPr>
        <w:t xml:space="preserve"> to</w:t>
      </w:r>
      <w:r w:rsidRPr="004D7FF0">
        <w:rPr>
          <w:b/>
          <w:lang w:val="en-US"/>
        </w:rPr>
        <w:t xml:space="preserve"> </w:t>
      </w:r>
      <w:proofErr w:type="spellStart"/>
      <w:r w:rsidRPr="004D7FF0">
        <w:rPr>
          <w:b/>
          <w:lang w:val="en-US"/>
        </w:rPr>
        <w:t>deboost</w:t>
      </w:r>
      <w:proofErr w:type="spellEnd"/>
      <w:r w:rsidR="00ED62A7">
        <w:rPr>
          <w:b/>
          <w:lang w:val="en-US"/>
        </w:rPr>
        <w:t xml:space="preserve"> </w:t>
      </w:r>
      <w:r w:rsidRPr="004D7FF0">
        <w:rPr>
          <w:b/>
          <w:lang w:val="en-US"/>
        </w:rPr>
        <w:t xml:space="preserve">the pre-HE portion in base band, such that the HE portion is not limited by the </w:t>
      </w:r>
      <w:proofErr w:type="spellStart"/>
      <w:proofErr w:type="gramStart"/>
      <w:r w:rsidRPr="004D7FF0">
        <w:rPr>
          <w:b/>
          <w:lang w:val="en-US"/>
        </w:rPr>
        <w:t>Tx</w:t>
      </w:r>
      <w:proofErr w:type="spellEnd"/>
      <w:proofErr w:type="gramEnd"/>
      <w:r w:rsidRPr="004D7FF0">
        <w:rPr>
          <w:b/>
          <w:lang w:val="en-US"/>
        </w:rPr>
        <w:t xml:space="preserve"> power of pre-HE portion given the fact that PA will be the same across the whole PPDU.</w:t>
      </w:r>
    </w:p>
    <w:p w14:paraId="12947882" w14:textId="2334A67D" w:rsidR="001A1C64" w:rsidRPr="00412178" w:rsidRDefault="001A1C64" w:rsidP="005E768D">
      <w:pPr>
        <w:rPr>
          <w:rFonts w:eastAsia="Times New Roman"/>
          <w:color w:val="000000"/>
          <w:sz w:val="20"/>
          <w:szCs w:val="18"/>
          <w:lang w:val="en-US"/>
        </w:rPr>
      </w:pPr>
    </w:p>
    <w:p w14:paraId="63E4E202" w14:textId="77777777" w:rsidR="001A1C64" w:rsidRDefault="001A1C64" w:rsidP="005E768D">
      <w:pPr>
        <w:rPr>
          <w:rFonts w:eastAsia="Times New Roman"/>
          <w:color w:val="000000"/>
          <w:szCs w:val="18"/>
          <w:lang w:val="en-US"/>
        </w:rPr>
      </w:pPr>
    </w:p>
    <w:p w14:paraId="6849C946" w14:textId="77777777" w:rsidR="001A1C64" w:rsidRPr="00473F91" w:rsidRDefault="001A1C64" w:rsidP="005E768D">
      <w:pPr>
        <w:rPr>
          <w:rFonts w:eastAsia="Times New Roman"/>
          <w:b/>
          <w:color w:val="000000"/>
          <w:sz w:val="24"/>
          <w:szCs w:val="18"/>
          <w:lang w:val="en-US"/>
        </w:rPr>
      </w:pPr>
      <w:r w:rsidRPr="00473F91">
        <w:rPr>
          <w:rFonts w:eastAsia="Times New Roman"/>
          <w:b/>
          <w:color w:val="000000"/>
          <w:sz w:val="24"/>
          <w:szCs w:val="18"/>
          <w:lang w:val="en-US"/>
        </w:rPr>
        <w:t xml:space="preserve">Proposed changes: </w:t>
      </w:r>
    </w:p>
    <w:p w14:paraId="5D6FC846" w14:textId="053B493D" w:rsidR="00CE050C" w:rsidRDefault="00CE050C" w:rsidP="005E768D">
      <w:pPr>
        <w:rPr>
          <w:i/>
          <w:sz w:val="22"/>
          <w:szCs w:val="22"/>
          <w:highlight w:val="yellow"/>
        </w:rPr>
      </w:pPr>
      <w:r>
        <w:rPr>
          <w:i/>
          <w:sz w:val="22"/>
          <w:szCs w:val="22"/>
          <w:highlight w:val="yellow"/>
        </w:rPr>
        <w:t xml:space="preserve">---------------------------------Modifications </w:t>
      </w:r>
      <w:r w:rsidRPr="00CE050C">
        <w:rPr>
          <w:i/>
          <w:sz w:val="22"/>
          <w:szCs w:val="22"/>
          <w:highlight w:val="yellow"/>
        </w:rPr>
        <w:t>for CID 21497</w:t>
      </w:r>
      <w:r>
        <w:rPr>
          <w:i/>
          <w:sz w:val="22"/>
          <w:szCs w:val="22"/>
          <w:highlight w:val="yellow"/>
        </w:rPr>
        <w:t xml:space="preserve"> start here---------------------------</w:t>
      </w:r>
    </w:p>
    <w:p w14:paraId="13D1225A" w14:textId="77777777" w:rsidR="00CE050C" w:rsidRDefault="00CE050C" w:rsidP="005E768D">
      <w:pPr>
        <w:rPr>
          <w:i/>
          <w:sz w:val="22"/>
          <w:szCs w:val="22"/>
          <w:highlight w:val="yellow"/>
        </w:rPr>
      </w:pPr>
    </w:p>
    <w:p w14:paraId="5EBF5B50" w14:textId="67770E63" w:rsidR="001A1C64" w:rsidRDefault="001A1C64" w:rsidP="005E768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4B7ADA">
        <w:rPr>
          <w:i/>
          <w:sz w:val="22"/>
          <w:szCs w:val="22"/>
          <w:highlight w:val="yellow"/>
        </w:rPr>
        <w:t>498</w:t>
      </w:r>
      <w:r>
        <w:rPr>
          <w:i/>
          <w:sz w:val="22"/>
          <w:szCs w:val="22"/>
          <w:highlight w:val="yellow"/>
        </w:rPr>
        <w:t>.6</w:t>
      </w:r>
      <w:r w:rsidR="004B7ADA">
        <w:rPr>
          <w:i/>
          <w:sz w:val="22"/>
          <w:szCs w:val="22"/>
          <w:highlight w:val="yellow"/>
        </w:rPr>
        <w:t>4</w:t>
      </w:r>
      <w:r w:rsidRPr="00F21920">
        <w:rPr>
          <w:i/>
          <w:sz w:val="22"/>
          <w:szCs w:val="22"/>
          <w:highlight w:val="yellow"/>
        </w:rPr>
        <w:t xml:space="preserve"> as following</w:t>
      </w:r>
      <w:r w:rsidRPr="001C1264">
        <w:rPr>
          <w:i/>
          <w:sz w:val="22"/>
          <w:szCs w:val="22"/>
          <w:highlight w:val="yellow"/>
        </w:rPr>
        <w:t>.</w:t>
      </w:r>
    </w:p>
    <w:p w14:paraId="17311922" w14:textId="77777777" w:rsidR="001B24E8" w:rsidRDefault="001B24E8" w:rsidP="005E768D">
      <w:pPr>
        <w:rPr>
          <w:i/>
          <w:sz w:val="22"/>
          <w:szCs w:val="22"/>
        </w:rPr>
      </w:pPr>
    </w:p>
    <w:p w14:paraId="30E86D16" w14:textId="3DBF0456" w:rsidR="00EC5FED" w:rsidRDefault="004B7ADA" w:rsidP="005E768D">
      <w:pPr>
        <w:rPr>
          <w:rFonts w:ascii="TimesNewRomanPSMT" w:hAnsi="TimesNewRomanPSMT" w:hint="eastAsia"/>
          <w:color w:val="000000"/>
          <w:sz w:val="22"/>
        </w:rPr>
      </w:pPr>
      <w:r w:rsidRPr="004B7ADA">
        <w:rPr>
          <w:rFonts w:ascii="TimesNewRomanPSMT" w:hAnsi="TimesNewRomanPSMT"/>
          <w:color w:val="FF0000"/>
          <w:sz w:val="20"/>
        </w:rPr>
        <w:t xml:space="preserve">If(#15480) the TXVECTOR parameter BEAM_CHANGE is 1 or not present and power boost in HE modulated fields is not present, the </w:t>
      </w:r>
      <w:proofErr w:type="spellStart"/>
      <w:r w:rsidRPr="004B7ADA">
        <w:rPr>
          <w:rFonts w:ascii="TimesNewRomanPSMT" w:hAnsi="TimesNewRomanPSMT"/>
          <w:strike/>
          <w:color w:val="C00000"/>
          <w:sz w:val="20"/>
        </w:rPr>
        <w:t>The</w:t>
      </w:r>
      <w:proofErr w:type="spellEnd"/>
      <w:r w:rsidRPr="004B7ADA">
        <w:rPr>
          <w:rFonts w:ascii="TimesNewRomanPSMT" w:hAnsi="TimesNewRomanPSMT"/>
          <w:color w:val="000000"/>
          <w:sz w:val="20"/>
        </w:rPr>
        <w:t xml:space="preserve"> total power of the time domain HE modulated field signals summed over all transmit chains should not exceed the total power of the time domain pre-HE modulated field signals summed over all transmit chains</w:t>
      </w:r>
      <w:r>
        <w:rPr>
          <w:rFonts w:ascii="TimesNewRomanPSMT" w:hAnsi="TimesNewRomanPSMT"/>
          <w:color w:val="000000"/>
          <w:sz w:val="20"/>
        </w:rPr>
        <w:t>,</w:t>
      </w:r>
      <w:r w:rsidRPr="004B7ADA">
        <w:rPr>
          <w:rFonts w:ascii="TimesNewRomanPSMT" w:hAnsi="TimesNewRomanPSMT"/>
          <w:color w:val="000000"/>
          <w:sz w:val="20"/>
        </w:rPr>
        <w:t xml:space="preserve"> </w:t>
      </w:r>
      <w:r w:rsidRPr="004B7ADA">
        <w:rPr>
          <w:rFonts w:ascii="TimesNewRomanPSMT" w:hAnsi="TimesNewRomanPSMT"/>
          <w:strike/>
          <w:color w:val="C00000"/>
          <w:sz w:val="20"/>
        </w:rPr>
        <w:t>if(#15480) the TXVECTOR parameter BEAM_CHANGE is 1 or not present and power boost in HE modulated fields is not present</w:t>
      </w:r>
      <w:r>
        <w:rPr>
          <w:rFonts w:ascii="TimesNewRomanPSMT" w:hAnsi="TimesNewRomanPSMT"/>
          <w:strike/>
          <w:color w:val="C00000"/>
          <w:sz w:val="20"/>
        </w:rPr>
        <w:t xml:space="preserve"> </w:t>
      </w:r>
      <w:r w:rsidRPr="004B7ADA">
        <w:rPr>
          <w:rFonts w:ascii="TimesNewRomanPSMT" w:hAnsi="TimesNewRomanPSMT"/>
          <w:color w:val="FF0000"/>
          <w:sz w:val="20"/>
        </w:rPr>
        <w:t xml:space="preserve">except for the HE TB PPDU, in which </w:t>
      </w:r>
      <w:r w:rsidR="00BE16DE">
        <w:rPr>
          <w:rFonts w:ascii="TimesNewRomanPSMT" w:hAnsi="TimesNewRomanPSMT"/>
          <w:color w:val="FF0000"/>
          <w:sz w:val="20"/>
        </w:rPr>
        <w:t xml:space="preserve">case </w:t>
      </w:r>
      <w:r w:rsidRPr="004B7ADA">
        <w:rPr>
          <w:rFonts w:ascii="TimesNewRomanPSMT" w:hAnsi="TimesNewRomanPSMT"/>
          <w:color w:val="FF0000"/>
          <w:sz w:val="20"/>
        </w:rPr>
        <w:t>the total power of the time domain HE modulated field signals summed over all transmit chains may exceed the total power of the time domain pre-HE modulated field signals summed over all transmit chains for up to 3dB.</w:t>
      </w:r>
    </w:p>
    <w:p w14:paraId="5FADC5A6" w14:textId="77777777" w:rsidR="00EC5FED" w:rsidRDefault="00EC5FED" w:rsidP="005E768D">
      <w:pPr>
        <w:rPr>
          <w:sz w:val="20"/>
          <w:lang w:val="en-US"/>
        </w:rPr>
      </w:pPr>
    </w:p>
    <w:p w14:paraId="73A5E047" w14:textId="77777777" w:rsidR="008540C2" w:rsidRDefault="008540C2" w:rsidP="005E768D">
      <w:pPr>
        <w:rPr>
          <w:sz w:val="20"/>
          <w:lang w:val="en-US"/>
        </w:rPr>
      </w:pPr>
    </w:p>
    <w:p w14:paraId="3D99EC18" w14:textId="77777777" w:rsidR="008540C2" w:rsidRDefault="008540C2" w:rsidP="005E768D">
      <w:pPr>
        <w:rPr>
          <w:sz w:val="20"/>
          <w:lang w:val="en-US"/>
        </w:rPr>
      </w:pPr>
    </w:p>
    <w:p w14:paraId="7537FFF7" w14:textId="62453362" w:rsidR="008540C2" w:rsidRDefault="008540C2" w:rsidP="008540C2">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 xml:space="preserve">499.38 </w:t>
      </w:r>
      <w:r w:rsidRPr="00F21920">
        <w:rPr>
          <w:i/>
          <w:sz w:val="22"/>
          <w:szCs w:val="22"/>
          <w:highlight w:val="yellow"/>
        </w:rPr>
        <w:t>as following</w:t>
      </w:r>
      <w:r w:rsidRPr="001C1264">
        <w:rPr>
          <w:i/>
          <w:sz w:val="22"/>
          <w:szCs w:val="22"/>
          <w:highlight w:val="yellow"/>
        </w:rPr>
        <w:t>.</w:t>
      </w:r>
    </w:p>
    <w:p w14:paraId="55032890" w14:textId="2CED33ED" w:rsidR="008540C2" w:rsidRPr="008540C2" w:rsidRDefault="00D6566B" w:rsidP="005E768D">
      <w:pPr>
        <w:rPr>
          <w:sz w:val="20"/>
        </w:rPr>
      </w:pPr>
      <w:r w:rsidRPr="001D5D8C">
        <w:rPr>
          <w:color w:val="FF0000"/>
        </w:rPr>
        <w:t xml:space="preserve">For the pre-HE portion of </w:t>
      </w:r>
      <w:r>
        <w:rPr>
          <w:color w:val="FF0000"/>
        </w:rPr>
        <w:t xml:space="preserve">the </w:t>
      </w:r>
      <w:r w:rsidRPr="001D5D8C">
        <w:rPr>
          <w:color w:val="FF0000"/>
        </w:rPr>
        <w:t xml:space="preserve">HE TB PPDU, </w:t>
      </w:r>
      <w:r w:rsidRPr="001C7C0D">
        <w:rPr>
          <w:color w:val="FF0000"/>
          <w:position w:val="-30"/>
        </w:rPr>
        <w:object w:dxaOrig="1640" w:dyaOrig="720" w14:anchorId="326E6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6.2pt" o:ole="">
            <v:imagedata r:id="rId8" o:title=""/>
          </v:shape>
          <o:OLEObject Type="Embed" ProgID="Equation.DSMT4" ShapeID="_x0000_i1025" DrawAspect="Content" ObjectID="_1613802593" r:id="rId9"/>
        </w:object>
      </w:r>
      <w:r w:rsidRPr="001D5D8C">
        <w:rPr>
          <w:color w:val="FF0000"/>
        </w:rPr>
        <w:t xml:space="preserve"> which means </w:t>
      </w:r>
      <w:r w:rsidRPr="001D5D8C">
        <w:rPr>
          <w:color w:val="FF0000"/>
          <w:position w:val="-14"/>
        </w:rPr>
        <w:object w:dxaOrig="639" w:dyaOrig="380" w14:anchorId="500A112C">
          <v:shape id="_x0000_i1026" type="#_x0000_t75" style="width:32.35pt;height:18.85pt" o:ole="">
            <v:imagedata r:id="rId10" o:title=""/>
          </v:shape>
          <o:OLEObject Type="Embed" ProgID="Equation.DSMT4" ShapeID="_x0000_i1026" DrawAspect="Content" ObjectID="_1613802594" r:id="rId11"/>
        </w:object>
      </w:r>
      <w:r>
        <w:rPr>
          <w:color w:val="FF0000"/>
        </w:rPr>
        <w:t>can be any value</w:t>
      </w:r>
      <w:r w:rsidRPr="001D5D8C">
        <w:rPr>
          <w:color w:val="FF0000"/>
        </w:rPr>
        <w:t xml:space="preserve"> between </w:t>
      </w:r>
      <w:r w:rsidRPr="001C7C0D">
        <w:rPr>
          <w:color w:val="FF0000"/>
          <w:position w:val="-28"/>
        </w:rPr>
        <w:object w:dxaOrig="420" w:dyaOrig="660" w14:anchorId="2D4197DB">
          <v:shape id="_x0000_i1027" type="#_x0000_t75" style="width:21.2pt;height:33.1pt" o:ole="">
            <v:imagedata r:id="rId12" o:title=""/>
          </v:shape>
          <o:OLEObject Type="Embed" ProgID="Equation.DSMT4" ShapeID="_x0000_i1027" DrawAspect="Content" ObjectID="_1613802595" r:id="rId13"/>
        </w:object>
      </w:r>
      <w:r w:rsidRPr="001D5D8C">
        <w:rPr>
          <w:color w:val="FF0000"/>
        </w:rPr>
        <w:t xml:space="preserve"> and 1.</w:t>
      </w:r>
      <w:r>
        <w:rPr>
          <w:color w:val="FF0000"/>
        </w:rPr>
        <w:t xml:space="preserve"> </w:t>
      </w:r>
      <w:r w:rsidR="008540C2" w:rsidRPr="008540C2">
        <w:rPr>
          <w:rFonts w:ascii="TimesNewRomanPSMT" w:hAnsi="TimesNewRomanPSMT"/>
          <w:color w:val="000000"/>
          <w:sz w:val="20"/>
        </w:rPr>
        <w:t xml:space="preserve">For the HE-SIG-A and Data fields in an HE ER SU PPDU, </w:t>
      </w:r>
      <w:r w:rsidR="008540C2" w:rsidRPr="00D6566B">
        <w:rPr>
          <w:rFonts w:ascii="TimesNewRomanPSMT" w:hAnsi="TimesNewRomanPSMT"/>
          <w:sz w:val="20"/>
        </w:rPr>
        <w:t>and all fields in other HE PPDUs</w:t>
      </w:r>
      <w:proofErr w:type="gramStart"/>
      <w:r w:rsidR="008540C2" w:rsidRPr="00D6566B">
        <w:rPr>
          <w:rFonts w:ascii="TimesNewRomanPSMT" w:hAnsi="TimesNewRomanPSMT"/>
          <w:sz w:val="20"/>
        </w:rPr>
        <w:t>,</w:t>
      </w:r>
      <w:r>
        <w:rPr>
          <w:rFonts w:ascii="TimesNewRomanPSMT" w:hAnsi="TimesNewRomanPSMT"/>
          <w:sz w:val="20"/>
        </w:rPr>
        <w:t xml:space="preserve"> </w:t>
      </w:r>
      <w:proofErr w:type="gramEnd"/>
      <w:r w:rsidR="008540C2" w:rsidRPr="0079223F">
        <w:rPr>
          <w:position w:val="-14"/>
        </w:rPr>
        <w:object w:dxaOrig="960" w:dyaOrig="380" w14:anchorId="5DE65A67">
          <v:shape id="_x0000_i1028" type="#_x0000_t75" style="width:48.15pt;height:18.85pt" o:ole="">
            <v:imagedata r:id="rId14" o:title=""/>
          </v:shape>
          <o:OLEObject Type="Embed" ProgID="Equation.DSMT4" ShapeID="_x0000_i1028" DrawAspect="Content" ObjectID="_1613802596" r:id="rId15"/>
        </w:object>
      </w:r>
      <w:r w:rsidR="008540C2">
        <w:t>.</w:t>
      </w:r>
      <w:r w:rsidR="001D5D8C">
        <w:t xml:space="preserve"> </w:t>
      </w:r>
    </w:p>
    <w:p w14:paraId="144B5D21" w14:textId="3942302B" w:rsidR="008540C2" w:rsidRDefault="008540C2" w:rsidP="005E768D">
      <w:pPr>
        <w:rPr>
          <w:sz w:val="20"/>
          <w:lang w:val="en-US"/>
        </w:rPr>
      </w:pPr>
    </w:p>
    <w:p w14:paraId="220CA717" w14:textId="77777777" w:rsidR="008540C2" w:rsidRPr="00412178" w:rsidRDefault="008540C2" w:rsidP="005E768D">
      <w:pPr>
        <w:rPr>
          <w:sz w:val="20"/>
          <w:lang w:val="en-US"/>
        </w:rPr>
      </w:pPr>
    </w:p>
    <w:p w14:paraId="282E3571" w14:textId="77777777" w:rsidR="00F065CD" w:rsidRDefault="00F065CD" w:rsidP="005E768D">
      <w:pPr>
        <w:rPr>
          <w:lang w:val="en-US"/>
        </w:rPr>
      </w:pPr>
    </w:p>
    <w:p w14:paraId="4ACA38EE" w14:textId="1A5DCA5C" w:rsidR="00B814A5" w:rsidRDefault="00B814A5" w:rsidP="00B814A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equation 28-7</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3037B44" w14:textId="77777777" w:rsidR="00473F91" w:rsidRDefault="00473F91" w:rsidP="00B814A5">
      <w:pPr>
        <w:rPr>
          <w:i/>
          <w:sz w:val="22"/>
          <w:szCs w:val="22"/>
        </w:rPr>
      </w:pPr>
    </w:p>
    <w:p w14:paraId="0FC4FDAE" w14:textId="7EAF1D6A" w:rsidR="00F065CD" w:rsidRDefault="001C7C0D" w:rsidP="00F56074">
      <w:pPr>
        <w:jc w:val="center"/>
      </w:pPr>
      <w:r w:rsidRPr="001C7C0D">
        <w:rPr>
          <w:position w:val="-72"/>
        </w:rPr>
        <w:object w:dxaOrig="4040" w:dyaOrig="1560" w14:anchorId="7CB9CB09">
          <v:shape id="_x0000_i1029" type="#_x0000_t75" style="width:202.15pt;height:77.8pt" o:ole="">
            <v:imagedata r:id="rId16" o:title=""/>
          </v:shape>
          <o:OLEObject Type="Embed" ProgID="Equation.DSMT4" ShapeID="_x0000_i1029" DrawAspect="Content" ObjectID="_1613802597" r:id="rId17"/>
        </w:object>
      </w:r>
    </w:p>
    <w:p w14:paraId="379C973A" w14:textId="77777777" w:rsidR="00473F91" w:rsidRDefault="00473F91" w:rsidP="00F56074">
      <w:pPr>
        <w:jc w:val="center"/>
      </w:pPr>
    </w:p>
    <w:p w14:paraId="7D71B3E4" w14:textId="1D4B18E4"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Pr>
          <w:i/>
          <w:sz w:val="22"/>
          <w:szCs w:val="22"/>
          <w:highlight w:val="yellow"/>
        </w:rPr>
        <w:t>P.L. 506.29</w:t>
      </w:r>
      <w:r w:rsidRPr="00F21920">
        <w:rPr>
          <w:i/>
          <w:sz w:val="22"/>
          <w:szCs w:val="22"/>
          <w:highlight w:val="yellow"/>
        </w:rPr>
        <w:t xml:space="preserve"> as following</w:t>
      </w:r>
      <w:r>
        <w:rPr>
          <w:i/>
          <w:sz w:val="22"/>
          <w:szCs w:val="22"/>
        </w:rPr>
        <w:t xml:space="preserve"> (add a new entry highlighted as </w:t>
      </w:r>
      <w:r w:rsidRPr="00B814A5">
        <w:rPr>
          <w:i/>
          <w:color w:val="FF0000"/>
          <w:sz w:val="22"/>
          <w:szCs w:val="22"/>
        </w:rPr>
        <w:t>red</w:t>
      </w:r>
      <w:r>
        <w:rPr>
          <w:i/>
          <w:sz w:val="22"/>
          <w:szCs w:val="22"/>
        </w:rPr>
        <w:t>)</w:t>
      </w:r>
    </w:p>
    <w:p w14:paraId="0D625668" w14:textId="77777777" w:rsidR="00473F91" w:rsidRDefault="00473F91" w:rsidP="00F56074">
      <w:pPr>
        <w:rPr>
          <w:i/>
          <w:sz w:val="22"/>
          <w:szCs w:val="22"/>
        </w:rPr>
      </w:pPr>
    </w:p>
    <w:p w14:paraId="40FB523F" w14:textId="0B54EE43" w:rsidR="00F56074" w:rsidRDefault="001C7C0D" w:rsidP="00F56074">
      <w:pPr>
        <w:jc w:val="center"/>
      </w:pPr>
      <w:r w:rsidRPr="001C7C0D">
        <w:rPr>
          <w:position w:val="-72"/>
        </w:rPr>
        <w:object w:dxaOrig="5319" w:dyaOrig="1560" w14:anchorId="4EAAD908">
          <v:shape id="_x0000_i1030" type="#_x0000_t75" style="width:266.05pt;height:77.8pt" o:ole="">
            <v:imagedata r:id="rId18" o:title=""/>
          </v:shape>
          <o:OLEObject Type="Embed" ProgID="Equation.DSMT4" ShapeID="_x0000_i1030" DrawAspect="Content" ObjectID="_1613802598" r:id="rId19"/>
        </w:object>
      </w:r>
    </w:p>
    <w:p w14:paraId="10997F18" w14:textId="77777777" w:rsidR="00473F91" w:rsidRDefault="00473F91" w:rsidP="00F56074">
      <w:pPr>
        <w:jc w:val="center"/>
      </w:pPr>
    </w:p>
    <w:p w14:paraId="5A43BC13" w14:textId="77777777" w:rsidR="00F56074" w:rsidRDefault="00F56074" w:rsidP="00F56074">
      <w:pPr>
        <w:jc w:val="center"/>
      </w:pPr>
    </w:p>
    <w:p w14:paraId="6A96C16F" w14:textId="42DA68E3" w:rsidR="00F56074" w:rsidRDefault="00F56074" w:rsidP="00F56074">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w:t>
      </w:r>
      <w:r w:rsidR="00D81A7B">
        <w:rPr>
          <w:i/>
          <w:sz w:val="22"/>
          <w:szCs w:val="22"/>
          <w:highlight w:val="yellow"/>
        </w:rPr>
        <w:t>equation 28-16</w:t>
      </w:r>
      <w:r w:rsidRPr="00F21920">
        <w:rPr>
          <w:i/>
          <w:sz w:val="22"/>
          <w:szCs w:val="22"/>
          <w:highlight w:val="yellow"/>
        </w:rPr>
        <w:t xml:space="preserve"> as following</w:t>
      </w:r>
      <w:r>
        <w:rPr>
          <w:i/>
          <w:sz w:val="22"/>
          <w:szCs w:val="22"/>
        </w:rPr>
        <w:t xml:space="preserve"> </w:t>
      </w:r>
    </w:p>
    <w:p w14:paraId="73930795" w14:textId="2032AE08" w:rsidR="00F56074" w:rsidRDefault="00F56074" w:rsidP="00F56074">
      <w:r>
        <w:t>Add “</w:t>
      </w:r>
      <w:r w:rsidRPr="0079223F">
        <w:rPr>
          <w:position w:val="-14"/>
        </w:rPr>
        <w:object w:dxaOrig="1020" w:dyaOrig="380" w14:anchorId="3C019668">
          <v:shape id="_x0000_i1031" type="#_x0000_t75" style="width:50.8pt;height:18.85pt" o:ole="">
            <v:imagedata r:id="rId20" o:title=""/>
          </v:shape>
          <o:OLEObject Type="Embed" ProgID="Equation.DSMT4" ShapeID="_x0000_i1031" DrawAspect="Content" ObjectID="_1613802599" r:id="rId21"/>
        </w:object>
      </w:r>
      <w:r>
        <w:t xml:space="preserve">” between </w:t>
      </w:r>
      <w:r w:rsidR="005D4B01" w:rsidRPr="00F56074">
        <w:rPr>
          <w:position w:val="-28"/>
        </w:rPr>
        <w:object w:dxaOrig="600" w:dyaOrig="680" w14:anchorId="3DA959E4">
          <v:shape id="_x0000_i1032" type="#_x0000_t75" style="width:30.05pt;height:33.9pt" o:ole="">
            <v:imagedata r:id="rId22" o:title=""/>
          </v:shape>
          <o:OLEObject Type="Embed" ProgID="Equation.DSMT4" ShapeID="_x0000_i1032" DrawAspect="Content" ObjectID="_1613802600" r:id="rId23"/>
        </w:object>
      </w:r>
      <w:r>
        <w:t xml:space="preserve">and the </w:t>
      </w:r>
      <w:r w:rsidR="00F42D3C">
        <w:t xml:space="preserve">left </w:t>
      </w:r>
      <w:r>
        <w:t>bracket as shown below.</w:t>
      </w:r>
    </w:p>
    <w:p w14:paraId="5324CE42" w14:textId="534B2154" w:rsidR="00F56074" w:rsidRDefault="005D4B01" w:rsidP="00F42D3C">
      <w:pPr>
        <w:jc w:val="center"/>
      </w:pPr>
      <w:r w:rsidRPr="0079223F">
        <w:rPr>
          <w:position w:val="-28"/>
        </w:rPr>
        <w:object w:dxaOrig="3480" w:dyaOrig="680" w14:anchorId="089AA9EB">
          <v:shape id="_x0000_i1033" type="#_x0000_t75" style="width:174.05pt;height:33.9pt" o:ole="">
            <v:imagedata r:id="rId24" o:title=""/>
          </v:shape>
          <o:OLEObject Type="Embed" ProgID="Equation.DSMT4" ShapeID="_x0000_i1033" DrawAspect="Content" ObjectID="_1613802601" r:id="rId25"/>
        </w:object>
      </w:r>
    </w:p>
    <w:p w14:paraId="6BAD6EBE" w14:textId="77777777" w:rsidR="00473F91" w:rsidRDefault="00473F91" w:rsidP="00F42D3C">
      <w:pPr>
        <w:jc w:val="center"/>
      </w:pPr>
    </w:p>
    <w:p w14:paraId="5DBACD8B" w14:textId="77777777" w:rsidR="00D81A7B" w:rsidRDefault="00D81A7B" w:rsidP="00F56074"/>
    <w:p w14:paraId="626C4109" w14:textId="6F16239F" w:rsidR="00D81A7B" w:rsidRDefault="00F42D3C" w:rsidP="00F56074">
      <w:pPr>
        <w:rPr>
          <w:i/>
          <w:sz w:val="22"/>
          <w:szCs w:val="22"/>
        </w:rPr>
      </w:pPr>
      <w:r w:rsidRPr="00F21920">
        <w:rPr>
          <w:i/>
          <w:sz w:val="22"/>
          <w:szCs w:val="22"/>
          <w:highlight w:val="yellow"/>
        </w:rPr>
        <w:lastRenderedPageBreak/>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D81A7B" w:rsidRPr="00F42D3C">
        <w:rPr>
          <w:i/>
          <w:sz w:val="22"/>
          <w:szCs w:val="22"/>
          <w:highlight w:val="yellow"/>
        </w:rPr>
        <w:t xml:space="preserve">Add the </w:t>
      </w:r>
      <w:r w:rsidRPr="00F42D3C">
        <w:rPr>
          <w:i/>
          <w:sz w:val="22"/>
          <w:szCs w:val="22"/>
          <w:highlight w:val="yellow"/>
        </w:rPr>
        <w:t xml:space="preserve">highlighted equation </w:t>
      </w:r>
      <w:r w:rsidR="00D81A7B" w:rsidRPr="00F42D3C">
        <w:rPr>
          <w:i/>
          <w:sz w:val="22"/>
          <w:szCs w:val="22"/>
          <w:highlight w:val="yellow"/>
        </w:rPr>
        <w:t xml:space="preserve">after </w:t>
      </w:r>
      <w:r w:rsidRPr="00F42D3C">
        <w:rPr>
          <w:i/>
          <w:sz w:val="22"/>
          <w:szCs w:val="22"/>
          <w:highlight w:val="yellow"/>
        </w:rPr>
        <w:t>P.L. 524.43</w:t>
      </w:r>
    </w:p>
    <w:p w14:paraId="71758060" w14:textId="77777777" w:rsidR="00F42D3C" w:rsidRDefault="00F42D3C" w:rsidP="00F56074"/>
    <w:p w14:paraId="7B4406E5" w14:textId="6F0B20A2" w:rsidR="00F42D3C" w:rsidRDefault="00F42D3C" w:rsidP="00F56074">
      <w:r>
        <w:rPr>
          <w:noProof/>
          <w:lang w:val="en-US" w:eastAsia="zh-CN"/>
        </w:rPr>
        <w:drawing>
          <wp:inline distT="0" distB="0" distL="0" distR="0" wp14:anchorId="18EFCC3B" wp14:editId="71E8393E">
            <wp:extent cx="3211199" cy="2454627"/>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17210" cy="2459222"/>
                    </a:xfrm>
                    <a:prstGeom prst="rect">
                      <a:avLst/>
                    </a:prstGeom>
                  </pic:spPr>
                </pic:pic>
              </a:graphicData>
            </a:graphic>
          </wp:inline>
        </w:drawing>
      </w:r>
    </w:p>
    <w:p w14:paraId="6E07D38E" w14:textId="09B61691" w:rsidR="00D81A7B" w:rsidRDefault="00F42D3C" w:rsidP="00F42D3C">
      <w:r>
        <w:t xml:space="preserve">        </w:t>
      </w:r>
      <w:r w:rsidR="00D6566B" w:rsidRPr="00D6566B">
        <w:rPr>
          <w:position w:val="-50"/>
        </w:rPr>
        <w:object w:dxaOrig="4320" w:dyaOrig="1120" w14:anchorId="3D4BCDE5">
          <v:shape id="_x0000_i1034" type="#_x0000_t75" style="width:3in;height:56.2pt" o:ole="">
            <v:imagedata r:id="rId27" o:title=""/>
          </v:shape>
          <o:OLEObject Type="Embed" ProgID="Equation.DSMT4" ShapeID="_x0000_i1034" DrawAspect="Content" ObjectID="_1613802602" r:id="rId28"/>
        </w:object>
      </w:r>
    </w:p>
    <w:p w14:paraId="440653A1" w14:textId="77777777" w:rsidR="00D81A7B" w:rsidRDefault="00D81A7B" w:rsidP="00F56074"/>
    <w:p w14:paraId="2A8366D7" w14:textId="77777777" w:rsidR="00423529" w:rsidRDefault="00423529" w:rsidP="00F56074"/>
    <w:p w14:paraId="7B7CB644" w14:textId="432533A6" w:rsidR="00CE050C" w:rsidRDefault="00CE050C" w:rsidP="00CE050C">
      <w:pPr>
        <w:rPr>
          <w:i/>
          <w:sz w:val="22"/>
          <w:szCs w:val="22"/>
          <w:highlight w:val="yellow"/>
        </w:rPr>
      </w:pPr>
      <w:r>
        <w:rPr>
          <w:i/>
          <w:sz w:val="22"/>
          <w:szCs w:val="22"/>
          <w:highlight w:val="yellow"/>
        </w:rPr>
        <w:t xml:space="preserve">---------------------------------Modifications </w:t>
      </w:r>
      <w:r w:rsidRPr="00CE050C">
        <w:rPr>
          <w:i/>
          <w:sz w:val="22"/>
          <w:szCs w:val="22"/>
          <w:highlight w:val="yellow"/>
        </w:rPr>
        <w:t>for CID 21497</w:t>
      </w:r>
      <w:r>
        <w:rPr>
          <w:i/>
          <w:sz w:val="22"/>
          <w:szCs w:val="22"/>
          <w:highlight w:val="yellow"/>
        </w:rPr>
        <w:t xml:space="preserve"> end here---------------------------</w:t>
      </w: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39"/>
        <w:gridCol w:w="1217"/>
        <w:gridCol w:w="695"/>
        <w:gridCol w:w="628"/>
        <w:gridCol w:w="2252"/>
        <w:gridCol w:w="1482"/>
        <w:gridCol w:w="1468"/>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77777777" w:rsidR="00552699" w:rsidRDefault="00552699" w:rsidP="00930BFA">
            <w:pPr>
              <w:rPr>
                <w:rFonts w:eastAsia="Times New Roman"/>
                <w:color w:val="000000"/>
                <w:szCs w:val="18"/>
                <w:lang w:val="en-US"/>
              </w:rPr>
            </w:pPr>
            <w:r>
              <w:rPr>
                <w:rFonts w:eastAsia="Times New Roman"/>
                <w:color w:val="000000"/>
                <w:szCs w:val="18"/>
                <w:lang w:val="en-US"/>
              </w:rPr>
              <w:t xml:space="preserve">Revised </w:t>
            </w:r>
          </w:p>
          <w:p w14:paraId="0A9C25D9" w14:textId="77777777" w:rsidR="00552699" w:rsidRDefault="00552699" w:rsidP="00930BFA">
            <w:pPr>
              <w:rPr>
                <w:rFonts w:eastAsia="Times New Roman"/>
                <w:color w:val="000000"/>
                <w:szCs w:val="18"/>
                <w:lang w:val="en-US"/>
              </w:rPr>
            </w:pPr>
          </w:p>
          <w:p w14:paraId="2364B107" w14:textId="453E8F42" w:rsidR="00552699" w:rsidRPr="00CE050C" w:rsidRDefault="00552699" w:rsidP="00552699">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5A67A3">
              <w:rPr>
                <w:bCs/>
                <w:sz w:val="16"/>
                <w:szCs w:val="18"/>
                <w:lang w:eastAsia="ko-KR"/>
              </w:rPr>
              <w:t>422r0</w:t>
            </w:r>
            <w:r w:rsidRPr="00765C2E">
              <w:rPr>
                <w:bCs/>
                <w:sz w:val="16"/>
                <w:szCs w:val="18"/>
                <w:lang w:eastAsia="ko-KR"/>
              </w:rPr>
              <w:t xml:space="preserve"> under all headings that include CID </w:t>
            </w:r>
            <w:r>
              <w:rPr>
                <w:rFonts w:eastAsia="Times New Roman"/>
                <w:color w:val="000000"/>
                <w:szCs w:val="18"/>
                <w:lang w:val="en-US"/>
              </w:rPr>
              <w:t>21501</w:t>
            </w:r>
            <w:r w:rsidRPr="00765C2E">
              <w:rPr>
                <w:bCs/>
                <w:sz w:val="16"/>
                <w:szCs w:val="18"/>
                <w:lang w:eastAsia="ko-KR"/>
              </w:rPr>
              <w:t>.</w:t>
            </w: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2B47C533" w14:textId="77777777" w:rsidR="001B6A23" w:rsidRDefault="001B6A23" w:rsidP="00CA379D">
      <w:pPr>
        <w:rPr>
          <w:i/>
          <w:sz w:val="22"/>
          <w:szCs w:val="22"/>
          <w:highlight w:val="yellow"/>
        </w:rPr>
      </w:pPr>
    </w:p>
    <w:p w14:paraId="38CE1663" w14:textId="25CDA767" w:rsidR="00C00970" w:rsidRDefault="00C00970" w:rsidP="00CA379D">
      <w:pPr>
        <w:rPr>
          <w:sz w:val="22"/>
          <w:szCs w:val="22"/>
        </w:rPr>
      </w:pPr>
      <w:r w:rsidRPr="002D7B33">
        <w:rPr>
          <w:b/>
          <w:sz w:val="28"/>
          <w:szCs w:val="22"/>
        </w:rPr>
        <w:t>Discussions</w:t>
      </w:r>
      <w:r w:rsidRPr="00C00970">
        <w:rPr>
          <w:sz w:val="22"/>
          <w:szCs w:val="22"/>
        </w:rPr>
        <w:t>:</w:t>
      </w:r>
      <w:r>
        <w:rPr>
          <w:sz w:val="22"/>
          <w:szCs w:val="22"/>
        </w:rPr>
        <w:t xml:space="preserve"> W</w:t>
      </w:r>
      <w:r w:rsidRPr="00C00970">
        <w:rPr>
          <w:sz w:val="22"/>
          <w:szCs w:val="22"/>
        </w:rPr>
        <w:t xml:space="preserve">e have observed that in some cases the complexities of DL MU MIMO could result with overall degraded performance. From our observation, the real-world degradation is more severe when using 160MHz channel BW. </w:t>
      </w:r>
      <w:r>
        <w:rPr>
          <w:sz w:val="22"/>
          <w:szCs w:val="22"/>
        </w:rPr>
        <w:t>Given the limited number of 160MHz capable client and the cost to enable 160MHz support</w:t>
      </w:r>
      <w:r w:rsidRPr="00C00970">
        <w:rPr>
          <w:sz w:val="22"/>
          <w:szCs w:val="22"/>
        </w:rPr>
        <w:t>, we propose to add a STA capability bit for DL MU MIMO support in 160MHz.</w:t>
      </w:r>
      <w:r w:rsidR="00571330">
        <w:rPr>
          <w:sz w:val="22"/>
          <w:szCs w:val="22"/>
        </w:rPr>
        <w:t xml:space="preserve"> </w:t>
      </w:r>
    </w:p>
    <w:p w14:paraId="629A34D9" w14:textId="77777777" w:rsidR="00C00970" w:rsidRPr="00C00970" w:rsidRDefault="00C00970" w:rsidP="00CA379D">
      <w:pPr>
        <w:rPr>
          <w:sz w:val="22"/>
          <w:szCs w:val="22"/>
          <w:lang w:val="en-US"/>
        </w:rPr>
      </w:pPr>
    </w:p>
    <w:p w14:paraId="4DFF0180" w14:textId="774D707D" w:rsidR="00C00970" w:rsidRPr="00C00970" w:rsidRDefault="00C00970" w:rsidP="00CA379D">
      <w:pPr>
        <w:rPr>
          <w:b/>
          <w:sz w:val="28"/>
          <w:szCs w:val="22"/>
        </w:rPr>
      </w:pPr>
      <w:r w:rsidRPr="00C00970">
        <w:rPr>
          <w:b/>
          <w:sz w:val="28"/>
          <w:szCs w:val="22"/>
        </w:rPr>
        <w:t>Proposed changes:</w:t>
      </w:r>
    </w:p>
    <w:p w14:paraId="7BB58BB3" w14:textId="77777777" w:rsidR="00C00970" w:rsidRDefault="00C00970" w:rsidP="00CA379D">
      <w:pPr>
        <w:rPr>
          <w:i/>
          <w:sz w:val="22"/>
          <w:szCs w:val="22"/>
          <w:highlight w:val="yellow"/>
        </w:rPr>
      </w:pPr>
    </w:p>
    <w:p w14:paraId="3271ACCD" w14:textId="6C595D7B" w:rsidR="00C00970" w:rsidRDefault="00C00970" w:rsidP="00C00970">
      <w:pPr>
        <w:jc w:val="center"/>
        <w:rPr>
          <w:i/>
          <w:sz w:val="22"/>
          <w:szCs w:val="22"/>
          <w:highlight w:val="yellow"/>
        </w:rPr>
      </w:pPr>
      <w:r>
        <w:rPr>
          <w:i/>
          <w:sz w:val="22"/>
          <w:szCs w:val="22"/>
          <w:highlight w:val="yellow"/>
        </w:rPr>
        <w:t xml:space="preserve">---------------------------------Modifications </w:t>
      </w:r>
      <w:r w:rsidRPr="00CE050C">
        <w:rPr>
          <w:i/>
          <w:sz w:val="22"/>
          <w:szCs w:val="22"/>
          <w:highlight w:val="yellow"/>
        </w:rPr>
        <w:t>for CID 21</w:t>
      </w:r>
      <w:r>
        <w:rPr>
          <w:i/>
          <w:sz w:val="22"/>
          <w:szCs w:val="22"/>
          <w:highlight w:val="yellow"/>
        </w:rPr>
        <w:t>501 start here---------------------------</w:t>
      </w:r>
    </w:p>
    <w:p w14:paraId="15A9E98E" w14:textId="77777777" w:rsidR="00C00970" w:rsidRDefault="00C00970" w:rsidP="00CA379D">
      <w:pPr>
        <w:rPr>
          <w:i/>
          <w:sz w:val="22"/>
          <w:szCs w:val="22"/>
          <w:highlight w:val="yellow"/>
        </w:rPr>
      </w:pPr>
    </w:p>
    <w:p w14:paraId="6540B389" w14:textId="7CD9563B" w:rsidR="00CA379D" w:rsidRDefault="00CA379D" w:rsidP="00CA379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sidR="001B6A23">
        <w:rPr>
          <w:i/>
          <w:sz w:val="22"/>
          <w:szCs w:val="22"/>
          <w:highlight w:val="yellow"/>
        </w:rPr>
        <w:t>modify</w:t>
      </w:r>
      <w:r w:rsidRPr="00F42D3C">
        <w:rPr>
          <w:i/>
          <w:sz w:val="22"/>
          <w:szCs w:val="22"/>
          <w:highlight w:val="yellow"/>
        </w:rPr>
        <w:t xml:space="preserve"> the </w:t>
      </w:r>
      <w:r w:rsidR="001B6A23">
        <w:rPr>
          <w:i/>
          <w:sz w:val="22"/>
          <w:szCs w:val="22"/>
          <w:highlight w:val="yellow"/>
        </w:rPr>
        <w:t xml:space="preserve">reserved field of </w:t>
      </w:r>
      <w:r w:rsidR="001B6A23" w:rsidRPr="001B6A23">
        <w:rPr>
          <w:rFonts w:ascii="Arial-BoldMT" w:hAnsi="Arial-BoldMT"/>
          <w:b/>
          <w:bCs/>
          <w:color w:val="000000"/>
          <w:sz w:val="20"/>
          <w:highlight w:val="yellow"/>
        </w:rPr>
        <w:t>Figure 9-772c—HE PHY Capabilities Information field format</w:t>
      </w:r>
      <w:r w:rsidR="001B6A23" w:rsidRPr="001B6A23">
        <w:t xml:space="preserve"> </w:t>
      </w:r>
      <w:r w:rsidR="001B6A23" w:rsidRPr="001B6A23">
        <w:rPr>
          <w:i/>
          <w:sz w:val="22"/>
          <w:szCs w:val="22"/>
          <w:highlight w:val="yellow"/>
        </w:rPr>
        <w:t>(</w:t>
      </w:r>
      <w:r w:rsidR="001B6A23" w:rsidRPr="00F42D3C">
        <w:rPr>
          <w:i/>
          <w:sz w:val="22"/>
          <w:szCs w:val="22"/>
          <w:highlight w:val="yellow"/>
        </w:rPr>
        <w:t xml:space="preserve">P.L. </w:t>
      </w:r>
      <w:r w:rsidR="001B6A23">
        <w:rPr>
          <w:i/>
          <w:sz w:val="22"/>
          <w:szCs w:val="22"/>
          <w:highlight w:val="yellow"/>
        </w:rPr>
        <w:t>173</w:t>
      </w:r>
      <w:r w:rsidR="001B6A23" w:rsidRPr="001B6A23">
        <w:rPr>
          <w:i/>
          <w:sz w:val="22"/>
          <w:szCs w:val="22"/>
          <w:highlight w:val="yellow"/>
        </w:rPr>
        <w:t xml:space="preserve">.55) as </w:t>
      </w:r>
      <w:r w:rsidR="001B6A23">
        <w:rPr>
          <w:i/>
          <w:sz w:val="22"/>
          <w:szCs w:val="22"/>
          <w:highlight w:val="yellow"/>
        </w:rPr>
        <w:t xml:space="preserve">shown </w:t>
      </w:r>
      <w:proofErr w:type="spellStart"/>
      <w:r w:rsidR="001B6A23">
        <w:rPr>
          <w:i/>
          <w:sz w:val="22"/>
          <w:szCs w:val="22"/>
          <w:highlight w:val="yellow"/>
        </w:rPr>
        <w:t>bellow</w:t>
      </w:r>
      <w:proofErr w:type="spellEnd"/>
      <w:r w:rsidR="001B6A23">
        <w:rPr>
          <w:i/>
          <w:sz w:val="22"/>
          <w:szCs w:val="22"/>
          <w:highlight w:val="yellow"/>
        </w:rPr>
        <w:t>.</w:t>
      </w:r>
    </w:p>
    <w:p w14:paraId="5E1804E1" w14:textId="77777777" w:rsidR="001B6A23" w:rsidRDefault="001B6A23" w:rsidP="00F56074"/>
    <w:tbl>
      <w:tblPr>
        <w:tblStyle w:val="TableGrid"/>
        <w:tblpPr w:leftFromText="180" w:rightFromText="180" w:vertAnchor="text" w:horzAnchor="margin" w:tblpXSpec="center" w:tblpY="2555"/>
        <w:tblW w:w="0" w:type="auto"/>
        <w:tblLook w:val="04A0" w:firstRow="1" w:lastRow="0" w:firstColumn="1" w:lastColumn="0" w:noHBand="0" w:noVBand="1"/>
      </w:tblPr>
      <w:tblGrid>
        <w:gridCol w:w="3284"/>
        <w:gridCol w:w="3285"/>
        <w:gridCol w:w="3285"/>
      </w:tblGrid>
      <w:tr w:rsidR="00C00970" w:rsidRPr="00C00970" w14:paraId="0B60BCE0" w14:textId="77777777" w:rsidTr="00C00970">
        <w:tc>
          <w:tcPr>
            <w:tcW w:w="3284" w:type="dxa"/>
          </w:tcPr>
          <w:p w14:paraId="6969D1B8" w14:textId="4EFA0618" w:rsidR="001B6A23" w:rsidRPr="00C00970" w:rsidRDefault="001B6A23" w:rsidP="00C00970">
            <w:pPr>
              <w:jc w:val="center"/>
              <w:rPr>
                <w:color w:val="FF0000"/>
                <w:sz w:val="24"/>
              </w:rPr>
            </w:pPr>
            <w:r w:rsidRPr="00C00970">
              <w:rPr>
                <w:color w:val="FF0000"/>
                <w:sz w:val="24"/>
              </w:rPr>
              <w:t>Subfield</w:t>
            </w:r>
          </w:p>
        </w:tc>
        <w:tc>
          <w:tcPr>
            <w:tcW w:w="3285" w:type="dxa"/>
          </w:tcPr>
          <w:p w14:paraId="1B9F6021" w14:textId="77481724" w:rsidR="001B6A23" w:rsidRPr="00C00970" w:rsidRDefault="001B6A23" w:rsidP="00C00970">
            <w:pPr>
              <w:jc w:val="center"/>
              <w:rPr>
                <w:color w:val="FF0000"/>
                <w:sz w:val="24"/>
              </w:rPr>
            </w:pPr>
            <w:r w:rsidRPr="00C00970">
              <w:rPr>
                <w:color w:val="FF0000"/>
                <w:sz w:val="24"/>
              </w:rPr>
              <w:t>Definition</w:t>
            </w:r>
          </w:p>
        </w:tc>
        <w:tc>
          <w:tcPr>
            <w:tcW w:w="3285" w:type="dxa"/>
          </w:tcPr>
          <w:p w14:paraId="4C379520" w14:textId="40C5FEAE" w:rsidR="001B6A23" w:rsidRPr="00C00970" w:rsidRDefault="001B6A23" w:rsidP="00C00970">
            <w:pPr>
              <w:jc w:val="center"/>
              <w:rPr>
                <w:color w:val="FF0000"/>
                <w:sz w:val="24"/>
              </w:rPr>
            </w:pPr>
            <w:r w:rsidRPr="00C00970">
              <w:rPr>
                <w:color w:val="FF0000"/>
                <w:sz w:val="24"/>
              </w:rPr>
              <w:t>Encoding</w:t>
            </w:r>
          </w:p>
        </w:tc>
      </w:tr>
      <w:tr w:rsidR="00C00970" w:rsidRPr="00C00970" w14:paraId="3C24879F" w14:textId="77777777" w:rsidTr="00C00970">
        <w:tc>
          <w:tcPr>
            <w:tcW w:w="3284" w:type="dxa"/>
          </w:tcPr>
          <w:p w14:paraId="193AA575" w14:textId="347069CA" w:rsidR="001B6A23" w:rsidRPr="00C00970" w:rsidRDefault="001B6A23" w:rsidP="00C00970">
            <w:pPr>
              <w:jc w:val="center"/>
              <w:rPr>
                <w:color w:val="FF0000"/>
                <w:sz w:val="24"/>
              </w:rPr>
            </w:pPr>
            <w:r w:rsidRPr="00C00970">
              <w:rPr>
                <w:color w:val="FF0000"/>
                <w:sz w:val="24"/>
              </w:rPr>
              <w:t>DL MUMIMO Support</w:t>
            </w:r>
            <w:r w:rsidR="00C00970">
              <w:rPr>
                <w:color w:val="FF0000"/>
                <w:sz w:val="24"/>
              </w:rPr>
              <w:t xml:space="preserve"> </w:t>
            </w:r>
            <w:r w:rsidR="00C00970" w:rsidRPr="00C00970">
              <w:rPr>
                <w:color w:val="FF0000"/>
                <w:sz w:val="24"/>
              </w:rPr>
              <w:t>160MHz</w:t>
            </w:r>
          </w:p>
        </w:tc>
        <w:tc>
          <w:tcPr>
            <w:tcW w:w="3285" w:type="dxa"/>
          </w:tcPr>
          <w:p w14:paraId="79EA494D" w14:textId="0ADCDE74" w:rsidR="001B6A23" w:rsidRPr="00C00970" w:rsidRDefault="001B6A23" w:rsidP="003D7772">
            <w:pPr>
              <w:rPr>
                <w:color w:val="FF0000"/>
                <w:sz w:val="24"/>
                <w:lang w:val="en-US"/>
              </w:rPr>
            </w:pPr>
            <w:r w:rsidRPr="00C00970">
              <w:rPr>
                <w:color w:val="FF0000"/>
                <w:sz w:val="24"/>
              </w:rPr>
              <w:t>For a non-AP STA, indicates support for the reception</w:t>
            </w:r>
            <w:r w:rsidR="00C00970" w:rsidRPr="00C00970">
              <w:rPr>
                <w:color w:val="FF0000"/>
                <w:sz w:val="24"/>
              </w:rPr>
              <w:t xml:space="preserve"> </w:t>
            </w:r>
            <w:r w:rsidRPr="00C00970">
              <w:rPr>
                <w:color w:val="FF0000"/>
                <w:sz w:val="24"/>
              </w:rPr>
              <w:t xml:space="preserve">of a DL MU-MIMO transmission </w:t>
            </w:r>
            <w:r w:rsidR="003D7772">
              <w:rPr>
                <w:color w:val="FF0000"/>
                <w:sz w:val="24"/>
              </w:rPr>
              <w:t>in</w:t>
            </w:r>
            <w:r w:rsidRPr="00C00970">
              <w:rPr>
                <w:color w:val="FF0000"/>
                <w:sz w:val="24"/>
              </w:rPr>
              <w:t xml:space="preserve"> 160MHz bandwidth.</w:t>
            </w:r>
          </w:p>
        </w:tc>
        <w:tc>
          <w:tcPr>
            <w:tcW w:w="3285" w:type="dxa"/>
          </w:tcPr>
          <w:p w14:paraId="2284719F" w14:textId="77777777" w:rsidR="00C00970" w:rsidRPr="00C00970" w:rsidRDefault="00C00970" w:rsidP="00C00970">
            <w:pPr>
              <w:jc w:val="center"/>
              <w:rPr>
                <w:color w:val="FF0000"/>
                <w:sz w:val="24"/>
                <w:lang w:val="en-US" w:eastAsia="zh-CN"/>
              </w:rPr>
            </w:pPr>
            <w:r w:rsidRPr="00C00970">
              <w:rPr>
                <w:rStyle w:val="fontstyle01"/>
                <w:color w:val="FF0000"/>
                <w:sz w:val="24"/>
              </w:rPr>
              <w:t>Set to 0 if not supported.</w:t>
            </w:r>
            <w:r w:rsidRPr="00C00970">
              <w:rPr>
                <w:rFonts w:ascii="TimesNewRomanPSMT" w:hAnsi="TimesNewRomanPSMT"/>
                <w:color w:val="FF0000"/>
                <w:sz w:val="24"/>
                <w:szCs w:val="18"/>
              </w:rPr>
              <w:br/>
            </w:r>
            <w:r w:rsidRPr="00C00970">
              <w:rPr>
                <w:rStyle w:val="fontstyle01"/>
                <w:color w:val="FF0000"/>
                <w:sz w:val="24"/>
              </w:rPr>
              <w:t>Set to 1 if supported.</w:t>
            </w:r>
          </w:p>
          <w:p w14:paraId="2C0AF9F9" w14:textId="77777777" w:rsidR="001B6A23" w:rsidRPr="00C00970" w:rsidRDefault="001B6A23" w:rsidP="00C00970">
            <w:pPr>
              <w:jc w:val="center"/>
              <w:rPr>
                <w:color w:val="FF0000"/>
                <w:sz w:val="24"/>
              </w:rPr>
            </w:pPr>
          </w:p>
        </w:tc>
      </w:tr>
    </w:tbl>
    <w:p w14:paraId="5A801EC0" w14:textId="27AC432B" w:rsidR="001B6A23" w:rsidRDefault="00C00970" w:rsidP="001B6A23">
      <w:pPr>
        <w:jc w:val="center"/>
      </w:pPr>
      <w:r>
        <w:object w:dxaOrig="4210" w:dyaOrig="1310" w14:anchorId="323ED588">
          <v:shape id="_x0000_i1035" type="#_x0000_t75" style="width:210.6pt;height:65.85pt" o:ole="">
            <v:imagedata r:id="rId29" o:title=""/>
          </v:shape>
          <o:OLEObject Type="Embed" ProgID="Visio.Drawing.15" ShapeID="_x0000_i1035" DrawAspect="Content" ObjectID="_1613802603" r:id="rId30"/>
        </w:object>
      </w:r>
    </w:p>
    <w:p w14:paraId="0A6629B2" w14:textId="77777777" w:rsidR="00C00970" w:rsidRDefault="00C00970" w:rsidP="001B6A23">
      <w:pPr>
        <w:jc w:val="center"/>
      </w:pPr>
    </w:p>
    <w:p w14:paraId="7A5AD9E5" w14:textId="77777777" w:rsidR="00C00970" w:rsidRDefault="00C00970" w:rsidP="00C00970"/>
    <w:p w14:paraId="047AE6C0" w14:textId="77777777" w:rsidR="00C00970" w:rsidRDefault="00C00970" w:rsidP="001B6A23">
      <w:pPr>
        <w:jc w:val="center"/>
      </w:pPr>
    </w:p>
    <w:p w14:paraId="79F3002E" w14:textId="77777777" w:rsidR="00C00970" w:rsidRDefault="00C00970" w:rsidP="001B6A23">
      <w:pPr>
        <w:jc w:val="center"/>
      </w:pPr>
    </w:p>
    <w:p w14:paraId="4A598EC2" w14:textId="77777777" w:rsidR="00C00970" w:rsidRDefault="00C00970" w:rsidP="001B6A23">
      <w:pPr>
        <w:jc w:val="center"/>
      </w:pPr>
    </w:p>
    <w:p w14:paraId="68C68769" w14:textId="77777777" w:rsidR="00C00970" w:rsidRDefault="00C00970" w:rsidP="001B6A23">
      <w:pPr>
        <w:jc w:val="center"/>
      </w:pPr>
    </w:p>
    <w:p w14:paraId="2345B4B1" w14:textId="77777777" w:rsidR="00C00970" w:rsidRDefault="00C00970" w:rsidP="001B6A23">
      <w:pPr>
        <w:jc w:val="center"/>
      </w:pPr>
    </w:p>
    <w:p w14:paraId="41B4C7FA" w14:textId="7CAF627A" w:rsidR="00C00970" w:rsidRDefault="00C00970" w:rsidP="00C00970">
      <w:pPr>
        <w:jc w:val="center"/>
        <w:rPr>
          <w:i/>
          <w:sz w:val="22"/>
          <w:szCs w:val="22"/>
          <w:highlight w:val="yellow"/>
        </w:rPr>
      </w:pPr>
      <w:r>
        <w:rPr>
          <w:i/>
          <w:sz w:val="22"/>
          <w:szCs w:val="22"/>
          <w:highlight w:val="yellow"/>
        </w:rPr>
        <w:t xml:space="preserve">---------------------------------Modifications </w:t>
      </w:r>
      <w:r w:rsidRPr="00CE050C">
        <w:rPr>
          <w:i/>
          <w:sz w:val="22"/>
          <w:szCs w:val="22"/>
          <w:highlight w:val="yellow"/>
        </w:rPr>
        <w:t>for CID 21</w:t>
      </w:r>
      <w:r>
        <w:rPr>
          <w:i/>
          <w:sz w:val="22"/>
          <w:szCs w:val="22"/>
          <w:highlight w:val="yellow"/>
        </w:rPr>
        <w:t>501 end here---------------------------</w:t>
      </w: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111434C4" w:rsidR="002805E7" w:rsidRPr="00CE050C" w:rsidRDefault="002805E7" w:rsidP="002805E7">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5A67A3">
              <w:rPr>
                <w:bCs/>
                <w:sz w:val="16"/>
                <w:szCs w:val="18"/>
                <w:lang w:eastAsia="ko-KR"/>
              </w:rPr>
              <w:t>422r0</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lastRenderedPageBreak/>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 xml:space="preserve">50dB. The current TB NDP feedback has the following issues give </w:t>
      </w:r>
      <w:proofErr w:type="spellStart"/>
      <w:r w:rsidR="00EF5B12" w:rsidRPr="00CC424A">
        <w:rPr>
          <w:sz w:val="20"/>
          <w:lang w:val="en-US"/>
        </w:rPr>
        <w:t>extreamly</w:t>
      </w:r>
      <w:proofErr w:type="spellEnd"/>
      <w:r w:rsidR="00EF5B12" w:rsidRPr="00CC424A">
        <w:rPr>
          <w:sz w:val="20"/>
          <w:lang w:val="en-US"/>
        </w:rPr>
        <w:t xml:space="preserve">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644FDDA6"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EE1AEC">
        <w:rPr>
          <w:rFonts w:eastAsia="SimSun"/>
          <w:sz w:val="20"/>
          <w:lang w:val="en-US" w:eastAsia="zh-CN"/>
        </w:rPr>
        <w:t>impacts</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6281A2AC"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w:t>
      </w:r>
      <w:proofErr w:type="spellStart"/>
      <w:r w:rsidRPr="00CC424A">
        <w:rPr>
          <w:rFonts w:eastAsia="SimSun"/>
          <w:sz w:val="20"/>
          <w:lang w:val="en-US" w:eastAsia="zh-CN"/>
        </w:rPr>
        <w:t>pach</w:t>
      </w:r>
      <w:proofErr w:type="spellEnd"/>
      <w:r w:rsidRPr="00CC424A">
        <w:rPr>
          <w:rFonts w:eastAsia="SimSun"/>
          <w:sz w:val="20"/>
          <w:lang w:val="en-US" w:eastAsia="zh-CN"/>
        </w:rPr>
        <w:t xml:space="preserve"> is to allow the AP to block a non-AP STA from responding to the NFRP trigger frame. The blocked STA may have much higher or much lower RSSI measured by the AP. Such that this STA may jeopardize the detection of the NDP feedback from other STAs.</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hint="eastAsia"/>
          <w:b/>
          <w:color w:val="000000"/>
          <w:sz w:val="20"/>
        </w:rPr>
      </w:pPr>
    </w:p>
    <w:p w14:paraId="6057B7E2" w14:textId="51FBE13C" w:rsidR="009833FC" w:rsidRDefault="009833FC" w:rsidP="00E56B81">
      <w:pPr>
        <w:rPr>
          <w:rFonts w:ascii="TimesNewRomanPSMT" w:hAnsi="TimesNewRomanPSMT" w:hint="eastAsia"/>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paragraph and figure after P.L. 116.21 (after </w:t>
      </w:r>
      <w:proofErr w:type="spellStart"/>
      <w:r w:rsidRPr="009833FC">
        <w:rPr>
          <w:i/>
          <w:sz w:val="22"/>
          <w:szCs w:val="22"/>
          <w:highlight w:val="yellow"/>
        </w:rPr>
        <w:t>subclause</w:t>
      </w:r>
      <w:proofErr w:type="spellEnd"/>
      <w:r w:rsidRPr="009833FC">
        <w:rPr>
          <w:i/>
          <w:sz w:val="22"/>
          <w:szCs w:val="22"/>
          <w:highlight w:val="yellow"/>
        </w:rPr>
        <w:t xml:space="preserve"> 9.3.1.22.9)</w:t>
      </w:r>
    </w:p>
    <w:p w14:paraId="5465DBA3" w14:textId="77777777" w:rsidR="009833FC" w:rsidRPr="009833FC" w:rsidRDefault="009833FC" w:rsidP="00E56B81">
      <w:pPr>
        <w:rPr>
          <w:rFonts w:ascii="TimesNewRomanPSMT" w:hAnsi="TimesNewRomanPSMT" w:hint="eastAsia"/>
          <w:b/>
          <w:color w:val="000000"/>
          <w:sz w:val="20"/>
        </w:rPr>
      </w:pPr>
    </w:p>
    <w:p w14:paraId="5915426A" w14:textId="7DAA97DE" w:rsidR="00E56B81" w:rsidRPr="009833FC" w:rsidRDefault="00E56B81" w:rsidP="00E56B81">
      <w:pPr>
        <w:rPr>
          <w:rFonts w:ascii="TimesNewRomanPSMT" w:hAnsi="TimesNewRomanPSMT" w:hint="eastAsia"/>
          <w:color w:val="FF0000"/>
          <w:sz w:val="20"/>
        </w:rPr>
      </w:pPr>
      <w:r w:rsidRPr="009833FC">
        <w:rPr>
          <w:rFonts w:ascii="TimesNewRomanPSMT" w:hAnsi="TimesNewRomanPSMT"/>
          <w:color w:val="FF0000"/>
          <w:sz w:val="20"/>
        </w:rPr>
        <w:t>The Trigger Dependent User Info subfield of the NFRP Trigger frame is defined in Figure 9-64Ix (Trigger Dependent</w:t>
      </w:r>
      <w:r w:rsidR="009833FC" w:rsidRPr="009833FC">
        <w:rPr>
          <w:rFonts w:ascii="TimesNewRomanPSMT" w:hAnsi="TimesNewRomanPSMT"/>
          <w:color w:val="FF0000"/>
          <w:sz w:val="20"/>
        </w:rPr>
        <w:t xml:space="preserve"> </w:t>
      </w:r>
      <w:r w:rsidRPr="009833FC">
        <w:rPr>
          <w:rFonts w:ascii="TimesNewRomanPSMT" w:hAnsi="TimesNewRomanPSMT"/>
          <w:color w:val="FF0000"/>
          <w:sz w:val="20"/>
        </w:rPr>
        <w:t>User Info subfield for the NFRP variant).</w:t>
      </w:r>
      <w:r w:rsidR="002B3799" w:rsidRPr="009833FC">
        <w:rPr>
          <w:rFonts w:ascii="TimesNewRomanPSMT" w:hAnsi="TimesNewRomanPSMT"/>
          <w:color w:val="FF0000"/>
          <w:sz w:val="20"/>
        </w:rPr>
        <w:t xml:space="preserve"> </w:t>
      </w:r>
    </w:p>
    <w:p w14:paraId="5B776700" w14:textId="77777777" w:rsidR="00E56B81" w:rsidRPr="009833FC" w:rsidRDefault="00E56B81" w:rsidP="00E56B81">
      <w:pPr>
        <w:rPr>
          <w:rFonts w:ascii="TimesNewRomanPSMT" w:hAnsi="TimesNewRomanPSMT" w:hint="eastAsia"/>
          <w:color w:val="FF0000"/>
          <w:sz w:val="20"/>
        </w:rPr>
      </w:pPr>
    </w:p>
    <w:p w14:paraId="0EB7575A" w14:textId="7D4C7C00" w:rsidR="00E56B81" w:rsidRPr="009833FC" w:rsidRDefault="0037522A" w:rsidP="00E56B81">
      <w:pPr>
        <w:jc w:val="center"/>
        <w:rPr>
          <w:color w:val="FF0000"/>
        </w:rPr>
      </w:pPr>
      <w:r w:rsidRPr="009833FC">
        <w:rPr>
          <w:color w:val="FF0000"/>
        </w:rPr>
        <w:object w:dxaOrig="4801" w:dyaOrig="1560" w14:anchorId="39099998">
          <v:shape id="_x0000_i1036" type="#_x0000_t75" style="width:227.15pt;height:75.45pt" o:ole="">
            <v:imagedata r:id="rId31" o:title="" croptop="-1426f" cropbottom="-3761f" cropleft="-1637f" cropright="-551f"/>
          </v:shape>
          <o:OLEObject Type="Embed" ProgID="Visio.Drawing.15" ShapeID="_x0000_i1036" DrawAspect="Content" ObjectID="_1613802604" r:id="rId32"/>
        </w:object>
      </w:r>
    </w:p>
    <w:p w14:paraId="38EAED0F" w14:textId="03248B88" w:rsidR="009833FC" w:rsidRPr="009833FC" w:rsidRDefault="009833FC" w:rsidP="00E56B81">
      <w:pPr>
        <w:jc w:val="center"/>
        <w:rPr>
          <w:rFonts w:ascii="TimesNewRomanPSMT" w:hAnsi="TimesNewRomanPSMT" w:hint="eastAsia"/>
          <w:color w:val="FF0000"/>
          <w:sz w:val="20"/>
        </w:rPr>
      </w:pPr>
      <w:r w:rsidRPr="009833FC">
        <w:rPr>
          <w:rFonts w:ascii="TimesNewRomanPSMT" w:hAnsi="TimesNewRomanPSMT"/>
          <w:color w:val="FF0000"/>
          <w:sz w:val="20"/>
        </w:rPr>
        <w:t>Figure 9-64Ix (Trigger Dependent User Info subfield for the NFRP variant)</w:t>
      </w:r>
    </w:p>
    <w:p w14:paraId="502E6C59" w14:textId="77777777" w:rsidR="009833FC" w:rsidRPr="009833FC" w:rsidRDefault="009833FC" w:rsidP="00E56B81">
      <w:pPr>
        <w:jc w:val="center"/>
        <w:rPr>
          <w:color w:val="FF0000"/>
        </w:rPr>
      </w:pPr>
    </w:p>
    <w:p w14:paraId="5691B49A" w14:textId="320935A0" w:rsidR="00693A5F" w:rsidRDefault="0037522A" w:rsidP="00693A5F">
      <w:pPr>
        <w:rPr>
          <w:color w:val="FF0000"/>
          <w:sz w:val="20"/>
        </w:rPr>
      </w:pPr>
      <w:r>
        <w:rPr>
          <w:color w:val="FF0000"/>
          <w:sz w:val="20"/>
        </w:rPr>
        <w:t>The size of t</w:t>
      </w:r>
      <w:r w:rsidRPr="002A678B">
        <w:rPr>
          <w:color w:val="FF0000"/>
          <w:sz w:val="20"/>
        </w:rPr>
        <w:t xml:space="preserve">he NFRP Feedback Blocking Bit Map </w:t>
      </w:r>
      <w:r>
        <w:rPr>
          <w:color w:val="FF0000"/>
          <w:sz w:val="20"/>
        </w:rPr>
        <w:t xml:space="preserve">is determined by </w:t>
      </w:r>
      <w:r w:rsidR="00693A5F">
        <w:rPr>
          <w:color w:val="FF0000"/>
          <w:sz w:val="20"/>
        </w:rPr>
        <w:t xml:space="preserve">the </w:t>
      </w:r>
      <w:r w:rsidR="00693A5F" w:rsidRPr="00693A5F">
        <w:rPr>
          <w:color w:val="FF0000"/>
          <w:sz w:val="20"/>
        </w:rPr>
        <w:t>UL BW subfield indicated in the Common Info field of the NFRP Trigger fra</w:t>
      </w:r>
      <w:r w:rsidR="009124F6">
        <w:rPr>
          <w:color w:val="FF0000"/>
          <w:sz w:val="20"/>
        </w:rPr>
        <w:t>me and is defined in table 9-31xx.</w:t>
      </w:r>
    </w:p>
    <w:p w14:paraId="5E299004" w14:textId="77777777" w:rsidR="009124F6" w:rsidRDefault="009124F6" w:rsidP="00693A5F">
      <w:pPr>
        <w:rPr>
          <w:color w:val="FF0000"/>
          <w:sz w:val="20"/>
        </w:rPr>
      </w:pPr>
    </w:p>
    <w:p w14:paraId="367A01B4" w14:textId="52B0D398" w:rsidR="009124F6" w:rsidRDefault="009124F6" w:rsidP="009124F6">
      <w:pPr>
        <w:pStyle w:val="Caption"/>
        <w:keepNext/>
        <w:spacing w:after="0"/>
        <w:jc w:val="center"/>
      </w:pPr>
      <w:r>
        <w:rPr>
          <w:color w:val="FF0000"/>
          <w:sz w:val="20"/>
        </w:rPr>
        <w:t xml:space="preserve">Table 9-31xx Relation between the </w:t>
      </w:r>
      <w:r w:rsidRPr="009124F6">
        <w:rPr>
          <w:color w:val="FF0000"/>
          <w:sz w:val="20"/>
        </w:rPr>
        <w:t>UL BW subfield value</w:t>
      </w:r>
      <w:r>
        <w:rPr>
          <w:color w:val="FF0000"/>
          <w:sz w:val="20"/>
        </w:rPr>
        <w:t xml:space="preserve"> and the size</w:t>
      </w:r>
      <w:r w:rsidRPr="009124F6">
        <w:rPr>
          <w:color w:val="FF0000"/>
          <w:sz w:val="20"/>
        </w:rPr>
        <w:t xml:space="preserve"> of the NFRP Feedback Blocking Bit Map</w:t>
      </w:r>
    </w:p>
    <w:tbl>
      <w:tblPr>
        <w:tblStyle w:val="TableGrid"/>
        <w:tblW w:w="0" w:type="auto"/>
        <w:jc w:val="center"/>
        <w:tblLook w:val="04A0" w:firstRow="1" w:lastRow="0" w:firstColumn="1" w:lastColumn="0" w:noHBand="0" w:noVBand="1"/>
      </w:tblPr>
      <w:tblGrid>
        <w:gridCol w:w="2781"/>
        <w:gridCol w:w="6944"/>
      </w:tblGrid>
      <w:tr w:rsidR="009124F6" w:rsidRPr="009124F6" w14:paraId="669865D5" w14:textId="77777777" w:rsidTr="009124F6">
        <w:trPr>
          <w:jc w:val="center"/>
        </w:trPr>
        <w:tc>
          <w:tcPr>
            <w:tcW w:w="0" w:type="auto"/>
          </w:tcPr>
          <w:p w14:paraId="409EF0C5" w14:textId="7E053805" w:rsidR="009124F6" w:rsidRPr="009124F6" w:rsidRDefault="009124F6" w:rsidP="009124F6">
            <w:pPr>
              <w:rPr>
                <w:rFonts w:eastAsia="Times New Roman"/>
                <w:color w:val="FF0000"/>
                <w:sz w:val="24"/>
                <w:szCs w:val="24"/>
                <w:lang w:val="en-US" w:eastAsia="zh-CN"/>
              </w:rPr>
            </w:pPr>
            <w:r w:rsidRPr="009124F6">
              <w:rPr>
                <w:rFonts w:eastAsia="Times New Roman"/>
                <w:color w:val="FF0000"/>
                <w:sz w:val="24"/>
                <w:szCs w:val="24"/>
                <w:lang w:val="en-US" w:eastAsia="zh-CN"/>
              </w:rPr>
              <w:t>UL BW subfield value</w:t>
            </w:r>
          </w:p>
        </w:tc>
        <w:tc>
          <w:tcPr>
            <w:tcW w:w="0" w:type="auto"/>
          </w:tcPr>
          <w:p w14:paraId="2C8788D0" w14:textId="5F70A3B9"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Number of Octets of the NFRP Feedback Blocking Bit Map</w:t>
            </w:r>
          </w:p>
        </w:tc>
      </w:tr>
      <w:tr w:rsidR="009124F6" w:rsidRPr="009124F6" w14:paraId="1F693222" w14:textId="77777777" w:rsidTr="009124F6">
        <w:trPr>
          <w:jc w:val="center"/>
        </w:trPr>
        <w:tc>
          <w:tcPr>
            <w:tcW w:w="0" w:type="auto"/>
          </w:tcPr>
          <w:p w14:paraId="7F878726" w14:textId="7F45E9D0"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0</w:t>
            </w:r>
          </w:p>
        </w:tc>
        <w:tc>
          <w:tcPr>
            <w:tcW w:w="0" w:type="auto"/>
          </w:tcPr>
          <w:p w14:paraId="0D58B6CB" w14:textId="09EA10C5" w:rsidR="009124F6" w:rsidRPr="009124F6" w:rsidRDefault="009124F6" w:rsidP="00AC4CFE">
            <w:pPr>
              <w:rPr>
                <w:rFonts w:eastAsia="Times New Roman"/>
                <w:color w:val="FF0000"/>
                <w:sz w:val="24"/>
                <w:szCs w:val="24"/>
                <w:lang w:val="en-US" w:eastAsia="zh-CN"/>
              </w:rPr>
            </w:pPr>
            <w:r w:rsidRPr="009124F6">
              <w:rPr>
                <w:rFonts w:eastAsia="Times New Roman"/>
                <w:color w:val="FF0000"/>
                <w:sz w:val="24"/>
                <w:szCs w:val="24"/>
                <w:lang w:val="en-US" w:eastAsia="zh-CN"/>
              </w:rPr>
              <w:t>5</w:t>
            </w:r>
          </w:p>
        </w:tc>
      </w:tr>
      <w:tr w:rsidR="009124F6" w:rsidRPr="009124F6" w14:paraId="64EC97B4" w14:textId="77777777" w:rsidTr="009124F6">
        <w:trPr>
          <w:jc w:val="center"/>
        </w:trPr>
        <w:tc>
          <w:tcPr>
            <w:tcW w:w="0" w:type="auto"/>
          </w:tcPr>
          <w:p w14:paraId="21B51885" w14:textId="3827C933"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w:t>
            </w:r>
          </w:p>
        </w:tc>
        <w:tc>
          <w:tcPr>
            <w:tcW w:w="0" w:type="auto"/>
          </w:tcPr>
          <w:p w14:paraId="3B7A7BCF" w14:textId="417842DA"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9</w:t>
            </w:r>
          </w:p>
        </w:tc>
      </w:tr>
      <w:tr w:rsidR="009124F6" w:rsidRPr="009124F6" w14:paraId="51763BF4" w14:textId="77777777" w:rsidTr="009124F6">
        <w:trPr>
          <w:jc w:val="center"/>
        </w:trPr>
        <w:tc>
          <w:tcPr>
            <w:tcW w:w="0" w:type="auto"/>
          </w:tcPr>
          <w:p w14:paraId="6384B69F" w14:textId="695E6E16"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2</w:t>
            </w:r>
          </w:p>
        </w:tc>
        <w:tc>
          <w:tcPr>
            <w:tcW w:w="0" w:type="auto"/>
          </w:tcPr>
          <w:p w14:paraId="755ED09E" w14:textId="3DA973A5"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18</w:t>
            </w:r>
          </w:p>
        </w:tc>
      </w:tr>
      <w:tr w:rsidR="009124F6" w:rsidRPr="009124F6" w14:paraId="71424509" w14:textId="77777777" w:rsidTr="009124F6">
        <w:trPr>
          <w:jc w:val="center"/>
        </w:trPr>
        <w:tc>
          <w:tcPr>
            <w:tcW w:w="0" w:type="auto"/>
          </w:tcPr>
          <w:p w14:paraId="3FE6D18A" w14:textId="66B2238C"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w:t>
            </w:r>
          </w:p>
        </w:tc>
        <w:tc>
          <w:tcPr>
            <w:tcW w:w="0" w:type="auto"/>
          </w:tcPr>
          <w:p w14:paraId="15016311" w14:textId="5D9B108F"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36</w:t>
            </w:r>
          </w:p>
        </w:tc>
      </w:tr>
      <w:tr w:rsidR="00AC4CFE" w:rsidRPr="009124F6" w14:paraId="528C837F" w14:textId="77777777" w:rsidTr="00A66D41">
        <w:trPr>
          <w:jc w:val="center"/>
        </w:trPr>
        <w:tc>
          <w:tcPr>
            <w:tcW w:w="0" w:type="auto"/>
            <w:gridSpan w:val="2"/>
          </w:tcPr>
          <w:p w14:paraId="6E5874FA" w14:textId="41DD016A" w:rsidR="00AC4CFE" w:rsidRPr="009124F6" w:rsidRDefault="00AC4CFE" w:rsidP="00AC4CFE">
            <w:pPr>
              <w:rPr>
                <w:rFonts w:eastAsia="Times New Roman"/>
                <w:color w:val="FF0000"/>
                <w:sz w:val="24"/>
                <w:szCs w:val="24"/>
                <w:lang w:val="en-US" w:eastAsia="zh-CN"/>
              </w:rPr>
            </w:pPr>
            <w:r w:rsidRPr="00AC4CFE">
              <w:rPr>
                <w:rFonts w:eastAsia="Times New Roman"/>
                <w:color w:val="FF0000"/>
                <w:sz w:val="20"/>
                <w:szCs w:val="24"/>
                <w:lang w:val="en-US" w:eastAsia="zh-CN"/>
              </w:rPr>
              <w:t xml:space="preserve">Note - </w:t>
            </w:r>
            <w:r>
              <w:rPr>
                <w:rFonts w:eastAsia="Times New Roman"/>
                <w:color w:val="FF0000"/>
                <w:sz w:val="20"/>
                <w:szCs w:val="24"/>
                <w:lang w:val="en-US" w:eastAsia="zh-CN"/>
              </w:rPr>
              <w:t>I</w:t>
            </w:r>
            <w:r w:rsidRPr="00AC4CFE">
              <w:rPr>
                <w:rFonts w:eastAsia="Times New Roman"/>
                <w:color w:val="FF0000"/>
                <w:sz w:val="20"/>
                <w:szCs w:val="24"/>
                <w:lang w:val="en-US" w:eastAsia="zh-CN"/>
              </w:rPr>
              <w:t>f the value of UL BW subfield equal to 0</w:t>
            </w:r>
            <w:r>
              <w:rPr>
                <w:rFonts w:eastAsia="Times New Roman"/>
                <w:color w:val="FF0000"/>
                <w:sz w:val="20"/>
                <w:szCs w:val="24"/>
                <w:lang w:val="en-US" w:eastAsia="zh-CN"/>
              </w:rPr>
              <w:t xml:space="preserve">, </w:t>
            </w:r>
            <w:r w:rsidRPr="00AC4CFE">
              <w:rPr>
                <w:rFonts w:eastAsia="Times New Roman"/>
                <w:color w:val="FF0000"/>
                <w:sz w:val="20"/>
                <w:szCs w:val="24"/>
                <w:lang w:val="en-US" w:eastAsia="zh-CN"/>
              </w:rPr>
              <w:t>the last 4 bits of the NFRP Feedback Blocking Bit Map are reserved</w:t>
            </w:r>
            <w:r>
              <w:rPr>
                <w:rFonts w:eastAsia="Times New Roman"/>
                <w:color w:val="FF0000"/>
                <w:sz w:val="20"/>
                <w:szCs w:val="24"/>
                <w:lang w:val="en-US" w:eastAsia="zh-CN"/>
              </w:rPr>
              <w:t>.</w:t>
            </w:r>
            <w:r w:rsidRPr="00AC4CFE">
              <w:rPr>
                <w:rFonts w:eastAsia="Times New Roman"/>
                <w:color w:val="FF0000"/>
                <w:sz w:val="20"/>
                <w:szCs w:val="24"/>
                <w:lang w:val="en-US" w:eastAsia="zh-CN"/>
              </w:rPr>
              <w:t xml:space="preserve"> </w:t>
            </w:r>
          </w:p>
        </w:tc>
      </w:tr>
    </w:tbl>
    <w:p w14:paraId="1CDD95B9" w14:textId="77777777" w:rsidR="00693A5F" w:rsidRPr="00693A5F" w:rsidRDefault="00693A5F" w:rsidP="00693A5F">
      <w:pPr>
        <w:rPr>
          <w:rFonts w:eastAsia="Times New Roman"/>
          <w:sz w:val="24"/>
          <w:szCs w:val="24"/>
          <w:lang w:val="en-US" w:eastAsia="zh-CN"/>
        </w:rPr>
      </w:pPr>
    </w:p>
    <w:p w14:paraId="2038D4FE" w14:textId="1D032636" w:rsidR="003E68CC" w:rsidRDefault="00E56B81" w:rsidP="00E56B81">
      <w:pPr>
        <w:rPr>
          <w:color w:val="FF0000"/>
          <w:sz w:val="20"/>
        </w:rPr>
      </w:pPr>
      <w:r w:rsidRPr="002A678B">
        <w:rPr>
          <w:color w:val="FF0000"/>
          <w:sz w:val="20"/>
        </w:rPr>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 xml:space="preserve">it </w:t>
      </w:r>
      <w:proofErr w:type="spellStart"/>
      <w:r w:rsidR="002B3799" w:rsidRPr="002A678B">
        <w:rPr>
          <w:color w:val="FF0000"/>
          <w:sz w:val="20"/>
        </w:rPr>
        <w:t>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proofErr w:type="spellEnd"/>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proofErr w:type="spellStart"/>
      <w:r w:rsidR="002B3799" w:rsidRPr="0052009E">
        <w:rPr>
          <w:i/>
          <w:color w:val="FF0000"/>
          <w:sz w:val="20"/>
        </w:rPr>
        <w:t>AID</w:t>
      </w:r>
      <w:r w:rsidR="002B3799" w:rsidRPr="0052009E">
        <w:rPr>
          <w:i/>
          <w:color w:val="FF0000"/>
          <w:sz w:val="20"/>
          <w:vertAlign w:val="subscript"/>
        </w:rPr>
        <w:t>n</w:t>
      </w:r>
      <w:proofErr w:type="spellEnd"/>
      <w:r w:rsidR="002B3799" w:rsidRPr="002A678B">
        <w:rPr>
          <w:color w:val="FF0000"/>
          <w:sz w:val="20"/>
        </w:rPr>
        <w:t xml:space="preserve"> </w:t>
      </w:r>
      <w:r w:rsidR="003E68CC">
        <w:rPr>
          <w:color w:val="FF0000"/>
          <w:sz w:val="20"/>
        </w:rPr>
        <w:t>does not</w:t>
      </w:r>
      <w:r w:rsidR="002B3799" w:rsidRPr="002A678B">
        <w:rPr>
          <w:color w:val="FF0000"/>
          <w:sz w:val="20"/>
        </w:rPr>
        <w:t xml:space="preserve"> response to the NFRP trigger frame. </w:t>
      </w:r>
      <w:r w:rsidR="003E68CC">
        <w:rPr>
          <w:color w:val="FF0000"/>
          <w:sz w:val="20"/>
        </w:rPr>
        <w:t>B</w:t>
      </w:r>
      <w:r w:rsidR="003E68CC" w:rsidRPr="002A678B">
        <w:rPr>
          <w:color w:val="FF0000"/>
          <w:sz w:val="20"/>
        </w:rPr>
        <w:t xml:space="preserve">it </w:t>
      </w:r>
      <w:proofErr w:type="spellStart"/>
      <w:r w:rsidR="003E68CC" w:rsidRPr="002A678B">
        <w:rPr>
          <w:color w:val="FF0000"/>
          <w:sz w:val="20"/>
        </w:rPr>
        <w:t>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proofErr w:type="spellEnd"/>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proofErr w:type="spellStart"/>
      <w:r w:rsidR="003E68CC" w:rsidRPr="0052009E">
        <w:rPr>
          <w:i/>
          <w:color w:val="FF0000"/>
          <w:sz w:val="20"/>
        </w:rPr>
        <w:t>AID</w:t>
      </w:r>
      <w:r w:rsidR="003E68CC" w:rsidRPr="0052009E">
        <w:rPr>
          <w:i/>
          <w:color w:val="FF0000"/>
          <w:sz w:val="20"/>
          <w:vertAlign w:val="subscript"/>
        </w:rPr>
        <w:t>n</w:t>
      </w:r>
      <w:proofErr w:type="spellEnd"/>
      <w:r w:rsidR="003E68CC" w:rsidRPr="002A678B">
        <w:rPr>
          <w:color w:val="FF0000"/>
          <w:sz w:val="20"/>
        </w:rPr>
        <w:t xml:space="preserve"> </w:t>
      </w:r>
      <w:r w:rsidR="003E68CC">
        <w:rPr>
          <w:color w:val="FF0000"/>
          <w:sz w:val="20"/>
        </w:rPr>
        <w:t>can</w:t>
      </w:r>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2533CE9A" w:rsidR="00930BFA" w:rsidRDefault="00BC0710" w:rsidP="00E56B81">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w:t>
      </w:r>
      <w:r w:rsidRPr="00BC0710">
        <w:rPr>
          <w:i/>
          <w:sz w:val="22"/>
          <w:szCs w:val="22"/>
          <w:highlight w:val="yellow"/>
        </w:rPr>
        <w:t>bullet in P.L. 348.56</w:t>
      </w:r>
    </w:p>
    <w:p w14:paraId="3930C717" w14:textId="7BC557AE"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t xml:space="preserve">A non-AP STA </w:t>
      </w:r>
      <w:r w:rsidR="00DF2B52" w:rsidRPr="00DF2B52">
        <w:rPr>
          <w:rFonts w:ascii="TimesNewRomanPSMT" w:hAnsi="TimesNewRomanPSMT"/>
          <w:color w:val="FF0000"/>
          <w:sz w:val="20"/>
        </w:rPr>
        <w:t xml:space="preserve">with AID equal to </w:t>
      </w:r>
      <w:proofErr w:type="spellStart"/>
      <w:r w:rsidR="00DF2B52" w:rsidRPr="00DF2B52">
        <w:rPr>
          <w:rFonts w:ascii="TimesNewRomanPSMT" w:hAnsi="TimesNewRomanPSMT"/>
          <w:i/>
          <w:color w:val="FF0000"/>
          <w:sz w:val="20"/>
        </w:rPr>
        <w:t>AIDn</w:t>
      </w:r>
      <w:proofErr w:type="spellEnd"/>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br/>
        <w:t>— The non-AP STA is associated with the BSSID indicated in the TA field of the NFRP Trigger frame</w:t>
      </w:r>
      <w:r w:rsidRPr="00930BFA">
        <w:rPr>
          <w:rFonts w:ascii="TimesNewRomanPSMT" w:hAnsi="TimesNewRomanPSMT"/>
          <w:color w:val="000000"/>
          <w:sz w:val="20"/>
        </w:rPr>
        <w:br/>
        <w:t xml:space="preserve">or the non-AP STA is associated with a </w:t>
      </w:r>
      <w:proofErr w:type="spellStart"/>
      <w:r w:rsidRPr="00930BFA">
        <w:rPr>
          <w:rFonts w:ascii="TimesNewRomanPSMT" w:hAnsi="TimesNewRomanPSMT"/>
          <w:color w:val="000000"/>
          <w:sz w:val="20"/>
        </w:rPr>
        <w:t>nontransmitted</w:t>
      </w:r>
      <w:proofErr w:type="spellEnd"/>
      <w:r w:rsidRPr="00930BFA">
        <w:rPr>
          <w:rFonts w:ascii="TimesNewRomanPSMT" w:hAnsi="TimesNewRomanPSMT"/>
          <w:color w:val="000000"/>
          <w:sz w:val="20"/>
        </w:rPr>
        <w:t xml:space="preserve">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hint="eastAsia"/>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proofErr w:type="spellStart"/>
      <w:r w:rsidR="00DF2B52" w:rsidRPr="00DF2B52">
        <w:rPr>
          <w:rFonts w:ascii="TimesNewRomanPSMT" w:hAnsi="TimesNewRomanPSMT"/>
          <w:i/>
          <w:color w:val="FF0000"/>
          <w:sz w:val="20"/>
        </w:rPr>
        <w:t>AIDn</w:t>
      </w:r>
      <w:proofErr w:type="spellEnd"/>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t>frame</w:t>
      </w:r>
      <w:proofErr w:type="gramStart"/>
      <w:r w:rsidRPr="00930BFA">
        <w:rPr>
          <w:rFonts w:ascii="TimesNewRomanPSMT" w:hAnsi="TimesNewRomanPSMT"/>
          <w:color w:val="000000"/>
          <w:sz w:val="20"/>
        </w:rPr>
        <w:t>:</w:t>
      </w:r>
      <w:proofErr w:type="gramEnd"/>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hint="eastAsia"/>
          <w:color w:val="000000"/>
          <w:sz w:val="20"/>
        </w:rPr>
      </w:pPr>
    </w:p>
    <w:p w14:paraId="2FFBCD5F" w14:textId="54B909A7" w:rsidR="00BC0710" w:rsidRPr="005243A7" w:rsidRDefault="00DF2B52" w:rsidP="00BC0710">
      <w:pPr>
        <w:pStyle w:val="ListParagraph"/>
        <w:numPr>
          <w:ilvl w:val="0"/>
          <w:numId w:val="32"/>
        </w:numPr>
        <w:ind w:leftChars="0" w:left="360"/>
        <w:rPr>
          <w:color w:val="FF0000"/>
          <w:lang w:val="en-US"/>
        </w:rPr>
      </w:pPr>
      <w:r>
        <w:rPr>
          <w:rFonts w:ascii="TimesNewRomanPSMT" w:hAnsi="TimesNewRomanPSMT"/>
          <w:color w:val="FF0000"/>
          <w:sz w:val="20"/>
        </w:rPr>
        <w:lastRenderedPageBreak/>
        <w:t xml:space="preserve">In the NFRP Feedback Blocking Bit Map subfield, bit </w:t>
      </w:r>
      <w:proofErr w:type="spellStart"/>
      <w:r w:rsidRPr="009833FC">
        <w:rPr>
          <w:color w:val="FF0000"/>
        </w:rPr>
        <w:t>B</w:t>
      </w:r>
      <w:r w:rsidRPr="009833FC">
        <w:rPr>
          <w:rFonts w:ascii="TimesNewRomanPSMT" w:hAnsi="TimesNewRomanPSMT"/>
          <w:i/>
          <w:color w:val="FF0000"/>
          <w:vertAlign w:val="subscript"/>
        </w:rPr>
        <w:t>AIDn</w:t>
      </w:r>
      <w:proofErr w:type="spellEnd"/>
      <w:r w:rsidRPr="009833FC">
        <w:rPr>
          <w:rFonts w:ascii="TimesNewRomanPSMT" w:hAnsi="TimesNewRomanPSMT"/>
          <w:i/>
          <w:color w:val="FF0000"/>
          <w:vertAlign w:val="subscript"/>
        </w:rPr>
        <w:t xml:space="preserve"> – Starting AID</w:t>
      </w:r>
      <w:r>
        <w:rPr>
          <w:color w:val="FF0000"/>
          <w:sz w:val="20"/>
        </w:rPr>
        <w:t xml:space="preserve"> </w:t>
      </w:r>
      <w:r>
        <w:rPr>
          <w:rFonts w:ascii="TimesNewRomanPSMT" w:hAnsi="TimesNewRomanPSMT"/>
          <w:color w:val="FF0000"/>
          <w:sz w:val="20"/>
        </w:rPr>
        <w:t>is set to 0.</w:t>
      </w:r>
    </w:p>
    <w:p w14:paraId="37FD8BEF" w14:textId="77777777" w:rsidR="005243A7" w:rsidRPr="005243A7" w:rsidRDefault="005243A7" w:rsidP="005243A7">
      <w:pPr>
        <w:pStyle w:val="ListParagraph"/>
        <w:ind w:leftChars="0" w:left="360"/>
        <w:rPr>
          <w:color w:val="FF0000"/>
          <w:lang w:val="en-US"/>
        </w:rPr>
      </w:pPr>
    </w:p>
    <w:p w14:paraId="24267964" w14:textId="091CFC09" w:rsidR="005243A7" w:rsidRPr="005243A7" w:rsidRDefault="005243A7" w:rsidP="005243A7">
      <w:pPr>
        <w:pStyle w:val="ListParagraph"/>
        <w:ind w:leftChars="0" w:left="720"/>
        <w:rPr>
          <w:rFonts w:ascii="TimesNewRomanPSMT" w:hAnsi="TimesNewRomanPSMT" w:hint="eastAsia"/>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Pr="005243A7" w:rsidRDefault="005243A7" w:rsidP="005243A7">
      <w:pPr>
        <w:rPr>
          <w:color w:val="FF0000"/>
          <w:lang w:val="en-US"/>
        </w:rPr>
      </w:pPr>
    </w:p>
    <w:sectPr w:rsidR="005243A7" w:rsidRPr="005243A7" w:rsidSect="00996772">
      <w:headerReference w:type="default" r:id="rId33"/>
      <w:footerReference w:type="default" r:id="rId3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F4D8A" w14:textId="77777777" w:rsidR="00C8139C" w:rsidRDefault="00C8139C">
      <w:r>
        <w:separator/>
      </w:r>
    </w:p>
  </w:endnote>
  <w:endnote w:type="continuationSeparator" w:id="0">
    <w:p w14:paraId="69C74E44" w14:textId="77777777" w:rsidR="00C8139C" w:rsidRDefault="00C8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653C87">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802184">
      <w:rPr>
        <w:noProof/>
      </w:rPr>
      <w:t>7</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A9A13" w14:textId="77777777" w:rsidR="00C8139C" w:rsidRDefault="00C8139C">
      <w:r>
        <w:separator/>
      </w:r>
    </w:p>
  </w:footnote>
  <w:footnote w:type="continuationSeparator" w:id="0">
    <w:p w14:paraId="58DD0525" w14:textId="77777777" w:rsidR="00C8139C" w:rsidRDefault="00C8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64BE2EFD" w:rsidR="00930BFA" w:rsidRDefault="00930BFA">
    <w:pPr>
      <w:pStyle w:val="Header"/>
      <w:tabs>
        <w:tab w:val="clear" w:pos="6480"/>
        <w:tab w:val="center" w:pos="4680"/>
        <w:tab w:val="right" w:pos="9360"/>
      </w:tabs>
      <w:rPr>
        <w:lang w:eastAsia="ko-KR"/>
      </w:rPr>
    </w:pPr>
    <w:r>
      <w:rPr>
        <w:lang w:eastAsia="ko-KR"/>
      </w:rPr>
      <w:t>Mar. 2019</w:t>
    </w:r>
    <w:r>
      <w:tab/>
    </w:r>
    <w:r>
      <w:tab/>
    </w:r>
    <w:r>
      <w:fldChar w:fldCharType="begin"/>
    </w:r>
    <w:r>
      <w:instrText xml:space="preserve"> TITLE  \* MERGEFORMAT </w:instrText>
    </w:r>
    <w:r>
      <w:fldChar w:fldCharType="end"/>
    </w:r>
    <w:fldSimple w:instr=" TITLE  \* MERGEFORMAT ">
      <w:r>
        <w:t>doc.: IEEE 802.11-19/0</w:t>
      </w:r>
      <w:r w:rsidR="005A67A3">
        <w:t>422</w:t>
      </w:r>
      <w:r>
        <w:rPr>
          <w:lang w:eastAsia="ko-KR"/>
        </w:rPr>
        <w:t>r</w:t>
      </w:r>
    </w:fldSimple>
    <w:r w:rsidR="005A67A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2FC3"/>
    <w:rsid w:val="00233E60"/>
    <w:rsid w:val="00234B0A"/>
    <w:rsid w:val="00234C13"/>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405B"/>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51003"/>
    <w:rsid w:val="00B51194"/>
    <w:rsid w:val="00B52374"/>
    <w:rsid w:val="00B526FD"/>
    <w:rsid w:val="00B5292B"/>
    <w:rsid w:val="00B52F94"/>
    <w:rsid w:val="00B53F6C"/>
    <w:rsid w:val="00B5499F"/>
    <w:rsid w:val="00B54BCB"/>
    <w:rsid w:val="00B559AE"/>
    <w:rsid w:val="00B5616C"/>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package" Target="embeddings/Microsoft_Visio_Drawing1.vsdx"/><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5B94-F9AA-49B1-A04D-4AD29B4C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10260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7</cp:revision>
  <cp:lastPrinted>2010-05-04T03:47:00Z</cp:lastPrinted>
  <dcterms:created xsi:type="dcterms:W3CDTF">2019-03-11T15:27:00Z</dcterms:created>
  <dcterms:modified xsi:type="dcterms:W3CDTF">2019-03-11T16:43:00Z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