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2268C5D" w:rsidR="00BD6FB0" w:rsidRPr="004B1506" w:rsidRDefault="00486768" w:rsidP="00307F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37615">
              <w:rPr>
                <w:b/>
                <w:sz w:val="28"/>
                <w:szCs w:val="28"/>
                <w:lang w:val="en-US" w:eastAsia="ko-KR"/>
              </w:rPr>
              <w:t xml:space="preserve">WUR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Data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 xml:space="preserve">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6E0F35C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FB1C8F">
              <w:t>03</w:t>
            </w:r>
            <w:r w:rsidR="00361A7D">
              <w:t>-</w:t>
            </w:r>
            <w:r w:rsidR="00C01846">
              <w:t>1</w:t>
            </w:r>
            <w:r w:rsidR="00FB1C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E5956C5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07F85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307F85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307F85">
                              <w:rPr>
                                <w:lang w:eastAsia="ko-KR"/>
                              </w:rPr>
                              <w:t xml:space="preserve"> D2</w:t>
                            </w:r>
                            <w:r>
                              <w:rPr>
                                <w:lang w:eastAsia="ko-KR"/>
                              </w:rPr>
                              <w:t>.0 with the following CIDs:</w:t>
                            </w:r>
                          </w:p>
                          <w:p w14:paraId="2CD06B82" w14:textId="4079E7B2" w:rsidR="00D45587" w:rsidRDefault="00307F8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2155, 2424, 2491, 2564, 2632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E5956C5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07F85"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 w:rsidR="00307F85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307F85">
                        <w:rPr>
                          <w:lang w:eastAsia="ko-KR"/>
                        </w:rPr>
                        <w:t xml:space="preserve"> D2</w:t>
                      </w:r>
                      <w:r>
                        <w:rPr>
                          <w:lang w:eastAsia="ko-KR"/>
                        </w:rPr>
                        <w:t>.0 with the following CIDs:</w:t>
                      </w:r>
                    </w:p>
                    <w:p w14:paraId="2CD06B82" w14:textId="4079E7B2" w:rsidR="00D45587" w:rsidRDefault="00307F8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2155, 2424, 2491, 2564, 2632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7C96985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07F85">
        <w:rPr>
          <w:i/>
          <w:sz w:val="22"/>
          <w:szCs w:val="22"/>
          <w:lang w:eastAsia="ko-KR"/>
        </w:rPr>
        <w:t>2155, 2424, 2491, 2564, 2632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56CD8A7" w14:textId="77777777" w:rsidTr="00217CA7">
        <w:trPr>
          <w:trHeight w:val="1940"/>
        </w:trPr>
        <w:tc>
          <w:tcPr>
            <w:tcW w:w="735" w:type="dxa"/>
            <w:shd w:val="clear" w:color="auto" w:fill="auto"/>
          </w:tcPr>
          <w:p w14:paraId="39674E64" w14:textId="3FE553A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2155</w:t>
            </w:r>
          </w:p>
        </w:tc>
        <w:tc>
          <w:tcPr>
            <w:tcW w:w="1440" w:type="dxa"/>
            <w:shd w:val="clear" w:color="auto" w:fill="auto"/>
          </w:tcPr>
          <w:p w14:paraId="4B372FFD" w14:textId="3ACFA74F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31.2.6</w:t>
            </w:r>
          </w:p>
        </w:tc>
        <w:tc>
          <w:tcPr>
            <w:tcW w:w="859" w:type="dxa"/>
            <w:shd w:val="clear" w:color="auto" w:fill="auto"/>
          </w:tcPr>
          <w:p w14:paraId="1F38D8B3" w14:textId="3B437C7C" w:rsidR="00111D2A" w:rsidRDefault="00217CA7" w:rsidP="00217CA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96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</w:t>
            </w:r>
            <w:r>
              <w:rPr>
                <w:rFonts w:ascii="Arial" w:hAnsi="Arial" w:cs="Arial"/>
                <w:sz w:val="20"/>
                <w:lang w:eastAsia="ko-KR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14:paraId="62DE120F" w14:textId="0C6D09B6" w:rsidR="00111D2A" w:rsidRPr="00217CA7" w:rsidRDefault="00217CA7" w:rsidP="00217C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terms HDR and LDR are used. Change them to Rate 0 and Rate 1 which allows the possibility of extending the rate set in future </w:t>
            </w:r>
            <w:proofErr w:type="spellStart"/>
            <w:r>
              <w:rPr>
                <w:rFonts w:ascii="Arial" w:hAnsi="Arial" w:cs="Arial"/>
                <w:sz w:val="20"/>
              </w:rPr>
              <w:t>ammendments</w:t>
            </w:r>
            <w:proofErr w:type="spellEnd"/>
            <w:r>
              <w:rPr>
                <w:rFonts w:ascii="Arial" w:hAnsi="Arial" w:cs="Arial"/>
                <w:sz w:val="20"/>
              </w:rPr>
              <w:t>. The current specification does not allow for future extensibility</w:t>
            </w:r>
          </w:p>
        </w:tc>
        <w:tc>
          <w:tcPr>
            <w:tcW w:w="1800" w:type="dxa"/>
            <w:shd w:val="clear" w:color="auto" w:fill="auto"/>
          </w:tcPr>
          <w:p w14:paraId="7C67AAC7" w14:textId="4E1A46FC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name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LDR "WUR Rate 0" and the HDR "WUR Rate 1".</w:t>
            </w:r>
          </w:p>
        </w:tc>
        <w:tc>
          <w:tcPr>
            <w:tcW w:w="2693" w:type="dxa"/>
            <w:shd w:val="clear" w:color="auto" w:fill="auto"/>
          </w:tcPr>
          <w:p w14:paraId="2CB8828A" w14:textId="77777777" w:rsidR="00111D2A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3E9674EE" w14:textId="77777777" w:rsidR="00217CA7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0F3B90" w14:textId="036AE009" w:rsidR="00217CA7" w:rsidRPr="00C90165" w:rsidRDefault="00FB4319" w:rsidP="00124BA4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 xml:space="preserve"> don’t think the terms “HDR” and “LDR” is the prohibiting factor for adding new WUR data rate(s) in a future extension. However, the design of using the WUR-Sync field to indicate the WUR data rate may become a prohibiting factor for adding new rates in the future in a backward compatible way. During the early-stage of 11ba project, </w:t>
            </w: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 xml:space="preserve"> had evaluated and decided that two WUR data rates are sufficient.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 encoded binary data shall be modulated</w:t>
            </w:r>
            <w:r>
              <w:rPr>
                <w:rFonts w:ascii="Arial" w:hAnsi="Arial" w:cs="Arial"/>
                <w:sz w:val="20"/>
              </w:rPr>
              <w:br/>
              <w:t>using MC-OOK". This sentence contains normative text stating</w:t>
            </w:r>
            <w:r>
              <w:rPr>
                <w:rFonts w:ascii="Arial" w:hAnsi="Arial" w:cs="Arial"/>
                <w:sz w:val="20"/>
              </w:rPr>
              <w:br/>
              <w:t>that MC-OOK shall be used.</w:t>
            </w:r>
            <w:r>
              <w:rPr>
                <w:rFonts w:ascii="Arial" w:hAnsi="Arial" w:cs="Arial"/>
                <w:sz w:val="20"/>
              </w:rPr>
              <w:br/>
              <w:t>However the current version of the draft does not define</w:t>
            </w:r>
            <w:r>
              <w:rPr>
                <w:rFonts w:ascii="Arial" w:hAnsi="Arial" w:cs="Arial"/>
                <w:sz w:val="20"/>
              </w:rPr>
              <w:br/>
              <w:t>MC-OOK, it only says that it is a multicarrier signal in Sect 3.2</w:t>
            </w:r>
            <w:r>
              <w:rPr>
                <w:rFonts w:ascii="Arial" w:hAnsi="Arial" w:cs="Arial"/>
                <w:sz w:val="20"/>
              </w:rPr>
              <w:br/>
              <w:t>and gives examples of how it can be constructed in Sect 31.2.8</w:t>
            </w:r>
            <w:proofErr w:type="gramStart"/>
            <w:r>
              <w:rPr>
                <w:rFonts w:ascii="Arial" w:hAnsi="Arial" w:cs="Arial"/>
                <w:sz w:val="20"/>
              </w:rPr>
              <w:t>..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text in page 98, lines 63 to 65 (Sect 31.2.8) to</w:t>
            </w:r>
            <w:r>
              <w:rPr>
                <w:rFonts w:ascii="Arial" w:hAnsi="Arial" w:cs="Arial"/>
                <w:sz w:val="20"/>
              </w:rPr>
              <w:br/>
              <w:t>"For the WUR Sync ON symbols and WUR Data MC-OOK ON</w:t>
            </w:r>
            <w:r>
              <w:rPr>
                <w:rFonts w:ascii="Arial" w:hAnsi="Arial" w:cs="Arial"/>
                <w:sz w:val="20"/>
              </w:rPr>
              <w:br/>
              <w:t>symbols (</w:t>
            </w:r>
            <w:proofErr w:type="spellStart"/>
            <w:r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SymHDROn</w:t>
            </w:r>
            <w:proofErr w:type="spellEnd"/>
            <w:r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EBF785A" w14:textId="1A1B60AA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  <w:tr w:rsidR="00111D2A" w:rsidRPr="00821890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111D2A" w:rsidRDefault="00B14065" w:rsidP="00CA6829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.2.</w:t>
            </w:r>
            <w:r w:rsidR="00CA6829">
              <w:rPr>
                <w:rFonts w:ascii="Arial" w:hAnsi="Arial" w:cs="Arial"/>
                <w:sz w:val="20"/>
                <w:lang w:eastAsia="ko-KR"/>
              </w:rPr>
              <w:t>10</w:t>
            </w:r>
            <w:r>
              <w:rPr>
                <w:rFonts w:ascii="Arial" w:hAnsi="Arial" w:cs="Arial"/>
                <w:sz w:val="20"/>
                <w:lang w:eastAsia="ko-KR"/>
              </w:rPr>
              <w:t>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back the following definition of MC-OOK from D1.0 to P84L46 of D2.0:"The MC-OOK ON symbol (</w:t>
            </w:r>
            <w:proofErr w:type="spellStart"/>
            <w:r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subcarrier being null. The other coefficients are selected from BPSK, QPSK, 16-QAM, 64-QAM, or 256-QAM. Indices for contiguous 13 subcarriers are from -6 to 6." or change "can be" to "is" in the Mathematical </w:t>
            </w:r>
            <w:proofErr w:type="spellStart"/>
            <w:r>
              <w:rPr>
                <w:rFonts w:ascii="Arial" w:hAnsi="Arial" w:cs="Arial"/>
                <w:sz w:val="20"/>
              </w:rPr>
              <w:t>descripsions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7BB53AFC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2A4DF7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1EA7AF" w14:textId="10A10264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Change “can be” to “shall be”</w:t>
            </w:r>
            <w:r w:rsidR="00F05A57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in 98.63 </w:t>
            </w:r>
            <w:r w:rsidR="00F05A57">
              <w:rPr>
                <w:rFonts w:ascii="Arial" w:hAnsi="Arial" w:cs="Arial"/>
                <w:sz w:val="20"/>
                <w:lang w:eastAsia="ko-KR"/>
              </w:rPr>
              <w:t>and add back the definition of MC-OOK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 in section 31.2.10.2</w:t>
            </w:r>
            <w:r w:rsidR="00F05A57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4513C65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3B4A25A" w14:textId="6C1F663C" w:rsidR="00111D2A" w:rsidRDefault="00111D2A" w:rsidP="00CF7646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 w:rsidR="00683CF9"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 w:rsidR="009544A9">
              <w:rPr>
                <w:rFonts w:ascii="Arial" w:hAnsi="Arial" w:cs="Arial"/>
                <w:sz w:val="20"/>
                <w:lang w:eastAsia="ko-KR"/>
              </w:rPr>
              <w:t>r</w:t>
            </w:r>
            <w:bookmarkStart w:id="0" w:name="_GoBack"/>
            <w:bookmarkEnd w:id="0"/>
            <w:r w:rsidR="009544A9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4DAC85FE" w14:textId="77777777" w:rsidTr="00417E29">
        <w:trPr>
          <w:trHeight w:val="749"/>
        </w:trPr>
        <w:tc>
          <w:tcPr>
            <w:tcW w:w="735" w:type="dxa"/>
            <w:shd w:val="clear" w:color="auto" w:fill="auto"/>
          </w:tcPr>
          <w:p w14:paraId="5C359796" w14:textId="335F3F5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2564</w:t>
            </w:r>
          </w:p>
        </w:tc>
        <w:tc>
          <w:tcPr>
            <w:tcW w:w="1440" w:type="dxa"/>
            <w:shd w:val="clear" w:color="auto" w:fill="auto"/>
          </w:tcPr>
          <w:p w14:paraId="0F054D88" w14:textId="6287A4A1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97C0D6E" w14:textId="2AE5EE96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105.33</w:t>
            </w:r>
          </w:p>
        </w:tc>
        <w:tc>
          <w:tcPr>
            <w:tcW w:w="2509" w:type="dxa"/>
            <w:shd w:val="clear" w:color="auto" w:fill="auto"/>
          </w:tcPr>
          <w:p w14:paraId="071C298E" w14:textId="3297249B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LDR has OFF gaps of 8 microseconds which is almost a full slot. This can cause energy detect CCA to declare an empty slot and start transmission on top of the 11ba packet.</w:t>
            </w:r>
          </w:p>
        </w:tc>
        <w:tc>
          <w:tcPr>
            <w:tcW w:w="1800" w:type="dxa"/>
            <w:shd w:val="clear" w:color="auto" w:fill="auto"/>
          </w:tcPr>
          <w:p w14:paraId="5E72D1F9" w14:textId="6B6419E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D1469C" w14:textId="77777777" w:rsidR="00111D2A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188E7C02" w14:textId="77777777" w:rsidR="007D0535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EE2FCB" w14:textId="3D6B2F47" w:rsidR="007D0535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I don’</w:t>
            </w:r>
            <w:r w:rsidR="0081727B">
              <w:rPr>
                <w:rFonts w:ascii="Arial" w:hAnsi="Arial" w:cs="Arial"/>
                <w:sz w:val="20"/>
                <w:lang w:eastAsia="ko-KR"/>
              </w:rPr>
              <w:t>t see what commenter suggests. Detailed suggestion is needed.</w:t>
            </w:r>
          </w:p>
        </w:tc>
      </w:tr>
      <w:tr w:rsidR="00111D2A" w:rsidRPr="00821890" w14:paraId="6C46AE2B" w14:textId="77777777" w:rsidTr="00417E29">
        <w:trPr>
          <w:trHeight w:val="70"/>
        </w:trPr>
        <w:tc>
          <w:tcPr>
            <w:tcW w:w="735" w:type="dxa"/>
            <w:shd w:val="clear" w:color="auto" w:fill="auto"/>
          </w:tcPr>
          <w:p w14:paraId="73D1A960" w14:textId="4EE9A5AB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2632</w:t>
            </w:r>
          </w:p>
        </w:tc>
        <w:tc>
          <w:tcPr>
            <w:tcW w:w="1440" w:type="dxa"/>
            <w:shd w:val="clear" w:color="auto" w:fill="auto"/>
          </w:tcPr>
          <w:p w14:paraId="4D5BC528" w14:textId="7D1E384B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4A75DFB" w14:textId="2549FDD8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105.36</w:t>
            </w:r>
          </w:p>
        </w:tc>
        <w:tc>
          <w:tcPr>
            <w:tcW w:w="2509" w:type="dxa"/>
            <w:shd w:val="clear" w:color="auto" w:fill="auto"/>
          </w:tcPr>
          <w:p w14:paraId="33CD46D8" w14:textId="1B2E2DE5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4us and 2us should be 4ms and 2ms, respectively.</w:t>
            </w:r>
          </w:p>
        </w:tc>
        <w:tc>
          <w:tcPr>
            <w:tcW w:w="1800" w:type="dxa"/>
            <w:shd w:val="clear" w:color="auto" w:fill="auto"/>
          </w:tcPr>
          <w:p w14:paraId="65238C15" w14:textId="0ED602C9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D974AC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01C54E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9F162D4" w14:textId="4086AA3B" w:rsidR="00111D2A" w:rsidRDefault="00F05A5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Change us to </w:t>
            </w:r>
            <w:proofErr w:type="spellStart"/>
            <w:r>
              <w:rPr>
                <w:rStyle w:val="SC12204806"/>
              </w:rPr>
              <w:t>μs</w:t>
            </w:r>
            <w:proofErr w:type="spellEnd"/>
            <w:r w:rsidR="00111D2A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1C693B1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FC1E3A3" w14:textId="605788E7" w:rsidR="00111D2A" w:rsidRDefault="00F05A57" w:rsidP="00CF7646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 w:rsidR="009544A9">
              <w:rPr>
                <w:rFonts w:ascii="Arial" w:hAnsi="Arial" w:cs="Arial"/>
                <w:sz w:val="20"/>
                <w:lang w:eastAsia="ko-KR"/>
              </w:rPr>
              <w:t>r1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4D9AA24" w14:textId="77777777" w:rsidR="00485746" w:rsidRDefault="00485746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6A77C0E" w14:textId="58E49F93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98.63 of D2.0</w:t>
      </w:r>
      <w:r w:rsidRPr="00DC2DF7">
        <w:rPr>
          <w:i/>
          <w:szCs w:val="22"/>
          <w:highlight w:val="yellow"/>
        </w:rPr>
        <w:t>:</w:t>
      </w:r>
    </w:p>
    <w:p w14:paraId="6E179EED" w14:textId="443783BE" w:rsidR="00F05A57" w:rsidRPr="00F05A57" w:rsidRDefault="00F05A57" w:rsidP="007D053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>For the WUR-Sync ON symbols and WUR-Data MC-OOK ON symbols (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), the baseband signal </w:t>
      </w:r>
      <w:proofErr w:type="spellStart"/>
      <w:r w:rsidRPr="007D0535">
        <w:rPr>
          <w:rStyle w:val="SC13204878"/>
          <w:strike/>
          <w:color w:val="FF0000"/>
        </w:rPr>
        <w:t>can</w:t>
      </w:r>
      <w:r w:rsidR="007D0535" w:rsidRPr="00901620">
        <w:rPr>
          <w:rStyle w:val="SC13204878"/>
          <w:color w:val="FF0000"/>
          <w:u w:val="single"/>
        </w:rPr>
        <w:t>shall</w:t>
      </w:r>
      <w:proofErr w:type="spellEnd"/>
      <w:r>
        <w:rPr>
          <w:rStyle w:val="SC13204878"/>
        </w:rPr>
        <w:t xml:space="preserve"> be </w:t>
      </w:r>
      <w:r w:rsidRPr="007D0535">
        <w:rPr>
          <w:rStyle w:val="SC13204878"/>
          <w:strike/>
          <w:color w:val="FF0000"/>
        </w:rPr>
        <w:t>obtained by taking the Inverse Discrete Fourier Tran</w:t>
      </w:r>
      <w:r w:rsidR="007D0535">
        <w:rPr>
          <w:rStyle w:val="SC13204878"/>
          <w:strike/>
          <w:color w:val="FF0000"/>
        </w:rPr>
        <w:t xml:space="preserve">sform (IDFT) as described </w:t>
      </w:r>
      <w:proofErr w:type="spellStart"/>
      <w:r w:rsidR="007D0535" w:rsidRPr="00901620">
        <w:rPr>
          <w:rStyle w:val="SC13204878"/>
          <w:strike/>
          <w:color w:val="FF0000"/>
        </w:rPr>
        <w:t>below</w:t>
      </w:r>
      <w:r w:rsidR="004215F4">
        <w:rPr>
          <w:rStyle w:val="SC13204878"/>
          <w:color w:val="FF0000"/>
          <w:u w:val="single"/>
        </w:rPr>
        <w:t>as</w:t>
      </w:r>
      <w:proofErr w:type="spellEnd"/>
      <w:r w:rsidR="004215F4">
        <w:rPr>
          <w:rStyle w:val="SC13204878"/>
          <w:color w:val="FF0000"/>
          <w:u w:val="single"/>
        </w:rPr>
        <w:t xml:space="preserve"> specif</w:t>
      </w:r>
      <w:r w:rsidR="007D0535" w:rsidRPr="00901620">
        <w:rPr>
          <w:rStyle w:val="SC13204878"/>
          <w:color w:val="FF0000"/>
          <w:u w:val="single"/>
        </w:rPr>
        <w:t xml:space="preserve">ied in </w:t>
      </w:r>
      <w:proofErr w:type="spellStart"/>
      <w:r w:rsidR="007D0535" w:rsidRPr="00901620">
        <w:rPr>
          <w:rStyle w:val="SC13204878"/>
          <w:color w:val="FF0000"/>
          <w:u w:val="single"/>
        </w:rPr>
        <w:t>Equatin</w:t>
      </w:r>
      <w:proofErr w:type="spellEnd"/>
      <w:r w:rsidR="007D0535" w:rsidRPr="00901620">
        <w:rPr>
          <w:rStyle w:val="SC13204878"/>
          <w:color w:val="FF0000"/>
          <w:u w:val="single"/>
        </w:rPr>
        <w:t xml:space="preserve"> (31-3)</w:t>
      </w:r>
      <w:r w:rsidR="007D0535" w:rsidRPr="007D0535">
        <w:rPr>
          <w:rStyle w:val="SC13204878"/>
          <w:color w:val="000000" w:themeColor="text1"/>
        </w:rPr>
        <w:t>.</w:t>
      </w:r>
      <w:r w:rsidR="007D0535">
        <w:rPr>
          <w:rStyle w:val="SC13204878"/>
          <w:color w:val="000000" w:themeColor="text1"/>
        </w:rPr>
        <w:t xml:space="preserve"> (#2424)(#2491)</w:t>
      </w:r>
    </w:p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D60F108" w14:textId="62E72483" w:rsidR="00485746" w:rsidRDefault="00485746" w:rsidP="0048574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111D2A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</w:t>
      </w:r>
      <w:r w:rsidR="001101CE">
        <w:rPr>
          <w:i/>
          <w:szCs w:val="22"/>
          <w:highlight w:val="yellow"/>
        </w:rPr>
        <w:t xml:space="preserve">in </w:t>
      </w:r>
      <w:r w:rsidR="00683CF9">
        <w:rPr>
          <w:i/>
          <w:szCs w:val="22"/>
          <w:highlight w:val="yellow"/>
        </w:rPr>
        <w:t>31</w:t>
      </w:r>
      <w:r w:rsidR="00AF5C62">
        <w:rPr>
          <w:i/>
          <w:szCs w:val="22"/>
          <w:highlight w:val="yellow"/>
        </w:rPr>
        <w:t>.2.</w:t>
      </w:r>
      <w:r w:rsidR="00683CF9">
        <w:rPr>
          <w:i/>
          <w:szCs w:val="22"/>
          <w:highlight w:val="yellow"/>
        </w:rPr>
        <w:t>10</w:t>
      </w:r>
      <w:r w:rsidR="00AF5C62">
        <w:rPr>
          <w:i/>
          <w:szCs w:val="22"/>
          <w:highlight w:val="yellow"/>
        </w:rPr>
        <w:t>.2 WUR-Data field for</w:t>
      </w:r>
      <w:r w:rsidR="00683CF9">
        <w:rPr>
          <w:i/>
          <w:szCs w:val="22"/>
          <w:highlight w:val="yellow"/>
        </w:rPr>
        <w:t xml:space="preserve"> l</w:t>
      </w:r>
      <w:r w:rsidR="00AF5C62">
        <w:rPr>
          <w:i/>
          <w:szCs w:val="22"/>
          <w:highlight w:val="yellow"/>
        </w:rPr>
        <w:t xml:space="preserve">ow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and </w:t>
      </w:r>
      <w:r w:rsidR="00683CF9">
        <w:rPr>
          <w:i/>
          <w:szCs w:val="22"/>
          <w:highlight w:val="yellow"/>
        </w:rPr>
        <w:t>h</w:t>
      </w:r>
      <w:r w:rsidR="00AF5C62">
        <w:rPr>
          <w:i/>
          <w:szCs w:val="22"/>
          <w:highlight w:val="yellow"/>
        </w:rPr>
        <w:t xml:space="preserve">igh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</w:t>
      </w:r>
      <w:r>
        <w:rPr>
          <w:i/>
          <w:szCs w:val="22"/>
          <w:highlight w:val="yellow"/>
        </w:rPr>
        <w:t>of D</w:t>
      </w:r>
      <w:r w:rsidR="00683CF9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.0</w:t>
      </w:r>
      <w:r w:rsidRPr="00DC2DF7">
        <w:rPr>
          <w:i/>
          <w:szCs w:val="22"/>
          <w:highlight w:val="yellow"/>
        </w:rPr>
        <w:t>:</w:t>
      </w:r>
    </w:p>
    <w:p w14:paraId="7C6E1A0C" w14:textId="537C17A7" w:rsidR="00F05A57" w:rsidRDefault="00F05A57" w:rsidP="00F05A57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26EA3CC4" w14:textId="77777777" w:rsidR="00F05A57" w:rsidRPr="00F05A57" w:rsidRDefault="00F05A57" w:rsidP="00F05A57">
      <w:pPr>
        <w:jc w:val="both"/>
        <w:rPr>
          <w:rStyle w:val="SC13204878"/>
        </w:rPr>
      </w:pPr>
    </w:p>
    <w:p w14:paraId="0329EF2B" w14:textId="5A283889" w:rsidR="00F05A57" w:rsidRPr="00F05A57" w:rsidRDefault="00F05A57" w:rsidP="00F05A57">
      <w:pPr>
        <w:jc w:val="both"/>
        <w:rPr>
          <w:rStyle w:val="SC12204878"/>
          <w:color w:val="FF0000"/>
        </w:rPr>
      </w:pPr>
      <w:proofErr w:type="spellStart"/>
      <w:r w:rsidRPr="00901620">
        <w:rPr>
          <w:color w:val="FF0000"/>
          <w:sz w:val="20"/>
          <w:u w:val="single"/>
        </w:rPr>
        <w:t>SymLDROn</w:t>
      </w:r>
      <w:proofErr w:type="spellEnd"/>
      <w:r w:rsidRPr="00901620">
        <w:rPr>
          <w:color w:val="FF0000"/>
          <w:sz w:val="20"/>
          <w:u w:val="single"/>
        </w:rPr>
        <w:t xml:space="preserve"> is generated by using contiguous 13 subcarriers with a subcarrier spacing of 312.5 kHz and the </w:t>
      </w:r>
      <w:proofErr w:type="spellStart"/>
      <w:r w:rsidRPr="00901620">
        <w:rPr>
          <w:color w:val="FF0000"/>
          <w:sz w:val="20"/>
          <w:u w:val="single"/>
        </w:rPr>
        <w:t>center</w:t>
      </w:r>
      <w:proofErr w:type="spellEnd"/>
      <w:r w:rsidRPr="00901620">
        <w:rPr>
          <w:color w:val="FF0000"/>
          <w:sz w:val="20"/>
          <w:u w:val="single"/>
        </w:rPr>
        <w:t xml:space="preserve"> subcarrier being null. The other coefficients are selected from BPSK, QPSK, 16-QAM, 64-QAM, or 256-QAM. Indices for contiguous 13 subcarriers are from -6 to 6</w:t>
      </w:r>
      <w:proofErr w:type="gramStart"/>
      <w:r w:rsidRPr="00901620">
        <w:rPr>
          <w:color w:val="FF0000"/>
          <w:sz w:val="20"/>
          <w:u w:val="single"/>
        </w:rPr>
        <w:t>.</w:t>
      </w:r>
      <w:r w:rsidR="007D0535">
        <w:rPr>
          <w:rStyle w:val="SC13204878"/>
          <w:color w:val="000000" w:themeColor="text1"/>
        </w:rPr>
        <w:t>(</w:t>
      </w:r>
      <w:proofErr w:type="gramEnd"/>
      <w:r w:rsidR="007D0535">
        <w:rPr>
          <w:rStyle w:val="SC13204878"/>
          <w:color w:val="000000" w:themeColor="text1"/>
        </w:rPr>
        <w:t>#2491)</w:t>
      </w:r>
    </w:p>
    <w:sectPr w:rsidR="00F05A57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E5A71" w14:textId="77777777" w:rsidR="005A0115" w:rsidRDefault="005A0115">
      <w:r>
        <w:separator/>
      </w:r>
    </w:p>
  </w:endnote>
  <w:endnote w:type="continuationSeparator" w:id="0">
    <w:p w14:paraId="33920B23" w14:textId="77777777" w:rsidR="005A0115" w:rsidRDefault="005A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544A9">
      <w:rPr>
        <w:noProof/>
      </w:rPr>
      <w:t>4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02194" w14:textId="77777777" w:rsidR="005A0115" w:rsidRDefault="005A0115">
      <w:r>
        <w:separator/>
      </w:r>
    </w:p>
  </w:footnote>
  <w:footnote w:type="continuationSeparator" w:id="0">
    <w:p w14:paraId="27D0DA22" w14:textId="77777777" w:rsidR="005A0115" w:rsidRDefault="005A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AD1148E" w:rsidR="00D45587" w:rsidRDefault="00FB1C8F" w:rsidP="00732A32">
    <w:pPr>
      <w:pStyle w:val="a4"/>
      <w:tabs>
        <w:tab w:val="clear" w:pos="6480"/>
        <w:tab w:val="center" w:pos="4680"/>
        <w:tab w:val="right" w:pos="9360"/>
      </w:tabs>
    </w:pPr>
    <w:r>
      <w:t>March</w:t>
    </w:r>
    <w:r w:rsidR="005A0115">
      <w:fldChar w:fldCharType="begin"/>
    </w:r>
    <w:r w:rsidR="005A0115">
      <w:instrText xml:space="preserve"> KEYWORDS  \* MERGEFORMAT </w:instrText>
    </w:r>
    <w:r w:rsidR="005A0115">
      <w:fldChar w:fldCharType="separate"/>
    </w:r>
    <w:r w:rsidR="00D45587">
      <w:t xml:space="preserve"> 201</w:t>
    </w:r>
    <w:r w:rsidR="005A0115">
      <w:fldChar w:fldCharType="end"/>
    </w:r>
    <w:r>
      <w:t>9</w:t>
    </w:r>
    <w:r w:rsidR="00D45587">
      <w:tab/>
    </w:r>
    <w:r w:rsidR="00D45587">
      <w:tab/>
    </w:r>
    <w:r w:rsidR="005A0115">
      <w:fldChar w:fldCharType="begin"/>
    </w:r>
    <w:r w:rsidR="005A0115">
      <w:instrText xml:space="preserve"> TITLE  \* MERGEFORMAT </w:instrText>
    </w:r>
    <w:r w:rsidR="005A0115">
      <w:fldChar w:fldCharType="separate"/>
    </w:r>
    <w:r w:rsidR="00D45587">
      <w:t>doc.: IEEE 802.11-1</w:t>
    </w:r>
    <w:r>
      <w:t>9</w:t>
    </w:r>
    <w:r w:rsidR="00D45587">
      <w:t>/</w:t>
    </w:r>
    <w:r w:rsidR="00C37615">
      <w:t>0408</w:t>
    </w:r>
    <w:r w:rsidR="00D45587">
      <w:t>r</w:t>
    </w:r>
    <w:r w:rsidR="005A0115">
      <w:fldChar w:fldCharType="end"/>
    </w:r>
    <w:r w:rsidR="009544A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05A57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85EFCCA-533A-4CA6-A708-29FD64F2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3</cp:revision>
  <cp:lastPrinted>2016-01-08T21:12:00Z</cp:lastPrinted>
  <dcterms:created xsi:type="dcterms:W3CDTF">2019-03-11T21:23:00Z</dcterms:created>
  <dcterms:modified xsi:type="dcterms:W3CDTF">2019-03-11T21:23:00Z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