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DD6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071"/>
        <w:gridCol w:w="2291"/>
      </w:tblGrid>
      <w:tr w:rsidR="00CA09B2" w14:paraId="01B99184" w14:textId="77777777" w:rsidTr="00C042CC">
        <w:trPr>
          <w:trHeight w:val="485"/>
          <w:jc w:val="center"/>
        </w:trPr>
        <w:tc>
          <w:tcPr>
            <w:tcW w:w="9576" w:type="dxa"/>
            <w:gridSpan w:val="5"/>
            <w:vAlign w:val="center"/>
          </w:tcPr>
          <w:p w14:paraId="5232CB99" w14:textId="77777777" w:rsidR="00CA09B2" w:rsidRDefault="00C042CC">
            <w:pPr>
              <w:pStyle w:val="T2"/>
            </w:pPr>
            <w:r>
              <w:t>LB239 Radar CIDs</w:t>
            </w:r>
          </w:p>
        </w:tc>
      </w:tr>
      <w:tr w:rsidR="00CA09B2" w14:paraId="50060B7E" w14:textId="77777777" w:rsidTr="00C042CC">
        <w:trPr>
          <w:trHeight w:val="359"/>
          <w:jc w:val="center"/>
        </w:trPr>
        <w:tc>
          <w:tcPr>
            <w:tcW w:w="9576" w:type="dxa"/>
            <w:gridSpan w:val="5"/>
            <w:vAlign w:val="center"/>
          </w:tcPr>
          <w:p w14:paraId="47101BC4" w14:textId="77777777" w:rsidR="00CA09B2" w:rsidRDefault="00CA09B2">
            <w:pPr>
              <w:pStyle w:val="T2"/>
              <w:ind w:left="0"/>
              <w:rPr>
                <w:sz w:val="20"/>
              </w:rPr>
            </w:pPr>
            <w:r>
              <w:rPr>
                <w:sz w:val="20"/>
              </w:rPr>
              <w:t>Date:</w:t>
            </w:r>
            <w:r>
              <w:rPr>
                <w:b w:val="0"/>
                <w:sz w:val="20"/>
              </w:rPr>
              <w:t xml:space="preserve">  </w:t>
            </w:r>
            <w:r w:rsidR="00C042CC">
              <w:rPr>
                <w:b w:val="0"/>
                <w:sz w:val="20"/>
              </w:rPr>
              <w:t>2019-03-05</w:t>
            </w:r>
          </w:p>
        </w:tc>
      </w:tr>
      <w:tr w:rsidR="00CA09B2" w14:paraId="29CF7BC8" w14:textId="77777777" w:rsidTr="00C042CC">
        <w:trPr>
          <w:cantSplit/>
          <w:jc w:val="center"/>
        </w:trPr>
        <w:tc>
          <w:tcPr>
            <w:tcW w:w="9576" w:type="dxa"/>
            <w:gridSpan w:val="5"/>
            <w:vAlign w:val="center"/>
          </w:tcPr>
          <w:p w14:paraId="12F3B0BA" w14:textId="77777777" w:rsidR="00CA09B2" w:rsidRDefault="00CA09B2">
            <w:pPr>
              <w:pStyle w:val="T2"/>
              <w:spacing w:after="0"/>
              <w:ind w:left="0" w:right="0"/>
              <w:jc w:val="left"/>
              <w:rPr>
                <w:sz w:val="20"/>
              </w:rPr>
            </w:pPr>
            <w:r>
              <w:rPr>
                <w:sz w:val="20"/>
              </w:rPr>
              <w:t>Author(s):</w:t>
            </w:r>
          </w:p>
        </w:tc>
      </w:tr>
      <w:tr w:rsidR="00CA09B2" w14:paraId="5DEFC56F" w14:textId="77777777" w:rsidTr="00C042CC">
        <w:trPr>
          <w:jc w:val="center"/>
        </w:trPr>
        <w:tc>
          <w:tcPr>
            <w:tcW w:w="1975" w:type="dxa"/>
            <w:vAlign w:val="center"/>
          </w:tcPr>
          <w:p w14:paraId="17CC6194" w14:textId="77777777" w:rsidR="00CA09B2" w:rsidRDefault="00CA09B2">
            <w:pPr>
              <w:pStyle w:val="T2"/>
              <w:spacing w:after="0"/>
              <w:ind w:left="0" w:right="0"/>
              <w:jc w:val="left"/>
              <w:rPr>
                <w:sz w:val="20"/>
              </w:rPr>
            </w:pPr>
            <w:r>
              <w:rPr>
                <w:sz w:val="20"/>
              </w:rPr>
              <w:t>Name</w:t>
            </w:r>
          </w:p>
        </w:tc>
        <w:tc>
          <w:tcPr>
            <w:tcW w:w="1425" w:type="dxa"/>
            <w:vAlign w:val="center"/>
          </w:tcPr>
          <w:p w14:paraId="16C82DE7" w14:textId="77777777" w:rsidR="00CA09B2" w:rsidRDefault="0062440B">
            <w:pPr>
              <w:pStyle w:val="T2"/>
              <w:spacing w:after="0"/>
              <w:ind w:left="0" w:right="0"/>
              <w:jc w:val="left"/>
              <w:rPr>
                <w:sz w:val="20"/>
              </w:rPr>
            </w:pPr>
            <w:r>
              <w:rPr>
                <w:sz w:val="20"/>
              </w:rPr>
              <w:t>Affiliation</w:t>
            </w:r>
          </w:p>
        </w:tc>
        <w:tc>
          <w:tcPr>
            <w:tcW w:w="2814" w:type="dxa"/>
            <w:vAlign w:val="center"/>
          </w:tcPr>
          <w:p w14:paraId="1895C72B" w14:textId="77777777" w:rsidR="00CA09B2" w:rsidRDefault="00CA09B2">
            <w:pPr>
              <w:pStyle w:val="T2"/>
              <w:spacing w:after="0"/>
              <w:ind w:left="0" w:right="0"/>
              <w:jc w:val="left"/>
              <w:rPr>
                <w:sz w:val="20"/>
              </w:rPr>
            </w:pPr>
            <w:r>
              <w:rPr>
                <w:sz w:val="20"/>
              </w:rPr>
              <w:t>Address</w:t>
            </w:r>
          </w:p>
        </w:tc>
        <w:tc>
          <w:tcPr>
            <w:tcW w:w="1071" w:type="dxa"/>
            <w:vAlign w:val="center"/>
          </w:tcPr>
          <w:p w14:paraId="450684B4" w14:textId="77777777" w:rsidR="00CA09B2" w:rsidRDefault="00CA09B2">
            <w:pPr>
              <w:pStyle w:val="T2"/>
              <w:spacing w:after="0"/>
              <w:ind w:left="0" w:right="0"/>
              <w:jc w:val="left"/>
              <w:rPr>
                <w:sz w:val="20"/>
              </w:rPr>
            </w:pPr>
            <w:r>
              <w:rPr>
                <w:sz w:val="20"/>
              </w:rPr>
              <w:t>Phone</w:t>
            </w:r>
          </w:p>
        </w:tc>
        <w:tc>
          <w:tcPr>
            <w:tcW w:w="2291" w:type="dxa"/>
            <w:vAlign w:val="center"/>
          </w:tcPr>
          <w:p w14:paraId="261DBD31" w14:textId="77777777" w:rsidR="00CA09B2" w:rsidRDefault="00CA09B2">
            <w:pPr>
              <w:pStyle w:val="T2"/>
              <w:spacing w:after="0"/>
              <w:ind w:left="0" w:right="0"/>
              <w:jc w:val="left"/>
              <w:rPr>
                <w:sz w:val="20"/>
              </w:rPr>
            </w:pPr>
            <w:r>
              <w:rPr>
                <w:sz w:val="20"/>
              </w:rPr>
              <w:t>email</w:t>
            </w:r>
          </w:p>
        </w:tc>
      </w:tr>
      <w:tr w:rsidR="00A56077" w:rsidRPr="00067D04" w14:paraId="7128368C" w14:textId="77777777" w:rsidTr="005D7A00">
        <w:trPr>
          <w:jc w:val="center"/>
        </w:trPr>
        <w:tc>
          <w:tcPr>
            <w:tcW w:w="1975" w:type="dxa"/>
            <w:vAlign w:val="center"/>
          </w:tcPr>
          <w:p w14:paraId="52761BD9" w14:textId="77777777" w:rsidR="00A56077" w:rsidRDefault="00A56077" w:rsidP="005D7A00">
            <w:pPr>
              <w:pStyle w:val="T2"/>
              <w:spacing w:after="0"/>
              <w:ind w:left="0" w:right="0"/>
              <w:jc w:val="left"/>
              <w:rPr>
                <w:b w:val="0"/>
                <w:sz w:val="20"/>
                <w:lang w:eastAsia="zh-CN"/>
              </w:rPr>
            </w:pPr>
            <w:r>
              <w:rPr>
                <w:b w:val="0"/>
                <w:sz w:val="20"/>
                <w:lang w:eastAsia="zh-CN"/>
              </w:rPr>
              <w:t>Assaf Kasher</w:t>
            </w:r>
          </w:p>
        </w:tc>
        <w:tc>
          <w:tcPr>
            <w:tcW w:w="1425" w:type="dxa"/>
            <w:vAlign w:val="center"/>
          </w:tcPr>
          <w:p w14:paraId="18173C96" w14:textId="77777777" w:rsidR="00A56077" w:rsidRDefault="00A56077" w:rsidP="005D7A00">
            <w:pPr>
              <w:pStyle w:val="T2"/>
              <w:spacing w:after="0"/>
              <w:ind w:left="0" w:right="0"/>
              <w:rPr>
                <w:b w:val="0"/>
                <w:sz w:val="20"/>
                <w:lang w:eastAsia="zh-CN"/>
              </w:rPr>
            </w:pPr>
            <w:r>
              <w:rPr>
                <w:b w:val="0"/>
                <w:sz w:val="20"/>
                <w:lang w:eastAsia="zh-CN"/>
              </w:rPr>
              <w:t>Qualcomm</w:t>
            </w:r>
          </w:p>
        </w:tc>
        <w:tc>
          <w:tcPr>
            <w:tcW w:w="2814" w:type="dxa"/>
            <w:vAlign w:val="center"/>
          </w:tcPr>
          <w:p w14:paraId="4E7BF76B" w14:textId="77777777" w:rsidR="00A56077" w:rsidRDefault="00A56077" w:rsidP="005D7A00">
            <w:pPr>
              <w:pStyle w:val="T2"/>
              <w:spacing w:after="0"/>
              <w:ind w:left="0" w:right="0"/>
              <w:rPr>
                <w:b w:val="0"/>
                <w:sz w:val="20"/>
              </w:rPr>
            </w:pPr>
          </w:p>
        </w:tc>
        <w:tc>
          <w:tcPr>
            <w:tcW w:w="1071" w:type="dxa"/>
            <w:vAlign w:val="center"/>
          </w:tcPr>
          <w:p w14:paraId="04CFB52B" w14:textId="77777777" w:rsidR="00A56077" w:rsidRDefault="00A56077" w:rsidP="005D7A00">
            <w:pPr>
              <w:pStyle w:val="T2"/>
              <w:spacing w:after="0"/>
              <w:ind w:left="0" w:right="0"/>
              <w:rPr>
                <w:b w:val="0"/>
                <w:sz w:val="20"/>
              </w:rPr>
            </w:pPr>
          </w:p>
        </w:tc>
        <w:tc>
          <w:tcPr>
            <w:tcW w:w="2291" w:type="dxa"/>
            <w:vAlign w:val="center"/>
          </w:tcPr>
          <w:p w14:paraId="2F65D850" w14:textId="77777777" w:rsidR="00A56077" w:rsidRPr="00067D04" w:rsidRDefault="00A56077" w:rsidP="005D7A00">
            <w:pPr>
              <w:pStyle w:val="T2"/>
              <w:spacing w:after="0"/>
              <w:ind w:left="0" w:right="0"/>
              <w:jc w:val="left"/>
              <w:rPr>
                <w:sz w:val="16"/>
                <w:lang w:eastAsia="zh-CN"/>
              </w:rPr>
            </w:pPr>
            <w:r>
              <w:rPr>
                <w:sz w:val="16"/>
                <w:lang w:eastAsia="zh-CN"/>
              </w:rPr>
              <w:t>akasher@qti.qualcomm.com</w:t>
            </w:r>
          </w:p>
        </w:tc>
      </w:tr>
      <w:tr w:rsidR="00C042CC" w14:paraId="502A51F9" w14:textId="77777777" w:rsidTr="00C042CC">
        <w:trPr>
          <w:jc w:val="center"/>
        </w:trPr>
        <w:tc>
          <w:tcPr>
            <w:tcW w:w="1975" w:type="dxa"/>
            <w:vAlign w:val="center"/>
          </w:tcPr>
          <w:p w14:paraId="2EC18F9F" w14:textId="77777777" w:rsidR="00C042CC" w:rsidRDefault="00C042CC" w:rsidP="00C042CC">
            <w:pPr>
              <w:pStyle w:val="T2"/>
              <w:spacing w:after="0"/>
              <w:ind w:left="0" w:right="0"/>
              <w:jc w:val="left"/>
              <w:rPr>
                <w:b w:val="0"/>
                <w:sz w:val="20"/>
              </w:rPr>
            </w:pPr>
            <w:r>
              <w:rPr>
                <w:b w:val="0"/>
                <w:sz w:val="20"/>
              </w:rPr>
              <w:t>Alecsander Eitan</w:t>
            </w:r>
          </w:p>
        </w:tc>
        <w:tc>
          <w:tcPr>
            <w:tcW w:w="1425" w:type="dxa"/>
            <w:vAlign w:val="center"/>
          </w:tcPr>
          <w:p w14:paraId="52AF9CDA" w14:textId="77777777" w:rsidR="00C042CC" w:rsidRDefault="00C042CC" w:rsidP="00C042CC">
            <w:pPr>
              <w:pStyle w:val="T2"/>
              <w:spacing w:after="0"/>
              <w:ind w:left="0" w:right="0"/>
              <w:rPr>
                <w:b w:val="0"/>
                <w:sz w:val="20"/>
              </w:rPr>
            </w:pPr>
            <w:r>
              <w:rPr>
                <w:b w:val="0"/>
                <w:sz w:val="20"/>
              </w:rPr>
              <w:t>Qualcomm</w:t>
            </w:r>
          </w:p>
        </w:tc>
        <w:tc>
          <w:tcPr>
            <w:tcW w:w="2814" w:type="dxa"/>
            <w:vAlign w:val="center"/>
          </w:tcPr>
          <w:p w14:paraId="36214C16" w14:textId="77777777" w:rsidR="00C042CC" w:rsidRDefault="00C042CC" w:rsidP="00C042CC">
            <w:pPr>
              <w:pStyle w:val="T2"/>
              <w:spacing w:after="0"/>
              <w:ind w:left="0" w:right="0"/>
              <w:rPr>
                <w:b w:val="0"/>
                <w:sz w:val="20"/>
              </w:rPr>
            </w:pPr>
          </w:p>
        </w:tc>
        <w:tc>
          <w:tcPr>
            <w:tcW w:w="1071" w:type="dxa"/>
            <w:vAlign w:val="center"/>
          </w:tcPr>
          <w:p w14:paraId="3670A941" w14:textId="77777777" w:rsidR="00C042CC" w:rsidRDefault="00C042CC" w:rsidP="00C042CC">
            <w:pPr>
              <w:pStyle w:val="T2"/>
              <w:spacing w:after="0"/>
              <w:ind w:left="0" w:right="0"/>
              <w:rPr>
                <w:b w:val="0"/>
                <w:sz w:val="20"/>
              </w:rPr>
            </w:pPr>
          </w:p>
        </w:tc>
        <w:tc>
          <w:tcPr>
            <w:tcW w:w="2291" w:type="dxa"/>
            <w:vAlign w:val="center"/>
          </w:tcPr>
          <w:p w14:paraId="1B1A0479" w14:textId="77777777" w:rsidR="00C042CC" w:rsidRDefault="00C042CC" w:rsidP="00C042CC">
            <w:pPr>
              <w:pStyle w:val="T2"/>
              <w:spacing w:after="0"/>
              <w:ind w:left="0" w:right="0"/>
              <w:jc w:val="left"/>
              <w:rPr>
                <w:b w:val="0"/>
                <w:sz w:val="16"/>
              </w:rPr>
            </w:pPr>
            <w:r>
              <w:rPr>
                <w:sz w:val="16"/>
                <w:lang w:eastAsia="zh-CN"/>
              </w:rPr>
              <w:t>eitana</w:t>
            </w:r>
            <w:r w:rsidRPr="00067D04">
              <w:rPr>
                <w:sz w:val="16"/>
                <w:lang w:eastAsia="zh-CN"/>
              </w:rPr>
              <w:t>@qti.qualcomm.com</w:t>
            </w:r>
          </w:p>
        </w:tc>
      </w:tr>
      <w:tr w:rsidR="00C042CC" w14:paraId="03F7F222" w14:textId="77777777" w:rsidTr="00C042CC">
        <w:trPr>
          <w:jc w:val="center"/>
        </w:trPr>
        <w:tc>
          <w:tcPr>
            <w:tcW w:w="1975" w:type="dxa"/>
            <w:vAlign w:val="center"/>
          </w:tcPr>
          <w:p w14:paraId="0297AA42" w14:textId="77777777" w:rsidR="00C042CC" w:rsidRDefault="00C042CC" w:rsidP="00C042CC">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25" w:type="dxa"/>
            <w:vAlign w:val="center"/>
          </w:tcPr>
          <w:p w14:paraId="0F6B4F91" w14:textId="77777777" w:rsidR="00C042CC" w:rsidRDefault="00C042CC" w:rsidP="00C042CC">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22D819E3" w14:textId="77777777" w:rsidR="00C042CC" w:rsidRDefault="00C042CC" w:rsidP="00C042CC">
            <w:pPr>
              <w:pStyle w:val="T2"/>
              <w:spacing w:after="0"/>
              <w:ind w:left="0" w:right="0"/>
              <w:rPr>
                <w:b w:val="0"/>
                <w:sz w:val="20"/>
              </w:rPr>
            </w:pPr>
          </w:p>
        </w:tc>
        <w:tc>
          <w:tcPr>
            <w:tcW w:w="1071" w:type="dxa"/>
            <w:vAlign w:val="center"/>
          </w:tcPr>
          <w:p w14:paraId="5765EA63" w14:textId="77777777" w:rsidR="00C042CC" w:rsidRDefault="00C042CC" w:rsidP="00C042CC">
            <w:pPr>
              <w:pStyle w:val="T2"/>
              <w:spacing w:after="0"/>
              <w:ind w:left="0" w:right="0"/>
              <w:rPr>
                <w:b w:val="0"/>
                <w:sz w:val="20"/>
              </w:rPr>
            </w:pPr>
          </w:p>
        </w:tc>
        <w:tc>
          <w:tcPr>
            <w:tcW w:w="2291" w:type="dxa"/>
            <w:vAlign w:val="center"/>
          </w:tcPr>
          <w:p w14:paraId="7BDDB865" w14:textId="77777777" w:rsidR="00C042CC" w:rsidRDefault="00C042CC" w:rsidP="00C042CC">
            <w:pPr>
              <w:pStyle w:val="T2"/>
              <w:spacing w:after="0"/>
              <w:ind w:left="0" w:right="0"/>
              <w:jc w:val="left"/>
              <w:rPr>
                <w:sz w:val="16"/>
                <w:lang w:eastAsia="zh-CN"/>
              </w:rPr>
            </w:pPr>
            <w:r w:rsidRPr="00067D04">
              <w:rPr>
                <w:sz w:val="16"/>
                <w:lang w:eastAsia="zh-CN"/>
              </w:rPr>
              <w:t>strainin@qti.qualcomm.com</w:t>
            </w:r>
          </w:p>
        </w:tc>
      </w:tr>
      <w:tr w:rsidR="002A48C3" w14:paraId="54379D0C" w14:textId="77777777" w:rsidTr="00C042CC">
        <w:trPr>
          <w:jc w:val="center"/>
        </w:trPr>
        <w:tc>
          <w:tcPr>
            <w:tcW w:w="1975" w:type="dxa"/>
            <w:vAlign w:val="center"/>
          </w:tcPr>
          <w:p w14:paraId="6E4B5936" w14:textId="3ADB63B3" w:rsidR="002A48C3" w:rsidRDefault="002A48C3" w:rsidP="00C042CC">
            <w:pPr>
              <w:pStyle w:val="T2"/>
              <w:spacing w:after="0"/>
              <w:ind w:left="0" w:right="0"/>
              <w:jc w:val="left"/>
              <w:rPr>
                <w:rFonts w:hint="eastAsia"/>
                <w:b w:val="0"/>
                <w:sz w:val="20"/>
                <w:lang w:eastAsia="zh-CN"/>
              </w:rPr>
            </w:pPr>
            <w:r>
              <w:rPr>
                <w:b w:val="0"/>
                <w:sz w:val="20"/>
                <w:lang w:eastAsia="zh-CN"/>
              </w:rPr>
              <w:t>Carlos Cordeiro</w:t>
            </w:r>
          </w:p>
        </w:tc>
        <w:tc>
          <w:tcPr>
            <w:tcW w:w="1425" w:type="dxa"/>
            <w:vAlign w:val="center"/>
          </w:tcPr>
          <w:p w14:paraId="5BAA5BA9" w14:textId="60DEA147" w:rsidR="002A48C3" w:rsidRDefault="002A48C3" w:rsidP="00C042CC">
            <w:pPr>
              <w:pStyle w:val="T2"/>
              <w:spacing w:after="0"/>
              <w:ind w:left="0" w:right="0"/>
              <w:rPr>
                <w:rFonts w:hint="eastAsia"/>
                <w:b w:val="0"/>
                <w:sz w:val="20"/>
                <w:lang w:eastAsia="zh-CN"/>
              </w:rPr>
            </w:pPr>
            <w:r>
              <w:rPr>
                <w:b w:val="0"/>
                <w:sz w:val="20"/>
                <w:lang w:eastAsia="zh-CN"/>
              </w:rPr>
              <w:t>Intel</w:t>
            </w:r>
          </w:p>
        </w:tc>
        <w:tc>
          <w:tcPr>
            <w:tcW w:w="2814" w:type="dxa"/>
            <w:vAlign w:val="center"/>
          </w:tcPr>
          <w:p w14:paraId="318B43BA" w14:textId="77777777" w:rsidR="002A48C3" w:rsidRDefault="002A48C3" w:rsidP="00C042CC">
            <w:pPr>
              <w:pStyle w:val="T2"/>
              <w:spacing w:after="0"/>
              <w:ind w:left="0" w:right="0"/>
              <w:rPr>
                <w:b w:val="0"/>
                <w:sz w:val="20"/>
              </w:rPr>
            </w:pPr>
          </w:p>
        </w:tc>
        <w:tc>
          <w:tcPr>
            <w:tcW w:w="1071" w:type="dxa"/>
            <w:vAlign w:val="center"/>
          </w:tcPr>
          <w:p w14:paraId="46B20E89" w14:textId="77777777" w:rsidR="002A48C3" w:rsidRDefault="002A48C3" w:rsidP="00C042CC">
            <w:pPr>
              <w:pStyle w:val="T2"/>
              <w:spacing w:after="0"/>
              <w:ind w:left="0" w:right="0"/>
              <w:rPr>
                <w:b w:val="0"/>
                <w:sz w:val="20"/>
              </w:rPr>
            </w:pPr>
          </w:p>
        </w:tc>
        <w:tc>
          <w:tcPr>
            <w:tcW w:w="2291" w:type="dxa"/>
            <w:vAlign w:val="center"/>
          </w:tcPr>
          <w:p w14:paraId="37E4810D" w14:textId="0BC1852E" w:rsidR="002A48C3" w:rsidRPr="00067D04" w:rsidRDefault="002A48C3" w:rsidP="00C042CC">
            <w:pPr>
              <w:pStyle w:val="T2"/>
              <w:spacing w:after="0"/>
              <w:ind w:left="0" w:right="0"/>
              <w:jc w:val="left"/>
              <w:rPr>
                <w:sz w:val="16"/>
                <w:lang w:eastAsia="zh-CN"/>
              </w:rPr>
            </w:pPr>
            <w:r>
              <w:rPr>
                <w:sz w:val="16"/>
                <w:lang w:eastAsia="zh-CN"/>
              </w:rPr>
              <w:t>carlos.cordeiro@intel.com</w:t>
            </w:r>
            <w:bookmarkStart w:id="0" w:name="_GoBack"/>
            <w:bookmarkEnd w:id="0"/>
          </w:p>
        </w:tc>
      </w:tr>
    </w:tbl>
    <w:p w14:paraId="5A10A425" w14:textId="77777777"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0B71310" wp14:editId="6A633C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ED332" w14:textId="77777777" w:rsidR="0029020B" w:rsidRDefault="0029020B">
                            <w:pPr>
                              <w:pStyle w:val="T1"/>
                              <w:spacing w:after="120"/>
                            </w:pPr>
                            <w:r>
                              <w:t>Abstract</w:t>
                            </w:r>
                          </w:p>
                          <w:p w14:paraId="7688D2A4" w14:textId="1FD37182" w:rsidR="0029020B" w:rsidRDefault="00544F8F">
                            <w:pPr>
                              <w:jc w:val="both"/>
                            </w:pPr>
                            <w:r>
                              <w:t>This document proposes resolution to several CIDS related to radar.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713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1CED332" w14:textId="77777777" w:rsidR="0029020B" w:rsidRDefault="0029020B">
                      <w:pPr>
                        <w:pStyle w:val="T1"/>
                        <w:spacing w:after="120"/>
                      </w:pPr>
                      <w:r>
                        <w:t>Abstract</w:t>
                      </w:r>
                    </w:p>
                    <w:p w14:paraId="7688D2A4" w14:textId="1FD37182" w:rsidR="0029020B" w:rsidRDefault="00544F8F">
                      <w:pPr>
                        <w:jc w:val="both"/>
                      </w:pPr>
                      <w:r>
                        <w:t>This document proposes resolution to several CIDS related to radar.</w:t>
                      </w:r>
                    </w:p>
                  </w:txbxContent>
                </v:textbox>
              </v:shape>
            </w:pict>
          </mc:Fallback>
        </mc:AlternateContent>
      </w:r>
    </w:p>
    <w:p w14:paraId="4B75F635" w14:textId="77777777" w:rsidR="00CA09B2" w:rsidRDefault="00CA09B2" w:rsidP="00C042CC">
      <w:r>
        <w:br w:type="page"/>
      </w:r>
    </w:p>
    <w:tbl>
      <w:tblPr>
        <w:tblStyle w:val="TableGrid"/>
        <w:tblW w:w="0" w:type="auto"/>
        <w:tblLook w:val="04A0" w:firstRow="1" w:lastRow="0" w:firstColumn="1" w:lastColumn="0" w:noHBand="0" w:noVBand="1"/>
      </w:tblPr>
      <w:tblGrid>
        <w:gridCol w:w="656"/>
        <w:gridCol w:w="920"/>
        <w:gridCol w:w="920"/>
        <w:gridCol w:w="2700"/>
        <w:gridCol w:w="2700"/>
      </w:tblGrid>
      <w:tr w:rsidR="00C042CC" w:rsidRPr="00C042CC" w14:paraId="10F819F3" w14:textId="77777777" w:rsidTr="00C042CC">
        <w:trPr>
          <w:trHeight w:val="600"/>
        </w:trPr>
        <w:tc>
          <w:tcPr>
            <w:tcW w:w="600" w:type="dxa"/>
            <w:hideMark/>
          </w:tcPr>
          <w:p w14:paraId="07733622" w14:textId="77777777" w:rsidR="00C042CC" w:rsidRPr="00C042CC" w:rsidRDefault="00C042CC" w:rsidP="00C042CC">
            <w:pPr>
              <w:rPr>
                <w:lang w:val="en-US"/>
              </w:rPr>
            </w:pPr>
            <w:r w:rsidRPr="00C042CC">
              <w:lastRenderedPageBreak/>
              <w:t>4078</w:t>
            </w:r>
          </w:p>
        </w:tc>
        <w:tc>
          <w:tcPr>
            <w:tcW w:w="920" w:type="dxa"/>
            <w:hideMark/>
          </w:tcPr>
          <w:p w14:paraId="69F078E3" w14:textId="77777777" w:rsidR="00C042CC" w:rsidRPr="00C042CC" w:rsidRDefault="00C042CC" w:rsidP="00C042CC"/>
        </w:tc>
        <w:tc>
          <w:tcPr>
            <w:tcW w:w="920" w:type="dxa"/>
            <w:hideMark/>
          </w:tcPr>
          <w:p w14:paraId="495A81B1" w14:textId="77777777" w:rsidR="00C042CC" w:rsidRPr="00C042CC" w:rsidRDefault="00C042CC" w:rsidP="00C042CC"/>
        </w:tc>
        <w:tc>
          <w:tcPr>
            <w:tcW w:w="2700" w:type="dxa"/>
            <w:hideMark/>
          </w:tcPr>
          <w:p w14:paraId="302E4C5A" w14:textId="77777777" w:rsidR="00C042CC" w:rsidRPr="00C042CC" w:rsidRDefault="00C042CC" w:rsidP="00C042CC">
            <w:r w:rsidRPr="00C042CC">
              <w:t xml:space="preserve">RADAR is an acronym and should be </w:t>
            </w:r>
            <w:proofErr w:type="spellStart"/>
            <w:r w:rsidRPr="00C042CC">
              <w:t>capatlized</w:t>
            </w:r>
            <w:proofErr w:type="spellEnd"/>
          </w:p>
        </w:tc>
        <w:tc>
          <w:tcPr>
            <w:tcW w:w="2700" w:type="dxa"/>
            <w:hideMark/>
          </w:tcPr>
          <w:p w14:paraId="7B33E57E" w14:textId="77777777" w:rsidR="00C042CC" w:rsidRPr="00C042CC" w:rsidRDefault="00C042CC" w:rsidP="00C042CC">
            <w:r w:rsidRPr="00C042CC">
              <w:t>Replace Radar with RADAR</w:t>
            </w:r>
          </w:p>
        </w:tc>
      </w:tr>
    </w:tbl>
    <w:p w14:paraId="19082678" w14:textId="77777777" w:rsidR="00CA09B2" w:rsidRDefault="00C042CC">
      <w:pPr>
        <w:rPr>
          <w:b/>
          <w:bCs/>
        </w:rPr>
      </w:pPr>
      <w:r w:rsidRPr="00C042CC">
        <w:t>Proposed Resolution:</w:t>
      </w:r>
      <w:r>
        <w:rPr>
          <w:b/>
          <w:bCs/>
        </w:rPr>
        <w:t xml:space="preserve"> Reject</w:t>
      </w:r>
    </w:p>
    <w:p w14:paraId="68B87CFE" w14:textId="77777777" w:rsidR="00C042CC" w:rsidRDefault="00C042CC">
      <w:pPr>
        <w:rPr>
          <w:b/>
          <w:bCs/>
        </w:rPr>
      </w:pPr>
    </w:p>
    <w:p w14:paraId="08A00D58" w14:textId="77777777" w:rsidR="00C042CC" w:rsidRDefault="00C042CC">
      <w:pPr>
        <w:rPr>
          <w:b/>
          <w:bCs/>
          <w:u w:val="single"/>
        </w:rPr>
      </w:pPr>
      <w:r>
        <w:rPr>
          <w:b/>
          <w:bCs/>
          <w:u w:val="single"/>
        </w:rPr>
        <w:t>Discussion:</w:t>
      </w:r>
    </w:p>
    <w:p w14:paraId="7F2CA01D" w14:textId="77777777" w:rsidR="00C042CC" w:rsidRDefault="00C042CC">
      <w:r>
        <w:t xml:space="preserve">The </w:t>
      </w:r>
      <w:r w:rsidR="000E549C">
        <w:t xml:space="preserve">current spelling for radar is lowercase.  Although radar (like laser) comes from the </w:t>
      </w:r>
      <w:proofErr w:type="spellStart"/>
      <w:r w:rsidR="000E549C">
        <w:t>accornym</w:t>
      </w:r>
      <w:proofErr w:type="spellEnd"/>
      <w:r w:rsidR="000E549C">
        <w:t xml:space="preserve"> </w:t>
      </w:r>
      <w:proofErr w:type="spellStart"/>
      <w:r w:rsidR="000E549C">
        <w:t>RAdio</w:t>
      </w:r>
      <w:proofErr w:type="spellEnd"/>
      <w:r w:rsidR="000E549C">
        <w:t xml:space="preserve"> Detection and </w:t>
      </w:r>
      <w:proofErr w:type="spellStart"/>
      <w:r w:rsidR="000E549C">
        <w:t>Randing</w:t>
      </w:r>
      <w:proofErr w:type="spellEnd"/>
      <w:r w:rsidR="000E549C">
        <w:t xml:space="preserve">, it has become a common word, so it is used in lower case.  (Look e.g. </w:t>
      </w:r>
      <w:hyperlink r:id="rId6" w:history="1">
        <w:r w:rsidR="000E549C" w:rsidRPr="00AC667B">
          <w:rPr>
            <w:rStyle w:val="Hyperlink"/>
          </w:rPr>
          <w:t>http://www.dictionary.com</w:t>
        </w:r>
      </w:hyperlink>
      <w:r w:rsidR="000E549C">
        <w:t xml:space="preserve"> </w:t>
      </w:r>
    </w:p>
    <w:p w14:paraId="6E076CBF" w14:textId="77777777" w:rsidR="000E549C" w:rsidRDefault="000E549C"/>
    <w:p w14:paraId="2DE3D11A" w14:textId="77777777" w:rsidR="000E549C" w:rsidRDefault="000E549C"/>
    <w:p w14:paraId="17D993B6" w14:textId="77777777" w:rsidR="004B412F" w:rsidRDefault="004B412F"/>
    <w:tbl>
      <w:tblPr>
        <w:tblStyle w:val="TableGrid"/>
        <w:tblW w:w="10615" w:type="dxa"/>
        <w:tblLook w:val="04A0" w:firstRow="1" w:lastRow="0" w:firstColumn="1" w:lastColumn="0" w:noHBand="0" w:noVBand="1"/>
      </w:tblPr>
      <w:tblGrid>
        <w:gridCol w:w="656"/>
        <w:gridCol w:w="919"/>
        <w:gridCol w:w="937"/>
        <w:gridCol w:w="4958"/>
        <w:gridCol w:w="3145"/>
      </w:tblGrid>
      <w:tr w:rsidR="004B412F" w:rsidRPr="004B412F" w14:paraId="5766F8B6" w14:textId="77777777" w:rsidTr="00DE6665">
        <w:trPr>
          <w:trHeight w:val="1502"/>
        </w:trPr>
        <w:tc>
          <w:tcPr>
            <w:tcW w:w="656" w:type="dxa"/>
            <w:hideMark/>
          </w:tcPr>
          <w:p w14:paraId="1104689D" w14:textId="77777777" w:rsidR="004B412F" w:rsidRPr="004B412F" w:rsidRDefault="004B412F" w:rsidP="004B412F">
            <w:pPr>
              <w:rPr>
                <w:lang w:val="en-US"/>
              </w:rPr>
            </w:pPr>
            <w:r w:rsidRPr="004B412F">
              <w:t>4234</w:t>
            </w:r>
          </w:p>
        </w:tc>
        <w:tc>
          <w:tcPr>
            <w:tcW w:w="919" w:type="dxa"/>
            <w:hideMark/>
          </w:tcPr>
          <w:p w14:paraId="712E0B0D" w14:textId="77777777" w:rsidR="004B412F" w:rsidRPr="004B412F" w:rsidRDefault="004B412F" w:rsidP="004B412F">
            <w:r w:rsidRPr="004B412F">
              <w:t>763.03</w:t>
            </w:r>
          </w:p>
        </w:tc>
        <w:tc>
          <w:tcPr>
            <w:tcW w:w="937" w:type="dxa"/>
            <w:hideMark/>
          </w:tcPr>
          <w:p w14:paraId="0E6ADE86" w14:textId="77777777" w:rsidR="004B412F" w:rsidRPr="004B412F" w:rsidRDefault="004B412F" w:rsidP="004B412F">
            <w:r w:rsidRPr="004B412F">
              <w:t>Annex Z</w:t>
            </w:r>
          </w:p>
        </w:tc>
        <w:tc>
          <w:tcPr>
            <w:tcW w:w="4958" w:type="dxa"/>
            <w:hideMark/>
          </w:tcPr>
          <w:p w14:paraId="34E76444" w14:textId="77777777" w:rsidR="004B412F" w:rsidRPr="004B412F" w:rsidRDefault="004B412F" w:rsidP="004B412F">
            <w:r w:rsidRPr="004B412F">
              <w:t xml:space="preserve">Annex Z describes an example implementation of radar using 802.11ad/ay modem. </w:t>
            </w:r>
            <w:proofErr w:type="spellStart"/>
            <w:r w:rsidRPr="004B412F">
              <w:t>Hoever</w:t>
            </w:r>
            <w:proofErr w:type="spellEnd"/>
            <w:r w:rsidRPr="004B412F">
              <w:t xml:space="preserve">, it does not show any </w:t>
            </w:r>
            <w:proofErr w:type="gramStart"/>
            <w:r w:rsidRPr="004B412F">
              <w:t>particular mechanism</w:t>
            </w:r>
            <w:proofErr w:type="gramEnd"/>
            <w:r w:rsidRPr="004B412F">
              <w:t xml:space="preserve"> to assure coexistence with regular 802.11ad/ay STAs or DMG BSS. It will create a confusion.</w:t>
            </w:r>
          </w:p>
        </w:tc>
        <w:tc>
          <w:tcPr>
            <w:tcW w:w="3145" w:type="dxa"/>
            <w:hideMark/>
          </w:tcPr>
          <w:p w14:paraId="2BFE5747" w14:textId="77777777" w:rsidR="004B412F" w:rsidRPr="004B412F" w:rsidRDefault="004B412F" w:rsidP="004B412F">
            <w:r w:rsidRPr="004B412F">
              <w:t>If an example implementation of radar is described, the standard shall describe how the radar can coexist with 802.11 STAs.</w:t>
            </w:r>
          </w:p>
        </w:tc>
      </w:tr>
      <w:tr w:rsidR="00DE6665" w:rsidRPr="00DE6665" w14:paraId="0C8D2E24" w14:textId="77777777" w:rsidTr="00DE6665">
        <w:trPr>
          <w:trHeight w:val="2700"/>
        </w:trPr>
        <w:tc>
          <w:tcPr>
            <w:tcW w:w="656" w:type="dxa"/>
            <w:hideMark/>
          </w:tcPr>
          <w:p w14:paraId="2460479E" w14:textId="77777777" w:rsidR="00DE6665" w:rsidRPr="00DE6665" w:rsidRDefault="00DE6665" w:rsidP="00DE6665">
            <w:pPr>
              <w:jc w:val="right"/>
              <w:rPr>
                <w:rFonts w:asciiTheme="majorBidi" w:hAnsiTheme="majorBidi" w:cstheme="majorBidi"/>
                <w:color w:val="000000"/>
                <w:szCs w:val="22"/>
                <w:lang w:val="en-US" w:bidi="he-IL"/>
              </w:rPr>
            </w:pPr>
            <w:r w:rsidRPr="00DE6665">
              <w:rPr>
                <w:rFonts w:asciiTheme="majorBidi" w:hAnsiTheme="majorBidi" w:cstheme="majorBidi"/>
                <w:color w:val="000000"/>
                <w:szCs w:val="22"/>
                <w:lang w:val="en-US" w:bidi="he-IL"/>
              </w:rPr>
              <w:t>4477</w:t>
            </w:r>
          </w:p>
        </w:tc>
        <w:tc>
          <w:tcPr>
            <w:tcW w:w="919" w:type="dxa"/>
            <w:hideMark/>
          </w:tcPr>
          <w:p w14:paraId="1CA848A6" w14:textId="77777777" w:rsidR="00DE6665" w:rsidRPr="00DE6665" w:rsidRDefault="00DE6665" w:rsidP="00DE6665">
            <w:pPr>
              <w:jc w:val="right"/>
              <w:rPr>
                <w:rFonts w:asciiTheme="majorBidi" w:hAnsiTheme="majorBidi" w:cstheme="majorBidi"/>
                <w:color w:val="000000"/>
                <w:szCs w:val="22"/>
                <w:lang w:val="en-US" w:bidi="he-IL"/>
              </w:rPr>
            </w:pPr>
            <w:r w:rsidRPr="00DE6665">
              <w:rPr>
                <w:rFonts w:asciiTheme="majorBidi" w:hAnsiTheme="majorBidi" w:cstheme="majorBidi"/>
                <w:color w:val="000000"/>
                <w:szCs w:val="22"/>
                <w:lang w:val="en-US" w:bidi="he-IL"/>
              </w:rPr>
              <w:t>763.01</w:t>
            </w:r>
          </w:p>
        </w:tc>
        <w:tc>
          <w:tcPr>
            <w:tcW w:w="937" w:type="dxa"/>
            <w:hideMark/>
          </w:tcPr>
          <w:p w14:paraId="7EF7D062" w14:textId="77777777" w:rsidR="00DE6665" w:rsidRPr="00DE6665" w:rsidRDefault="00DE6665" w:rsidP="00DE6665">
            <w:pPr>
              <w:rPr>
                <w:rFonts w:asciiTheme="majorBidi" w:hAnsiTheme="majorBidi" w:cstheme="majorBidi"/>
                <w:color w:val="000000"/>
                <w:szCs w:val="22"/>
                <w:lang w:val="en-US" w:bidi="he-IL"/>
              </w:rPr>
            </w:pPr>
            <w:proofErr w:type="spellStart"/>
            <w:r w:rsidRPr="00DE6665">
              <w:rPr>
                <w:rFonts w:asciiTheme="majorBidi" w:hAnsiTheme="majorBidi" w:cstheme="majorBidi"/>
                <w:color w:val="000000"/>
                <w:szCs w:val="22"/>
                <w:lang w:val="en-US" w:bidi="he-IL"/>
              </w:rPr>
              <w:t>AnnexZ</w:t>
            </w:r>
            <w:proofErr w:type="spellEnd"/>
          </w:p>
        </w:tc>
        <w:tc>
          <w:tcPr>
            <w:tcW w:w="4958" w:type="dxa"/>
            <w:hideMark/>
          </w:tcPr>
          <w:p w14:paraId="040235C4" w14:textId="77777777" w:rsidR="00DE6665" w:rsidRPr="00DE6665" w:rsidRDefault="00DE6665" w:rsidP="00DE6665">
            <w:pPr>
              <w:rPr>
                <w:rFonts w:asciiTheme="majorBidi" w:hAnsiTheme="majorBidi" w:cstheme="majorBidi"/>
                <w:color w:val="000000"/>
                <w:szCs w:val="22"/>
                <w:lang w:val="en-US" w:bidi="he-IL"/>
              </w:rPr>
            </w:pPr>
            <w:r w:rsidRPr="00DE6665">
              <w:rPr>
                <w:rFonts w:asciiTheme="majorBidi" w:hAnsiTheme="majorBidi" w:cstheme="majorBidi"/>
                <w:color w:val="000000"/>
                <w:szCs w:val="22"/>
                <w:lang w:val="en-US" w:bidi="he-IL"/>
              </w:rPr>
              <w:t>The reason to add the texts in this subclause into this 11ay amendment is not clear. One of the possible reasons should be coexistence between 11ay devices and other radar systems which would operate in this band.</w:t>
            </w:r>
          </w:p>
        </w:tc>
        <w:tc>
          <w:tcPr>
            <w:tcW w:w="3145" w:type="dxa"/>
            <w:hideMark/>
          </w:tcPr>
          <w:p w14:paraId="63D564E9" w14:textId="77777777" w:rsidR="00DE6665" w:rsidRPr="00DE6665" w:rsidRDefault="00DE6665" w:rsidP="00DE6665">
            <w:pPr>
              <w:rPr>
                <w:rFonts w:ascii="Calibri" w:hAnsi="Calibri" w:cs="Calibri"/>
                <w:color w:val="000000"/>
                <w:szCs w:val="22"/>
                <w:lang w:val="en-US" w:bidi="he-IL"/>
              </w:rPr>
            </w:pPr>
            <w:r w:rsidRPr="00DE6665">
              <w:rPr>
                <w:rFonts w:ascii="Calibri" w:hAnsi="Calibri" w:cs="Calibri"/>
                <w:color w:val="000000"/>
                <w:szCs w:val="22"/>
                <w:lang w:val="en-US" w:bidi="he-IL"/>
              </w:rPr>
              <w:t xml:space="preserve">Add texts of purpose of this </w:t>
            </w:r>
            <w:proofErr w:type="spellStart"/>
            <w:r w:rsidRPr="00DE6665">
              <w:rPr>
                <w:rFonts w:ascii="Calibri" w:hAnsi="Calibri" w:cs="Calibri"/>
                <w:color w:val="000000"/>
                <w:szCs w:val="22"/>
                <w:lang w:val="en-US" w:bidi="he-IL"/>
              </w:rPr>
              <w:t>subclaus</w:t>
            </w:r>
            <w:proofErr w:type="spellEnd"/>
            <w:r w:rsidRPr="00DE6665">
              <w:rPr>
                <w:rFonts w:ascii="Calibri" w:hAnsi="Calibri" w:cs="Calibri"/>
                <w:color w:val="000000"/>
                <w:szCs w:val="22"/>
                <w:lang w:val="en-US" w:bidi="he-IL"/>
              </w:rPr>
              <w:t xml:space="preserve"> from the aspect of coexistence.</w:t>
            </w:r>
          </w:p>
        </w:tc>
      </w:tr>
    </w:tbl>
    <w:p w14:paraId="1F2FD959" w14:textId="77777777" w:rsidR="004B412F" w:rsidRDefault="004B412F">
      <w:pPr>
        <w:rPr>
          <w:b/>
          <w:bCs/>
        </w:rPr>
      </w:pPr>
      <w:r>
        <w:t xml:space="preserve">Proposed Resolution: </w:t>
      </w:r>
      <w:r>
        <w:rPr>
          <w:b/>
          <w:bCs/>
        </w:rPr>
        <w:t>Revise</w:t>
      </w:r>
    </w:p>
    <w:p w14:paraId="09B1DCA3" w14:textId="77777777" w:rsidR="004B412F" w:rsidRDefault="004B412F">
      <w:pPr>
        <w:rPr>
          <w:b/>
          <w:bCs/>
        </w:rPr>
      </w:pPr>
    </w:p>
    <w:p w14:paraId="076A20A0" w14:textId="77777777" w:rsidR="004B412F" w:rsidRDefault="004B412F">
      <w:pPr>
        <w:rPr>
          <w:b/>
          <w:bCs/>
          <w:u w:val="single"/>
        </w:rPr>
      </w:pPr>
      <w:r>
        <w:rPr>
          <w:b/>
          <w:bCs/>
          <w:u w:val="single"/>
        </w:rPr>
        <w:t>Discussion</w:t>
      </w:r>
    </w:p>
    <w:p w14:paraId="0D725193" w14:textId="77777777" w:rsidR="004B412F" w:rsidRDefault="004B412F">
      <w:r>
        <w:t>The commenter</w:t>
      </w:r>
      <w:r w:rsidR="00DE6665">
        <w:t>s</w:t>
      </w:r>
      <w:r>
        <w:t xml:space="preserve"> </w:t>
      </w:r>
      <w:r w:rsidR="00DE6665">
        <w:t>are</w:t>
      </w:r>
      <w:r>
        <w:t xml:space="preserve"> correct that the text in Annex Z does </w:t>
      </w:r>
      <w:r w:rsidR="00DE6665">
        <w:t xml:space="preserve">not </w:t>
      </w:r>
      <w:r>
        <w:t>specify how coexistence is assured.  We propose to modify the text to clarify that.</w:t>
      </w:r>
    </w:p>
    <w:p w14:paraId="75B037C3" w14:textId="77777777" w:rsidR="004B412F" w:rsidRDefault="004B412F"/>
    <w:p w14:paraId="045818FF" w14:textId="77777777" w:rsidR="004B412F" w:rsidRDefault="004B412F">
      <w:pPr>
        <w:rPr>
          <w:b/>
          <w:bCs/>
          <w:i/>
          <w:iCs/>
        </w:rPr>
      </w:pPr>
      <w:proofErr w:type="spellStart"/>
      <w:r>
        <w:rPr>
          <w:b/>
          <w:bCs/>
          <w:i/>
          <w:iCs/>
        </w:rPr>
        <w:t>TGay</w:t>
      </w:r>
      <w:proofErr w:type="spellEnd"/>
      <w:r>
        <w:rPr>
          <w:b/>
          <w:bCs/>
          <w:i/>
          <w:iCs/>
        </w:rPr>
        <w:t xml:space="preserve"> Editor: Add the following text after P763L18:</w:t>
      </w:r>
    </w:p>
    <w:p w14:paraId="42C3AA81" w14:textId="775A9A9A" w:rsidR="004B412F" w:rsidRDefault="00645009">
      <w:r>
        <w:t xml:space="preserve">By using the approach described in this Annex to implement radar function, coexistence </w:t>
      </w:r>
      <w:r w:rsidR="004B412F">
        <w:t xml:space="preserve">with DMG and EDMG transmissions </w:t>
      </w:r>
      <w:r>
        <w:t xml:space="preserve">on </w:t>
      </w:r>
      <w:r w:rsidR="004B412F">
        <w:t xml:space="preserve">the same channel is </w:t>
      </w:r>
      <w:r>
        <w:t xml:space="preserve">achieved due to the use of </w:t>
      </w:r>
      <w:r w:rsidR="00E103C5">
        <w:t>802.11 EDCA medium access rules and DMG or EDMG PPDUs</w:t>
      </w:r>
      <w:r>
        <w:t>, which</w:t>
      </w:r>
      <w:r w:rsidR="00E103C5">
        <w:t xml:space="preserve"> </w:t>
      </w:r>
      <w:r>
        <w:t xml:space="preserve">allow </w:t>
      </w:r>
      <w:r w:rsidR="00E103C5">
        <w:t xml:space="preserve">other </w:t>
      </w:r>
      <w:r>
        <w:t>STAs to</w:t>
      </w:r>
      <w:r w:rsidR="00E103C5">
        <w:t xml:space="preserve"> determine the duration of </w:t>
      </w:r>
      <w:r>
        <w:t>a transmission</w:t>
      </w:r>
      <w:r w:rsidR="00E103C5">
        <w:t xml:space="preserve">.  </w:t>
      </w:r>
      <w:r w:rsidR="007D0B12">
        <w:t>T</w:t>
      </w:r>
      <w:r w:rsidR="00E103C5">
        <w:t>he address</w:t>
      </w:r>
      <w:r>
        <w:t>ing</w:t>
      </w:r>
      <w:r w:rsidR="00E103C5">
        <w:t xml:space="preserve"> rules described above </w:t>
      </w:r>
      <w:r w:rsidR="007D0B12">
        <w:t xml:space="preserve">enhance coexistence by reducing the probability </w:t>
      </w:r>
      <w:r w:rsidR="00E103C5">
        <w:t xml:space="preserve">that </w:t>
      </w:r>
      <w:r>
        <w:t xml:space="preserve">a STA gets </w:t>
      </w:r>
      <w:r w:rsidR="00E103C5">
        <w:t xml:space="preserve">confused by </w:t>
      </w:r>
      <w:r w:rsidR="007D0B12">
        <w:t xml:space="preserve">radar </w:t>
      </w:r>
      <w:r w:rsidR="00F75095">
        <w:t>transmission</w:t>
      </w:r>
      <w:r w:rsidR="007D0B12">
        <w:t>s.</w:t>
      </w:r>
      <w:r w:rsidR="00F75095">
        <w:t xml:space="preserve"> </w:t>
      </w:r>
    </w:p>
    <w:p w14:paraId="6770F5B8" w14:textId="77777777" w:rsidR="00F75095" w:rsidRDefault="00F75095"/>
    <w:p w14:paraId="738F9265" w14:textId="77777777" w:rsidR="00F75095" w:rsidRDefault="00F75095"/>
    <w:p w14:paraId="65F024E0" w14:textId="77777777" w:rsidR="00F75095" w:rsidRDefault="00F75095"/>
    <w:tbl>
      <w:tblPr>
        <w:tblStyle w:val="TableGrid"/>
        <w:tblW w:w="0" w:type="auto"/>
        <w:tblLook w:val="04A0" w:firstRow="1" w:lastRow="0" w:firstColumn="1" w:lastColumn="0" w:noHBand="0" w:noVBand="1"/>
      </w:tblPr>
      <w:tblGrid>
        <w:gridCol w:w="663"/>
        <w:gridCol w:w="920"/>
        <w:gridCol w:w="920"/>
        <w:gridCol w:w="2700"/>
        <w:gridCol w:w="2700"/>
      </w:tblGrid>
      <w:tr w:rsidR="006E52E7" w:rsidRPr="006E52E7" w14:paraId="220E2A16" w14:textId="77777777" w:rsidTr="00A20BFF">
        <w:trPr>
          <w:trHeight w:val="1800"/>
        </w:trPr>
        <w:tc>
          <w:tcPr>
            <w:tcW w:w="656" w:type="dxa"/>
            <w:hideMark/>
          </w:tcPr>
          <w:p w14:paraId="48C38CB3" w14:textId="77777777" w:rsidR="006E52E7" w:rsidRPr="006E52E7" w:rsidRDefault="006E52E7" w:rsidP="006E52E7">
            <w:pPr>
              <w:rPr>
                <w:lang w:val="en-US"/>
              </w:rPr>
            </w:pPr>
            <w:r w:rsidRPr="006E52E7">
              <w:t>4309</w:t>
            </w:r>
          </w:p>
        </w:tc>
        <w:tc>
          <w:tcPr>
            <w:tcW w:w="920" w:type="dxa"/>
            <w:hideMark/>
          </w:tcPr>
          <w:p w14:paraId="10F99B60" w14:textId="77777777" w:rsidR="006E52E7" w:rsidRPr="006E52E7" w:rsidRDefault="006E52E7" w:rsidP="006E52E7">
            <w:r w:rsidRPr="006E52E7">
              <w:t>763.01</w:t>
            </w:r>
          </w:p>
        </w:tc>
        <w:tc>
          <w:tcPr>
            <w:tcW w:w="920" w:type="dxa"/>
            <w:hideMark/>
          </w:tcPr>
          <w:p w14:paraId="52CA7E60" w14:textId="77777777" w:rsidR="006E52E7" w:rsidRPr="006E52E7" w:rsidRDefault="006E52E7" w:rsidP="006E52E7">
            <w:r w:rsidRPr="006E52E7">
              <w:t>Z</w:t>
            </w:r>
          </w:p>
        </w:tc>
        <w:tc>
          <w:tcPr>
            <w:tcW w:w="2700" w:type="dxa"/>
            <w:hideMark/>
          </w:tcPr>
          <w:p w14:paraId="3D5F142C" w14:textId="77777777" w:rsidR="006E52E7" w:rsidRPr="006E52E7" w:rsidRDefault="006E52E7" w:rsidP="006E52E7">
            <w:r w:rsidRPr="006E52E7">
              <w:t>Proposed Radar will not support a maximum throughput of at least 20 gigabits per second, so Annex Z is out of scope this project.</w:t>
            </w:r>
          </w:p>
        </w:tc>
        <w:tc>
          <w:tcPr>
            <w:tcW w:w="2700" w:type="dxa"/>
            <w:hideMark/>
          </w:tcPr>
          <w:p w14:paraId="0395BA06" w14:textId="77777777" w:rsidR="006E52E7" w:rsidRPr="006E52E7" w:rsidRDefault="006E52E7" w:rsidP="006E52E7">
            <w:r w:rsidRPr="006E52E7">
              <w:t>Delete entire Annex Z</w:t>
            </w:r>
          </w:p>
        </w:tc>
      </w:tr>
      <w:tr w:rsidR="00A20BFF" w:rsidRPr="00A20BFF" w14:paraId="78420868" w14:textId="77777777" w:rsidTr="00A20BFF">
        <w:trPr>
          <w:trHeight w:val="4200"/>
        </w:trPr>
        <w:tc>
          <w:tcPr>
            <w:tcW w:w="656" w:type="dxa"/>
            <w:hideMark/>
          </w:tcPr>
          <w:p w14:paraId="1471406C" w14:textId="77777777" w:rsidR="00A20BFF" w:rsidRPr="00A20BFF" w:rsidRDefault="00A20BFF" w:rsidP="00A20BFF">
            <w:pPr>
              <w:jc w:val="right"/>
              <w:rPr>
                <w:rFonts w:ascii="Calibri" w:hAnsi="Calibri" w:cs="Calibri"/>
                <w:color w:val="000000"/>
                <w:szCs w:val="22"/>
                <w:lang w:val="en-US" w:bidi="he-IL"/>
              </w:rPr>
            </w:pPr>
            <w:r w:rsidRPr="00A20BFF">
              <w:rPr>
                <w:rFonts w:ascii="Calibri" w:hAnsi="Calibri" w:cs="Calibri"/>
                <w:color w:val="000000"/>
                <w:szCs w:val="22"/>
                <w:lang w:val="en-US" w:bidi="he-IL"/>
              </w:rPr>
              <w:lastRenderedPageBreak/>
              <w:t>4416</w:t>
            </w:r>
          </w:p>
        </w:tc>
        <w:tc>
          <w:tcPr>
            <w:tcW w:w="920" w:type="dxa"/>
            <w:hideMark/>
          </w:tcPr>
          <w:p w14:paraId="57C12C13" w14:textId="77777777" w:rsidR="00A20BFF" w:rsidRPr="00A20BFF" w:rsidRDefault="00A20BFF" w:rsidP="00A20BFF">
            <w:pPr>
              <w:jc w:val="right"/>
              <w:rPr>
                <w:rFonts w:ascii="Calibri" w:hAnsi="Calibri" w:cs="Calibri"/>
                <w:color w:val="000000"/>
                <w:szCs w:val="22"/>
                <w:lang w:val="en-US" w:bidi="he-IL"/>
              </w:rPr>
            </w:pPr>
            <w:r w:rsidRPr="00A20BFF">
              <w:rPr>
                <w:rFonts w:ascii="Calibri" w:hAnsi="Calibri" w:cs="Calibri"/>
                <w:color w:val="000000"/>
                <w:szCs w:val="22"/>
                <w:lang w:val="en-US" w:bidi="he-IL"/>
              </w:rPr>
              <w:t>763.03</w:t>
            </w:r>
          </w:p>
        </w:tc>
        <w:tc>
          <w:tcPr>
            <w:tcW w:w="920" w:type="dxa"/>
            <w:hideMark/>
          </w:tcPr>
          <w:p w14:paraId="28C4C1A0" w14:textId="77777777" w:rsidR="00A20BFF" w:rsidRPr="00A20BFF" w:rsidRDefault="00A20BFF" w:rsidP="00A20BFF">
            <w:pPr>
              <w:rPr>
                <w:rFonts w:ascii="Calibri" w:hAnsi="Calibri" w:cs="Calibri"/>
                <w:color w:val="000000"/>
                <w:szCs w:val="22"/>
                <w:lang w:val="en-US" w:bidi="he-IL"/>
              </w:rPr>
            </w:pPr>
            <w:proofErr w:type="spellStart"/>
            <w:r w:rsidRPr="00A20BFF">
              <w:rPr>
                <w:rFonts w:ascii="Calibri" w:hAnsi="Calibri" w:cs="Calibri"/>
                <w:color w:val="000000"/>
                <w:szCs w:val="22"/>
                <w:lang w:val="en-US" w:bidi="he-IL"/>
              </w:rPr>
              <w:t>AnnexZ</w:t>
            </w:r>
            <w:proofErr w:type="spellEnd"/>
          </w:p>
        </w:tc>
        <w:tc>
          <w:tcPr>
            <w:tcW w:w="2700" w:type="dxa"/>
            <w:hideMark/>
          </w:tcPr>
          <w:p w14:paraId="1F44E01C" w14:textId="77777777" w:rsidR="00A20BFF" w:rsidRPr="00A20BFF" w:rsidRDefault="00A20BFF" w:rsidP="00A20BFF">
            <w:pPr>
              <w:rPr>
                <w:rFonts w:ascii="Calibri" w:hAnsi="Calibri" w:cs="Calibri"/>
                <w:color w:val="000000"/>
                <w:szCs w:val="22"/>
                <w:lang w:val="en-US" w:bidi="he-IL"/>
              </w:rPr>
            </w:pPr>
            <w:r w:rsidRPr="00A20BFF">
              <w:rPr>
                <w:rFonts w:ascii="Calibri" w:hAnsi="Calibri" w:cs="Calibri"/>
                <w:color w:val="000000"/>
                <w:szCs w:val="22"/>
                <w:lang w:val="en-US" w:bidi="he-IL"/>
              </w:rPr>
              <w:t>According to the title and the abstract, the scope of this standard seems to be "throughput enhancement".</w:t>
            </w:r>
            <w:r w:rsidRPr="00A20BFF">
              <w:rPr>
                <w:rFonts w:ascii="Calibri" w:hAnsi="Calibri" w:cs="Calibri"/>
                <w:color w:val="000000"/>
                <w:szCs w:val="22"/>
                <w:lang w:val="en-US" w:bidi="he-IL"/>
              </w:rPr>
              <w:br/>
              <w:t>However, this section does not describe anything from such perspective.</w:t>
            </w:r>
            <w:r w:rsidRPr="00A20BFF">
              <w:rPr>
                <w:rFonts w:ascii="Calibri" w:hAnsi="Calibri" w:cs="Calibri"/>
                <w:color w:val="000000"/>
                <w:szCs w:val="22"/>
                <w:lang w:val="en-US" w:bidi="he-IL"/>
              </w:rPr>
              <w:br/>
              <w:t>Therefore, it is too difficult to figure out why this annex is required and how this annex helps implementer of this standard.</w:t>
            </w:r>
          </w:p>
        </w:tc>
        <w:tc>
          <w:tcPr>
            <w:tcW w:w="2700" w:type="dxa"/>
            <w:hideMark/>
          </w:tcPr>
          <w:p w14:paraId="30564280" w14:textId="77777777" w:rsidR="00A20BFF" w:rsidRPr="00A20BFF" w:rsidRDefault="00A20BFF" w:rsidP="00A20BFF">
            <w:pPr>
              <w:rPr>
                <w:rFonts w:ascii="Calibri" w:hAnsi="Calibri" w:cs="Calibri"/>
                <w:color w:val="000000"/>
                <w:szCs w:val="22"/>
                <w:lang w:val="en-US" w:bidi="he-IL"/>
              </w:rPr>
            </w:pPr>
            <w:r w:rsidRPr="00A20BFF">
              <w:rPr>
                <w:rFonts w:ascii="Calibri" w:hAnsi="Calibri" w:cs="Calibri"/>
                <w:color w:val="000000"/>
                <w:szCs w:val="22"/>
                <w:lang w:val="en-US" w:bidi="he-IL"/>
              </w:rPr>
              <w:t>Remove Annex Z or clarify why this annex is required to be included.</w:t>
            </w:r>
          </w:p>
        </w:tc>
      </w:tr>
    </w:tbl>
    <w:p w14:paraId="18496ACE" w14:textId="77777777" w:rsidR="006E52E7" w:rsidRDefault="006E52E7" w:rsidP="006E52E7">
      <w:pPr>
        <w:rPr>
          <w:b/>
          <w:bCs/>
        </w:rPr>
      </w:pPr>
      <w:r>
        <w:t xml:space="preserve">Proposed Resolution: </w:t>
      </w:r>
      <w:r>
        <w:rPr>
          <w:b/>
          <w:bCs/>
        </w:rPr>
        <w:t>Reject</w:t>
      </w:r>
    </w:p>
    <w:p w14:paraId="53931F66" w14:textId="77777777" w:rsidR="006E52E7" w:rsidRDefault="006E52E7" w:rsidP="006E52E7">
      <w:pPr>
        <w:rPr>
          <w:b/>
          <w:bCs/>
        </w:rPr>
      </w:pPr>
    </w:p>
    <w:p w14:paraId="4E287F98" w14:textId="77777777" w:rsidR="006064A3" w:rsidRDefault="006064A3" w:rsidP="006E52E7">
      <w:pPr>
        <w:rPr>
          <w:b/>
          <w:bCs/>
          <w:u w:val="single"/>
        </w:rPr>
      </w:pPr>
      <w:r>
        <w:rPr>
          <w:b/>
          <w:bCs/>
          <w:u w:val="single"/>
        </w:rPr>
        <w:t>Discussion:</w:t>
      </w:r>
    </w:p>
    <w:p w14:paraId="02B3C782" w14:textId="279D9059" w:rsidR="006064A3" w:rsidRDefault="006064A3" w:rsidP="006E52E7">
      <w:r>
        <w:t>Radars are being used and more are being designed in the 60GHz band.  These radars do not follow 802.11 medium access rules.</w:t>
      </w:r>
      <w:r w:rsidR="00D865F1">
        <w:t xml:space="preserve">  They create significant interference to 802.11 devices operating in the 60GHz band.  By offering a method for radars to coexist with DMG/EDMG devices, we reduce the amount of interference and allow for higher rates.  </w:t>
      </w:r>
      <w:r w:rsidR="0026560C">
        <w:t>Besides, n</w:t>
      </w:r>
      <w:r w:rsidR="0026560C">
        <w:rPr>
          <w:noProof/>
        </w:rPr>
        <w:t xml:space="preserve">ot every feature in an amendment is defined to support a target data rate mentioned in a PAR. For example, power saving, spatial reuse, etc. However, just because they don't contribute to the target data rate, it does not mean that they are not </w:t>
      </w:r>
      <w:r w:rsidR="0026560C">
        <w:rPr>
          <w:noProof/>
        </w:rPr>
        <w:t>i</w:t>
      </w:r>
      <w:r w:rsidR="0026560C">
        <w:rPr>
          <w:noProof/>
        </w:rPr>
        <w:t xml:space="preserve">mportant/valuable to an amendment. </w:t>
      </w:r>
      <w:r w:rsidR="0026560C">
        <w:rPr>
          <w:noProof/>
        </w:rPr>
        <w:t>Most</w:t>
      </w:r>
      <w:r w:rsidR="0026560C">
        <w:rPr>
          <w:noProof/>
        </w:rPr>
        <w:t xml:space="preserve"> amendment</w:t>
      </w:r>
      <w:r w:rsidR="0026560C">
        <w:rPr>
          <w:noProof/>
        </w:rPr>
        <w:t>s</w:t>
      </w:r>
      <w:r w:rsidR="0026560C">
        <w:rPr>
          <w:noProof/>
        </w:rPr>
        <w:t xml:space="preserve"> include</w:t>
      </w:r>
      <w:r w:rsidR="0026560C">
        <w:rPr>
          <w:noProof/>
        </w:rPr>
        <w:t xml:space="preserve">  </w:t>
      </w:r>
      <w:r w:rsidR="0026560C">
        <w:rPr>
          <w:noProof/>
        </w:rPr>
        <w:t>power saving, for example</w:t>
      </w:r>
      <w:r w:rsidR="0026560C">
        <w:rPr>
          <w:noProof/>
        </w:rPr>
        <w:t xml:space="preserve">. </w:t>
      </w:r>
      <w:proofErr w:type="gramStart"/>
      <w:r w:rsidR="00D865F1">
        <w:t>Therefore</w:t>
      </w:r>
      <w:proofErr w:type="gramEnd"/>
      <w:r w:rsidR="00D865F1">
        <w:t xml:space="preserve"> the comment </w:t>
      </w:r>
      <w:r w:rsidR="0026560C">
        <w:t>shall</w:t>
      </w:r>
      <w:r w:rsidR="00D865F1">
        <w:t xml:space="preserve"> be rejected.</w:t>
      </w:r>
    </w:p>
    <w:p w14:paraId="45F97F2C" w14:textId="77777777" w:rsidR="00D865F1" w:rsidRPr="006064A3" w:rsidRDefault="00D865F1" w:rsidP="006E52E7"/>
    <w:p w14:paraId="0F9096A1" w14:textId="77777777" w:rsidR="000E549C" w:rsidRDefault="000E549C"/>
    <w:p w14:paraId="38EF4839" w14:textId="6FBCC9E5" w:rsidR="000E549C" w:rsidRPr="00544F8F" w:rsidRDefault="00544F8F">
      <w:pPr>
        <w:rPr>
          <w:b/>
          <w:bCs/>
        </w:rPr>
      </w:pPr>
      <w:proofErr w:type="spellStart"/>
      <w:r>
        <w:rPr>
          <w:b/>
          <w:bCs/>
        </w:rPr>
        <w:t>Strawpoll</w:t>
      </w:r>
      <w:proofErr w:type="spellEnd"/>
      <w:r>
        <w:rPr>
          <w:b/>
          <w:bCs/>
        </w:rPr>
        <w:t>: Do you agree to the resolution of CIDs 4416, 4309, 4234, 4477, 4078</w:t>
      </w:r>
    </w:p>
    <w:p w14:paraId="4EB29337" w14:textId="5A412EDB" w:rsidR="00CA09B2" w:rsidRDefault="00CA09B2">
      <w:pPr>
        <w:rPr>
          <w:b/>
          <w:sz w:val="24"/>
        </w:rPr>
      </w:pPr>
      <w:r>
        <w:br w:type="page"/>
      </w:r>
      <w:r>
        <w:rPr>
          <w:b/>
          <w:sz w:val="24"/>
        </w:rPr>
        <w:lastRenderedPageBreak/>
        <w:t>References:</w:t>
      </w:r>
      <w:r w:rsidR="00544F8F">
        <w:rPr>
          <w:b/>
          <w:sz w:val="24"/>
        </w:rPr>
        <w:t xml:space="preserve"> Draft P802.11ay_D3.0</w:t>
      </w:r>
    </w:p>
    <w:p w14:paraId="33C67D0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19221" w14:textId="77777777" w:rsidR="00F524FE" w:rsidRDefault="00F524FE">
      <w:r>
        <w:separator/>
      </w:r>
    </w:p>
  </w:endnote>
  <w:endnote w:type="continuationSeparator" w:id="0">
    <w:p w14:paraId="0BB14A84" w14:textId="77777777" w:rsidR="00F524FE" w:rsidRDefault="00F5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DE69D" w14:textId="77777777" w:rsidR="0029020B" w:rsidRDefault="00F524FE">
    <w:pPr>
      <w:pStyle w:val="Footer"/>
      <w:tabs>
        <w:tab w:val="clear" w:pos="6480"/>
        <w:tab w:val="center" w:pos="4680"/>
        <w:tab w:val="right" w:pos="9360"/>
      </w:tabs>
    </w:pPr>
    <w:r>
      <w:fldChar w:fldCharType="begin"/>
    </w:r>
    <w:r>
      <w:instrText xml:space="preserve"> SUBJECT  \* MERGEFORMAT </w:instrText>
    </w:r>
    <w:r>
      <w:fldChar w:fldCharType="separate"/>
    </w:r>
    <w:r w:rsidR="003A3BC3">
      <w:t>Submission</w:t>
    </w:r>
    <w:r>
      <w:fldChar w:fldCharType="end"/>
    </w:r>
    <w:r w:rsidR="0029020B">
      <w:tab/>
      <w:t xml:space="preserve">page </w:t>
    </w:r>
    <w:r w:rsidR="0029020B">
      <w:fldChar w:fldCharType="begin"/>
    </w:r>
    <w:r w:rsidR="0029020B">
      <w:instrText xml:space="preserve">page </w:instrText>
    </w:r>
    <w:r w:rsidR="0029020B">
      <w:fldChar w:fldCharType="separate"/>
    </w:r>
    <w:r w:rsidR="00645009">
      <w:rPr>
        <w:noProof/>
      </w:rPr>
      <w:t>3</w:t>
    </w:r>
    <w:r w:rsidR="0029020B">
      <w:fldChar w:fldCharType="end"/>
    </w:r>
    <w:r w:rsidR="0029020B">
      <w:tab/>
    </w:r>
    <w:r>
      <w:fldChar w:fldCharType="begin"/>
    </w:r>
    <w:r>
      <w:instrText xml:space="preserve"> COMMENTS  \* MERGEFORMAT </w:instrText>
    </w:r>
    <w:r>
      <w:fldChar w:fldCharType="separate"/>
    </w:r>
    <w:r w:rsidR="00C042CC">
      <w:t>Assaf Kasher, Qualcomm</w:t>
    </w:r>
    <w:r>
      <w:fldChar w:fldCharType="end"/>
    </w:r>
  </w:p>
  <w:p w14:paraId="0C54BE8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05D12" w14:textId="77777777" w:rsidR="00F524FE" w:rsidRDefault="00F524FE">
      <w:r>
        <w:separator/>
      </w:r>
    </w:p>
  </w:footnote>
  <w:footnote w:type="continuationSeparator" w:id="0">
    <w:p w14:paraId="257BE3CD" w14:textId="77777777" w:rsidR="00F524FE" w:rsidRDefault="00F5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E205" w14:textId="77777777" w:rsidR="0029020B" w:rsidRDefault="00F524FE">
    <w:pPr>
      <w:pStyle w:val="Header"/>
      <w:tabs>
        <w:tab w:val="clear" w:pos="6480"/>
        <w:tab w:val="center" w:pos="4680"/>
        <w:tab w:val="right" w:pos="9360"/>
      </w:tabs>
    </w:pPr>
    <w:r>
      <w:fldChar w:fldCharType="begin"/>
    </w:r>
    <w:r>
      <w:instrText xml:space="preserve"> KEYWORDS  \* MERGEFORMAT </w:instrText>
    </w:r>
    <w:r>
      <w:fldChar w:fldCharType="separate"/>
    </w:r>
    <w:r w:rsidR="00C042CC">
      <w:t>March 2019</w:t>
    </w:r>
    <w:r>
      <w:fldChar w:fldCharType="end"/>
    </w:r>
    <w:r w:rsidR="0029020B">
      <w:tab/>
    </w:r>
    <w:r w:rsidR="0029020B">
      <w:tab/>
    </w:r>
    <w:r>
      <w:fldChar w:fldCharType="begin"/>
    </w:r>
    <w:r>
      <w:instrText xml:space="preserve"> TITLE  \* MERGEFORMAT </w:instrText>
    </w:r>
    <w:r>
      <w:fldChar w:fldCharType="separate"/>
    </w:r>
    <w:r w:rsidR="006E52E7">
      <w:t>doc.: IEEE 802.11-19/0321r0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C3"/>
    <w:rsid w:val="0001070C"/>
    <w:rsid w:val="000E549C"/>
    <w:rsid w:val="001D723B"/>
    <w:rsid w:val="0026560C"/>
    <w:rsid w:val="0029020B"/>
    <w:rsid w:val="002A48C3"/>
    <w:rsid w:val="002D44BE"/>
    <w:rsid w:val="003A3BC3"/>
    <w:rsid w:val="003C2D0C"/>
    <w:rsid w:val="00405B98"/>
    <w:rsid w:val="00442037"/>
    <w:rsid w:val="004B064B"/>
    <w:rsid w:val="004B412F"/>
    <w:rsid w:val="00544F8F"/>
    <w:rsid w:val="006064A3"/>
    <w:rsid w:val="0062440B"/>
    <w:rsid w:val="00645009"/>
    <w:rsid w:val="006C0727"/>
    <w:rsid w:val="006E145F"/>
    <w:rsid w:val="006E52E7"/>
    <w:rsid w:val="00770572"/>
    <w:rsid w:val="007D0B12"/>
    <w:rsid w:val="00845B0F"/>
    <w:rsid w:val="009F2FBC"/>
    <w:rsid w:val="00A20BFF"/>
    <w:rsid w:val="00A56077"/>
    <w:rsid w:val="00AA427C"/>
    <w:rsid w:val="00BE68C2"/>
    <w:rsid w:val="00C042CC"/>
    <w:rsid w:val="00CA09B2"/>
    <w:rsid w:val="00D865F1"/>
    <w:rsid w:val="00DC5A7B"/>
    <w:rsid w:val="00DD188F"/>
    <w:rsid w:val="00DE6665"/>
    <w:rsid w:val="00E103C5"/>
    <w:rsid w:val="00EC558B"/>
    <w:rsid w:val="00F524FE"/>
    <w:rsid w:val="00F750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E2143"/>
  <w15:chartTrackingRefBased/>
  <w15:docId w15:val="{156D8623-9C41-4ED6-96FB-69CBD7FD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0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E549C"/>
    <w:rPr>
      <w:color w:val="605E5C"/>
      <w:shd w:val="clear" w:color="auto" w:fill="E1DFDD"/>
    </w:rPr>
  </w:style>
  <w:style w:type="character" w:styleId="CommentReference">
    <w:name w:val="annotation reference"/>
    <w:basedOn w:val="DefaultParagraphFont"/>
    <w:rsid w:val="00645009"/>
    <w:rPr>
      <w:sz w:val="16"/>
      <w:szCs w:val="16"/>
    </w:rPr>
  </w:style>
  <w:style w:type="paragraph" w:styleId="CommentText">
    <w:name w:val="annotation text"/>
    <w:basedOn w:val="Normal"/>
    <w:link w:val="CommentTextChar"/>
    <w:rsid w:val="00645009"/>
    <w:rPr>
      <w:sz w:val="20"/>
    </w:rPr>
  </w:style>
  <w:style w:type="character" w:customStyle="1" w:styleId="CommentTextChar">
    <w:name w:val="Comment Text Char"/>
    <w:basedOn w:val="DefaultParagraphFont"/>
    <w:link w:val="CommentText"/>
    <w:rsid w:val="00645009"/>
    <w:rPr>
      <w:lang w:val="en-GB" w:bidi="ar-SA"/>
    </w:rPr>
  </w:style>
  <w:style w:type="paragraph" w:styleId="CommentSubject">
    <w:name w:val="annotation subject"/>
    <w:basedOn w:val="CommentText"/>
    <w:next w:val="CommentText"/>
    <w:link w:val="CommentSubjectChar"/>
    <w:rsid w:val="00645009"/>
    <w:rPr>
      <w:b/>
      <w:bCs/>
    </w:rPr>
  </w:style>
  <w:style w:type="character" w:customStyle="1" w:styleId="CommentSubjectChar">
    <w:name w:val="Comment Subject Char"/>
    <w:basedOn w:val="CommentTextChar"/>
    <w:link w:val="CommentSubject"/>
    <w:rsid w:val="00645009"/>
    <w:rPr>
      <w:b/>
      <w:bCs/>
      <w:lang w:val="en-GB" w:bidi="ar-SA"/>
    </w:rPr>
  </w:style>
  <w:style w:type="paragraph" w:styleId="Revision">
    <w:name w:val="Revision"/>
    <w:hidden/>
    <w:uiPriority w:val="99"/>
    <w:semiHidden/>
    <w:rsid w:val="00645009"/>
    <w:rPr>
      <w:sz w:val="22"/>
      <w:lang w:val="en-GB" w:bidi="ar-SA"/>
    </w:rPr>
  </w:style>
  <w:style w:type="paragraph" w:styleId="BalloonText">
    <w:name w:val="Balloon Text"/>
    <w:basedOn w:val="Normal"/>
    <w:link w:val="BalloonTextChar"/>
    <w:rsid w:val="00645009"/>
    <w:rPr>
      <w:rFonts w:ascii="Segoe UI" w:hAnsi="Segoe UI" w:cs="Segoe UI"/>
      <w:sz w:val="18"/>
      <w:szCs w:val="18"/>
    </w:rPr>
  </w:style>
  <w:style w:type="character" w:customStyle="1" w:styleId="BalloonTextChar">
    <w:name w:val="Balloon Text Char"/>
    <w:basedOn w:val="DefaultParagraphFont"/>
    <w:link w:val="BalloonText"/>
    <w:rsid w:val="00645009"/>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04753">
      <w:bodyDiv w:val="1"/>
      <w:marLeft w:val="0"/>
      <w:marRight w:val="0"/>
      <w:marTop w:val="0"/>
      <w:marBottom w:val="0"/>
      <w:divBdr>
        <w:top w:val="none" w:sz="0" w:space="0" w:color="auto"/>
        <w:left w:val="none" w:sz="0" w:space="0" w:color="auto"/>
        <w:bottom w:val="none" w:sz="0" w:space="0" w:color="auto"/>
        <w:right w:val="none" w:sz="0" w:space="0" w:color="auto"/>
      </w:divBdr>
    </w:div>
    <w:div w:id="1039009090">
      <w:bodyDiv w:val="1"/>
      <w:marLeft w:val="0"/>
      <w:marRight w:val="0"/>
      <w:marTop w:val="0"/>
      <w:marBottom w:val="0"/>
      <w:divBdr>
        <w:top w:val="none" w:sz="0" w:space="0" w:color="auto"/>
        <w:left w:val="none" w:sz="0" w:space="0" w:color="auto"/>
        <w:bottom w:val="none" w:sz="0" w:space="0" w:color="auto"/>
        <w:right w:val="none" w:sz="0" w:space="0" w:color="auto"/>
      </w:divBdr>
    </w:div>
    <w:div w:id="1163935288">
      <w:bodyDiv w:val="1"/>
      <w:marLeft w:val="0"/>
      <w:marRight w:val="0"/>
      <w:marTop w:val="0"/>
      <w:marBottom w:val="0"/>
      <w:divBdr>
        <w:top w:val="none" w:sz="0" w:space="0" w:color="auto"/>
        <w:left w:val="none" w:sz="0" w:space="0" w:color="auto"/>
        <w:bottom w:val="none" w:sz="0" w:space="0" w:color="auto"/>
        <w:right w:val="none" w:sz="0" w:space="0" w:color="auto"/>
      </w:divBdr>
    </w:div>
    <w:div w:id="1329136384">
      <w:bodyDiv w:val="1"/>
      <w:marLeft w:val="0"/>
      <w:marRight w:val="0"/>
      <w:marTop w:val="0"/>
      <w:marBottom w:val="0"/>
      <w:divBdr>
        <w:top w:val="none" w:sz="0" w:space="0" w:color="auto"/>
        <w:left w:val="none" w:sz="0" w:space="0" w:color="auto"/>
        <w:bottom w:val="none" w:sz="0" w:space="0" w:color="auto"/>
        <w:right w:val="none" w:sz="0" w:space="0" w:color="auto"/>
      </w:divBdr>
    </w:div>
    <w:div w:id="1655798071">
      <w:bodyDiv w:val="1"/>
      <w:marLeft w:val="0"/>
      <w:marRight w:val="0"/>
      <w:marTop w:val="0"/>
      <w:marBottom w:val="0"/>
      <w:divBdr>
        <w:top w:val="none" w:sz="0" w:space="0" w:color="auto"/>
        <w:left w:val="none" w:sz="0" w:space="0" w:color="auto"/>
        <w:bottom w:val="none" w:sz="0" w:space="0" w:color="auto"/>
        <w:right w:val="none" w:sz="0" w:space="0" w:color="auto"/>
      </w:divBdr>
    </w:div>
    <w:div w:id="1683891963">
      <w:bodyDiv w:val="1"/>
      <w:marLeft w:val="0"/>
      <w:marRight w:val="0"/>
      <w:marTop w:val="0"/>
      <w:marBottom w:val="0"/>
      <w:divBdr>
        <w:top w:val="none" w:sz="0" w:space="0" w:color="auto"/>
        <w:left w:val="none" w:sz="0" w:space="0" w:color="auto"/>
        <w:bottom w:val="none" w:sz="0" w:space="0" w:color="auto"/>
        <w:right w:val="none" w:sz="0" w:space="0" w:color="auto"/>
      </w:divBdr>
    </w:div>
    <w:div w:id="1723358545">
      <w:bodyDiv w:val="1"/>
      <w:marLeft w:val="0"/>
      <w:marRight w:val="0"/>
      <w:marTop w:val="0"/>
      <w:marBottom w:val="0"/>
      <w:divBdr>
        <w:top w:val="none" w:sz="0" w:space="0" w:color="auto"/>
        <w:left w:val="none" w:sz="0" w:space="0" w:color="auto"/>
        <w:bottom w:val="none" w:sz="0" w:space="0" w:color="auto"/>
        <w:right w:val="none" w:sz="0" w:space="0" w:color="auto"/>
      </w:divBdr>
    </w:div>
    <w:div w:id="1881431796">
      <w:bodyDiv w:val="1"/>
      <w:marLeft w:val="0"/>
      <w:marRight w:val="0"/>
      <w:marTop w:val="0"/>
      <w:marBottom w:val="0"/>
      <w:divBdr>
        <w:top w:val="none" w:sz="0" w:space="0" w:color="auto"/>
        <w:left w:val="none" w:sz="0" w:space="0" w:color="auto"/>
        <w:bottom w:val="none" w:sz="0" w:space="0" w:color="auto"/>
        <w:right w:val="none" w:sz="0" w:space="0" w:color="auto"/>
      </w:divBdr>
    </w:div>
    <w:div w:id="1890870911">
      <w:bodyDiv w:val="1"/>
      <w:marLeft w:val="0"/>
      <w:marRight w:val="0"/>
      <w:marTop w:val="0"/>
      <w:marBottom w:val="0"/>
      <w:divBdr>
        <w:top w:val="none" w:sz="0" w:space="0" w:color="auto"/>
        <w:left w:val="none" w:sz="0" w:space="0" w:color="auto"/>
        <w:bottom w:val="none" w:sz="0" w:space="0" w:color="auto"/>
        <w:right w:val="none" w:sz="0" w:space="0" w:color="auto"/>
      </w:divBdr>
    </w:div>
    <w:div w:id="1958487558">
      <w:bodyDiv w:val="1"/>
      <w:marLeft w:val="0"/>
      <w:marRight w:val="0"/>
      <w:marTop w:val="0"/>
      <w:marBottom w:val="0"/>
      <w:divBdr>
        <w:top w:val="none" w:sz="0" w:space="0" w:color="auto"/>
        <w:left w:val="none" w:sz="0" w:space="0" w:color="auto"/>
        <w:bottom w:val="none" w:sz="0" w:space="0" w:color="auto"/>
        <w:right w:val="none" w:sz="0" w:space="0" w:color="auto"/>
      </w:divBdr>
    </w:div>
    <w:div w:id="19649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ctionar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6</TotalTime>
  <Pages>4</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802.11-19/0321r0</vt:lpstr>
    </vt:vector>
  </TitlesOfParts>
  <Company>Some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802.11-19/0321r0</dc:title>
  <dc:subject>Submission</dc:subject>
  <dc:creator>Editor</dc:creator>
  <cp:keywords>March 2019</cp:keywords>
  <dc:description>Assaf Kasher, Qualcomm</dc:description>
  <cp:lastModifiedBy>Assaf Kasher</cp:lastModifiedBy>
  <cp:revision>3</cp:revision>
  <cp:lastPrinted>1900-01-01T17:00:00Z</cp:lastPrinted>
  <dcterms:created xsi:type="dcterms:W3CDTF">2019-03-12T00:33:00Z</dcterms:created>
  <dcterms:modified xsi:type="dcterms:W3CDTF">2019-03-11T20:49:00Z</dcterms:modified>
</cp:coreProperties>
</file>