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138B3E1" w:rsidR="008717CE" w:rsidRPr="00183F4C" w:rsidRDefault="00DE584F" w:rsidP="008717CE">
            <w:pPr>
              <w:pStyle w:val="T2"/>
              <w:rPr>
                <w:lang w:eastAsia="ko-KR"/>
              </w:rPr>
            </w:pPr>
            <w:r>
              <w:rPr>
                <w:lang w:eastAsia="ko-KR"/>
              </w:rPr>
              <w:t>Comment resolutions for</w:t>
            </w:r>
            <w:r w:rsidR="000A3567">
              <w:rPr>
                <w:lang w:eastAsia="ko-KR"/>
              </w:rPr>
              <w:t xml:space="preserve"> </w:t>
            </w:r>
            <w:r w:rsidR="00E40373">
              <w:rPr>
                <w:lang w:eastAsia="ko-KR"/>
              </w:rPr>
              <w:t>HE BSS operation</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6BE66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261CD0">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C0FCC">
        <w:rPr>
          <w:lang w:eastAsia="ko-KR"/>
        </w:rPr>
        <w:t>1</w:t>
      </w:r>
      <w:r w:rsidR="00FB7F2F">
        <w:rPr>
          <w:lang w:eastAsia="ko-KR"/>
        </w:rPr>
        <w:t>3</w:t>
      </w:r>
      <w:r w:rsidR="00941A27">
        <w:rPr>
          <w:lang w:eastAsia="ko-KR"/>
        </w:rPr>
        <w:t xml:space="preserve"> CIDs)</w:t>
      </w:r>
      <w:r w:rsidR="00E920E1">
        <w:rPr>
          <w:lang w:eastAsia="ko-KR"/>
        </w:rPr>
        <w:t>:</w:t>
      </w:r>
    </w:p>
    <w:p w14:paraId="03E85457" w14:textId="77777777" w:rsidR="00FB7F2F" w:rsidRDefault="00DC0FCC" w:rsidP="00232733">
      <w:pPr>
        <w:pStyle w:val="ListParagraph"/>
        <w:numPr>
          <w:ilvl w:val="0"/>
          <w:numId w:val="30"/>
        </w:numPr>
        <w:ind w:leftChars="0"/>
        <w:jc w:val="both"/>
        <w:rPr>
          <w:lang w:eastAsia="ko-KR"/>
        </w:rPr>
      </w:pPr>
      <w:r>
        <w:rPr>
          <w:lang w:eastAsia="ko-KR"/>
        </w:rPr>
        <w:t xml:space="preserve">20126, 20240, 20347, 20348, 20905, 21268, 21269, 21270, 21272, 21275, </w:t>
      </w:r>
    </w:p>
    <w:p w14:paraId="1A20E2DE" w14:textId="2AF49441" w:rsidR="00535EBE" w:rsidRPr="00EB7A8A" w:rsidRDefault="00DC0FCC" w:rsidP="00232733">
      <w:pPr>
        <w:pStyle w:val="ListParagraph"/>
        <w:numPr>
          <w:ilvl w:val="0"/>
          <w:numId w:val="30"/>
        </w:numPr>
        <w:ind w:leftChars="0"/>
        <w:jc w:val="both"/>
        <w:rPr>
          <w:lang w:eastAsia="ko-KR"/>
        </w:rPr>
      </w:pPr>
      <w:r>
        <w:rPr>
          <w:lang w:eastAsia="ko-KR"/>
        </w:rPr>
        <w:t>21277</w:t>
      </w:r>
      <w:r w:rsidRPr="00EB7A8A">
        <w:rPr>
          <w:lang w:eastAsia="ko-KR"/>
        </w:rPr>
        <w:t>, 21279, 21493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2520"/>
        <w:gridCol w:w="4500"/>
      </w:tblGrid>
      <w:tr w:rsidR="00AD7FBD" w:rsidRPr="001F620B" w14:paraId="2ADECA54" w14:textId="77777777" w:rsidTr="00BB319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5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B6BEC" w:rsidRPr="001F620B" w14:paraId="070E35F5" w14:textId="77777777" w:rsidTr="00BB319E">
        <w:trPr>
          <w:trHeight w:val="220"/>
        </w:trPr>
        <w:tc>
          <w:tcPr>
            <w:tcW w:w="696" w:type="dxa"/>
            <w:shd w:val="clear" w:color="auto" w:fill="auto"/>
            <w:noWrap/>
          </w:tcPr>
          <w:p w14:paraId="6516BEC0" w14:textId="1AF94641"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20126</w:t>
            </w:r>
          </w:p>
        </w:tc>
        <w:tc>
          <w:tcPr>
            <w:tcW w:w="1061" w:type="dxa"/>
            <w:shd w:val="clear" w:color="auto" w:fill="auto"/>
            <w:noWrap/>
          </w:tcPr>
          <w:p w14:paraId="34A0CA4E" w14:textId="6808EF92"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Alfred Asterjadhi</w:t>
            </w:r>
          </w:p>
        </w:tc>
        <w:tc>
          <w:tcPr>
            <w:tcW w:w="540" w:type="dxa"/>
            <w:shd w:val="clear" w:color="auto" w:fill="auto"/>
            <w:noWrap/>
          </w:tcPr>
          <w:p w14:paraId="177DE429" w14:textId="5923B301"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429.05</w:t>
            </w:r>
          </w:p>
        </w:tc>
        <w:tc>
          <w:tcPr>
            <w:tcW w:w="2090" w:type="dxa"/>
            <w:shd w:val="clear" w:color="auto" w:fill="auto"/>
            <w:noWrap/>
          </w:tcPr>
          <w:p w14:paraId="53A6B9DB" w14:textId="3CCEB1E9"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This last sentence is applicable only for the 6 GHz band. Add " the 6 GHz band".</w:t>
            </w:r>
          </w:p>
        </w:tc>
        <w:tc>
          <w:tcPr>
            <w:tcW w:w="2520" w:type="dxa"/>
            <w:shd w:val="clear" w:color="auto" w:fill="auto"/>
            <w:noWrap/>
          </w:tcPr>
          <w:p w14:paraId="3E34F2E8" w14:textId="608BFF0D"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As in comment.</w:t>
            </w:r>
          </w:p>
        </w:tc>
        <w:tc>
          <w:tcPr>
            <w:tcW w:w="4500" w:type="dxa"/>
            <w:shd w:val="clear" w:color="auto" w:fill="auto"/>
            <w:vAlign w:val="center"/>
          </w:tcPr>
          <w:p w14:paraId="3947B1C0" w14:textId="07BE4ADF" w:rsidR="003B6BEC" w:rsidRDefault="003B6BEC" w:rsidP="003B6BEC">
            <w:pPr>
              <w:jc w:val="both"/>
              <w:rPr>
                <w:rFonts w:eastAsia="Times New Roman"/>
                <w:bCs/>
                <w:color w:val="000000"/>
                <w:sz w:val="16"/>
                <w:szCs w:val="16"/>
                <w:lang w:val="en-US"/>
              </w:rPr>
            </w:pPr>
            <w:r>
              <w:rPr>
                <w:rFonts w:eastAsia="Times New Roman"/>
                <w:bCs/>
                <w:color w:val="000000"/>
                <w:sz w:val="16"/>
                <w:szCs w:val="16"/>
                <w:lang w:val="en-US"/>
              </w:rPr>
              <w:t>Revised –</w:t>
            </w:r>
          </w:p>
          <w:p w14:paraId="2A4AF4A7" w14:textId="77777777" w:rsidR="00936B04" w:rsidRDefault="00936B04" w:rsidP="003B6BEC">
            <w:pPr>
              <w:jc w:val="both"/>
              <w:rPr>
                <w:rFonts w:eastAsia="Times New Roman"/>
                <w:bCs/>
                <w:color w:val="000000"/>
                <w:sz w:val="16"/>
                <w:szCs w:val="16"/>
                <w:lang w:val="en-US"/>
              </w:rPr>
            </w:pPr>
          </w:p>
          <w:p w14:paraId="1C7732AB" w14:textId="17C8BC87" w:rsidR="003B6BEC" w:rsidRDefault="00975241" w:rsidP="003B6BE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0AF55532" w14:textId="77777777" w:rsidR="00975241" w:rsidRDefault="00975241" w:rsidP="003B6BEC">
            <w:pPr>
              <w:jc w:val="both"/>
              <w:rPr>
                <w:rFonts w:eastAsia="Times New Roman"/>
                <w:bCs/>
                <w:color w:val="000000"/>
                <w:sz w:val="16"/>
                <w:szCs w:val="16"/>
                <w:lang w:val="en-US"/>
              </w:rPr>
            </w:pPr>
          </w:p>
          <w:p w14:paraId="10577AC9" w14:textId="158418F6" w:rsidR="003B6BEC" w:rsidRPr="00002955" w:rsidRDefault="003B6BEC" w:rsidP="003B6BE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936B04">
              <w:rPr>
                <w:rFonts w:eastAsia="Times New Roman"/>
                <w:bCs/>
                <w:color w:val="000000"/>
                <w:sz w:val="16"/>
                <w:szCs w:val="16"/>
                <w:lang w:val="en-US"/>
              </w:rPr>
              <w:t>0302</w:t>
            </w:r>
            <w:r>
              <w:rPr>
                <w:rFonts w:eastAsia="Times New Roman"/>
                <w:bCs/>
                <w:color w:val="000000"/>
                <w:sz w:val="16"/>
                <w:szCs w:val="16"/>
                <w:lang w:val="en-US"/>
              </w:rPr>
              <w:t>r</w:t>
            </w:r>
            <w:r w:rsidR="00936B04">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975241">
              <w:rPr>
                <w:rFonts w:eastAsia="Times New Roman"/>
                <w:bCs/>
                <w:color w:val="000000"/>
                <w:sz w:val="16"/>
                <w:szCs w:val="16"/>
                <w:lang w:val="en-US"/>
              </w:rPr>
              <w:t>20126</w:t>
            </w:r>
            <w:r w:rsidRPr="004C4A47">
              <w:rPr>
                <w:rFonts w:eastAsia="Times New Roman"/>
                <w:bCs/>
                <w:color w:val="000000"/>
                <w:sz w:val="16"/>
                <w:szCs w:val="16"/>
                <w:lang w:val="en-US"/>
              </w:rPr>
              <w:t>.</w:t>
            </w:r>
          </w:p>
        </w:tc>
      </w:tr>
      <w:tr w:rsidR="003B6BEC" w:rsidRPr="001F620B" w14:paraId="4E4E7B55" w14:textId="77777777" w:rsidTr="00BB319E">
        <w:trPr>
          <w:trHeight w:val="220"/>
        </w:trPr>
        <w:tc>
          <w:tcPr>
            <w:tcW w:w="696" w:type="dxa"/>
            <w:shd w:val="clear" w:color="auto" w:fill="auto"/>
            <w:noWrap/>
          </w:tcPr>
          <w:p w14:paraId="197132BB" w14:textId="39DBAA94" w:rsidR="003B6BEC" w:rsidRPr="002130DC" w:rsidRDefault="003B6BEC" w:rsidP="003B6BEC">
            <w:pPr>
              <w:jc w:val="both"/>
              <w:rPr>
                <w:rFonts w:eastAsia="Times New Roman"/>
                <w:bCs/>
                <w:color w:val="000000"/>
                <w:sz w:val="16"/>
                <w:szCs w:val="16"/>
                <w:lang w:val="en-US"/>
              </w:rPr>
            </w:pPr>
            <w:bookmarkStart w:id="0" w:name="_Hlk2347848"/>
            <w:r w:rsidRPr="003B6BEC">
              <w:rPr>
                <w:rFonts w:eastAsia="Times New Roman"/>
                <w:bCs/>
                <w:color w:val="000000"/>
                <w:sz w:val="16"/>
                <w:szCs w:val="16"/>
                <w:lang w:val="en-US"/>
              </w:rPr>
              <w:t>20240</w:t>
            </w:r>
          </w:p>
        </w:tc>
        <w:tc>
          <w:tcPr>
            <w:tcW w:w="1061" w:type="dxa"/>
            <w:shd w:val="clear" w:color="auto" w:fill="auto"/>
            <w:noWrap/>
          </w:tcPr>
          <w:p w14:paraId="26B3F9BD" w14:textId="3B2BB0E1"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Huizhao Wang</w:t>
            </w:r>
          </w:p>
        </w:tc>
        <w:tc>
          <w:tcPr>
            <w:tcW w:w="540" w:type="dxa"/>
            <w:shd w:val="clear" w:color="auto" w:fill="auto"/>
            <w:noWrap/>
          </w:tcPr>
          <w:p w14:paraId="61809E47" w14:textId="4997044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429.20</w:t>
            </w:r>
          </w:p>
        </w:tc>
        <w:tc>
          <w:tcPr>
            <w:tcW w:w="2090" w:type="dxa"/>
            <w:shd w:val="clear" w:color="auto" w:fill="auto"/>
            <w:noWrap/>
          </w:tcPr>
          <w:p w14:paraId="1E44E2BC" w14:textId="75C4738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160MHz MCS + NSS capabilities for VHT may not be the same as in HE</w:t>
            </w:r>
          </w:p>
        </w:tc>
        <w:tc>
          <w:tcPr>
            <w:tcW w:w="2520" w:type="dxa"/>
            <w:shd w:val="clear" w:color="auto" w:fill="auto"/>
            <w:noWrap/>
          </w:tcPr>
          <w:p w14:paraId="53BB1113" w14:textId="0C911222"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Remove the statements</w:t>
            </w:r>
            <w:r w:rsidRPr="003B6BEC">
              <w:rPr>
                <w:rFonts w:eastAsia="Times New Roman"/>
                <w:bCs/>
                <w:color w:val="000000"/>
                <w:sz w:val="16"/>
                <w:szCs w:val="16"/>
                <w:lang w:val="en-US"/>
              </w:rPr>
              <w:br/>
            </w:r>
            <w:r w:rsidRPr="003B6BEC">
              <w:rPr>
                <w:rFonts w:eastAsia="Times New Roman"/>
                <w:bCs/>
                <w:color w:val="000000"/>
                <w:sz w:val="16"/>
                <w:szCs w:val="16"/>
                <w:lang w:val="en-US"/>
              </w:rPr>
              <w:br/>
              <w:t xml:space="preserve">"If a STA supports 160 MHz, the Maximum NSS defined by its Rx VHTMCS Map field and Extended NSS BW Support field in the VHT Capabilities element at 160 MHz shall not be more than the maximum NSS defined by its Rx HE-MCS Map For 160 MHz field in the HE Capabilities element at 160 </w:t>
            </w:r>
            <w:proofErr w:type="spellStart"/>
            <w:r w:rsidRPr="003B6BEC">
              <w:rPr>
                <w:rFonts w:eastAsia="Times New Roman"/>
                <w:bCs/>
                <w:color w:val="000000"/>
                <w:sz w:val="16"/>
                <w:szCs w:val="16"/>
                <w:lang w:val="en-US"/>
              </w:rPr>
              <w:t>MHz.</w:t>
            </w:r>
            <w:proofErr w:type="spellEnd"/>
            <w:r w:rsidRPr="003B6BEC">
              <w:rPr>
                <w:rFonts w:eastAsia="Times New Roman"/>
                <w:bCs/>
                <w:color w:val="000000"/>
                <w:sz w:val="16"/>
                <w:szCs w:val="16"/>
                <w:lang w:val="en-US"/>
              </w:rPr>
              <w:t xml:space="preserve">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w:t>
            </w:r>
            <w:proofErr w:type="spellStart"/>
            <w:r w:rsidRPr="003B6BEC">
              <w:rPr>
                <w:rFonts w:eastAsia="Times New Roman"/>
                <w:bCs/>
                <w:color w:val="000000"/>
                <w:sz w:val="16"/>
                <w:szCs w:val="16"/>
                <w:lang w:val="en-US"/>
              </w:rPr>
              <w:t>MHz.</w:t>
            </w:r>
            <w:proofErr w:type="spellEnd"/>
            <w:r w:rsidRPr="003B6BEC">
              <w:rPr>
                <w:rFonts w:eastAsia="Times New Roman"/>
                <w:bCs/>
                <w:color w:val="000000"/>
                <w:sz w:val="16"/>
                <w:szCs w:val="16"/>
                <w:lang w:val="en-US"/>
              </w:rPr>
              <w:t xml:space="preserve"> "</w:t>
            </w:r>
          </w:p>
        </w:tc>
        <w:tc>
          <w:tcPr>
            <w:tcW w:w="4500" w:type="dxa"/>
            <w:shd w:val="clear" w:color="auto" w:fill="auto"/>
            <w:vAlign w:val="center"/>
          </w:tcPr>
          <w:p w14:paraId="30EA98D3" w14:textId="154FF128" w:rsidR="003B6BEC" w:rsidRDefault="00936B04" w:rsidP="003B6BEC">
            <w:pPr>
              <w:jc w:val="both"/>
              <w:rPr>
                <w:rFonts w:eastAsia="Times New Roman"/>
                <w:bCs/>
                <w:color w:val="000000"/>
                <w:sz w:val="16"/>
                <w:szCs w:val="16"/>
                <w:lang w:val="en-US"/>
              </w:rPr>
            </w:pPr>
            <w:r>
              <w:rPr>
                <w:rFonts w:eastAsia="Times New Roman"/>
                <w:bCs/>
                <w:color w:val="000000"/>
                <w:sz w:val="16"/>
                <w:szCs w:val="16"/>
                <w:lang w:val="en-US"/>
              </w:rPr>
              <w:t>Rejected –</w:t>
            </w:r>
          </w:p>
          <w:p w14:paraId="491CE891" w14:textId="77777777" w:rsidR="00936B04" w:rsidRDefault="00936B04" w:rsidP="003B6BEC">
            <w:pPr>
              <w:jc w:val="both"/>
              <w:rPr>
                <w:rFonts w:eastAsia="Times New Roman"/>
                <w:bCs/>
                <w:color w:val="000000"/>
                <w:sz w:val="16"/>
                <w:szCs w:val="16"/>
                <w:lang w:val="en-US"/>
              </w:rPr>
            </w:pPr>
          </w:p>
          <w:p w14:paraId="63A4C4F8" w14:textId="77777777" w:rsidR="00936B04" w:rsidRDefault="006527F0" w:rsidP="003B6BEC">
            <w:pPr>
              <w:jc w:val="both"/>
              <w:rPr>
                <w:rFonts w:eastAsia="Times New Roman"/>
                <w:bCs/>
                <w:color w:val="000000"/>
                <w:sz w:val="16"/>
                <w:szCs w:val="16"/>
                <w:lang w:val="en-US"/>
              </w:rPr>
            </w:pPr>
            <w:r w:rsidRPr="006527F0">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070D6FEC" w14:textId="77777777" w:rsidR="00A1168A" w:rsidRDefault="00A1168A" w:rsidP="003B6BEC">
            <w:pPr>
              <w:jc w:val="both"/>
              <w:rPr>
                <w:rFonts w:eastAsia="Times New Roman"/>
                <w:bCs/>
                <w:color w:val="000000"/>
                <w:sz w:val="16"/>
                <w:szCs w:val="16"/>
                <w:lang w:val="en-US"/>
              </w:rPr>
            </w:pPr>
          </w:p>
          <w:p w14:paraId="4A8AEA62" w14:textId="6043CFFC" w:rsidR="00A1168A" w:rsidRPr="00002955" w:rsidRDefault="00A1168A" w:rsidP="003B6BEC">
            <w:pPr>
              <w:jc w:val="both"/>
              <w:rPr>
                <w:rFonts w:eastAsia="Times New Roman"/>
                <w:bCs/>
                <w:color w:val="000000"/>
                <w:sz w:val="16"/>
                <w:szCs w:val="16"/>
                <w:lang w:val="en-US"/>
              </w:rPr>
            </w:pPr>
            <w:r>
              <w:rPr>
                <w:rFonts w:eastAsia="Times New Roman"/>
                <w:bCs/>
                <w:color w:val="000000"/>
                <w:sz w:val="16"/>
                <w:szCs w:val="16"/>
                <w:lang w:val="en-US"/>
              </w:rPr>
              <w:t xml:space="preserve">Please note that the capabilities of a device are the same independently of the amendment. Once the STA associates with or operates as a VHT/HE device then the STA can lower or increase its operating parameters. This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PAR requirement that an HE STA is a VHT STA.</w:t>
            </w:r>
          </w:p>
        </w:tc>
      </w:tr>
      <w:bookmarkEnd w:id="0"/>
      <w:tr w:rsidR="003B6BEC" w:rsidRPr="001F620B" w14:paraId="676D2805" w14:textId="77777777" w:rsidTr="00BB319E">
        <w:trPr>
          <w:trHeight w:val="220"/>
        </w:trPr>
        <w:tc>
          <w:tcPr>
            <w:tcW w:w="696" w:type="dxa"/>
            <w:shd w:val="clear" w:color="auto" w:fill="auto"/>
            <w:noWrap/>
          </w:tcPr>
          <w:p w14:paraId="4E0B9269" w14:textId="162D7BA9"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20347</w:t>
            </w:r>
          </w:p>
        </w:tc>
        <w:tc>
          <w:tcPr>
            <w:tcW w:w="1061" w:type="dxa"/>
            <w:shd w:val="clear" w:color="auto" w:fill="auto"/>
            <w:noWrap/>
          </w:tcPr>
          <w:p w14:paraId="2CFCA754" w14:textId="69EDC6A7" w:rsidR="003B6BEC" w:rsidRPr="002130DC" w:rsidRDefault="003B6BEC" w:rsidP="003B6BEC">
            <w:pPr>
              <w:jc w:val="both"/>
              <w:rPr>
                <w:rFonts w:eastAsia="Times New Roman"/>
                <w:bCs/>
                <w:color w:val="000000"/>
                <w:sz w:val="16"/>
                <w:szCs w:val="16"/>
                <w:lang w:val="en-US"/>
              </w:rPr>
            </w:pPr>
            <w:proofErr w:type="spellStart"/>
            <w:r w:rsidRPr="003B6BEC">
              <w:rPr>
                <w:rFonts w:eastAsia="Times New Roman"/>
                <w:bCs/>
                <w:color w:val="000000"/>
                <w:sz w:val="16"/>
                <w:szCs w:val="16"/>
                <w:lang w:val="en-US"/>
              </w:rPr>
              <w:t>kaiying</w:t>
            </w:r>
            <w:proofErr w:type="spellEnd"/>
            <w:r w:rsidRPr="003B6BEC">
              <w:rPr>
                <w:rFonts w:eastAsia="Times New Roman"/>
                <w:bCs/>
                <w:color w:val="000000"/>
                <w:sz w:val="16"/>
                <w:szCs w:val="16"/>
                <w:lang w:val="en-US"/>
              </w:rPr>
              <w:t xml:space="preserve"> </w:t>
            </w:r>
            <w:proofErr w:type="spellStart"/>
            <w:r w:rsidRPr="003B6BEC">
              <w:rPr>
                <w:rFonts w:eastAsia="Times New Roman"/>
                <w:bCs/>
                <w:color w:val="000000"/>
                <w:sz w:val="16"/>
                <w:szCs w:val="16"/>
                <w:lang w:val="en-US"/>
              </w:rPr>
              <w:t>Lv</w:t>
            </w:r>
            <w:proofErr w:type="spellEnd"/>
          </w:p>
        </w:tc>
        <w:tc>
          <w:tcPr>
            <w:tcW w:w="540" w:type="dxa"/>
            <w:shd w:val="clear" w:color="auto" w:fill="auto"/>
            <w:noWrap/>
          </w:tcPr>
          <w:p w14:paraId="73AC0B8B" w14:textId="418C0C9B"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427.12</w:t>
            </w:r>
          </w:p>
        </w:tc>
        <w:tc>
          <w:tcPr>
            <w:tcW w:w="2090" w:type="dxa"/>
            <w:shd w:val="clear" w:color="auto" w:fill="auto"/>
            <w:noWrap/>
          </w:tcPr>
          <w:p w14:paraId="2A43BF05" w14:textId="577C06A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80 MHz is mandatory in 6GHz band. Add the case for 6GH</w:t>
            </w:r>
            <w:r w:rsidR="00F158D5">
              <w:rPr>
                <w:rFonts w:eastAsia="Times New Roman"/>
                <w:bCs/>
                <w:color w:val="000000"/>
                <w:sz w:val="16"/>
                <w:szCs w:val="16"/>
                <w:lang w:val="en-US"/>
              </w:rPr>
              <w:t>z</w:t>
            </w:r>
            <w:r w:rsidRPr="003B6BEC">
              <w:rPr>
                <w:rFonts w:eastAsia="Times New Roman"/>
                <w:bCs/>
                <w:color w:val="000000"/>
                <w:sz w:val="16"/>
                <w:szCs w:val="16"/>
                <w:lang w:val="en-US"/>
              </w:rPr>
              <w:t>.</w:t>
            </w:r>
          </w:p>
        </w:tc>
        <w:tc>
          <w:tcPr>
            <w:tcW w:w="2520" w:type="dxa"/>
            <w:shd w:val="clear" w:color="auto" w:fill="auto"/>
            <w:noWrap/>
          </w:tcPr>
          <w:p w14:paraId="0403EF79" w14:textId="7CAB6407"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Change to "If the STA is an HE AP then it shall indicate support for at least 80 MHz channel width if it operates in 5 GHz or 6GHz; otherwise it may indicate any channel width support."</w:t>
            </w:r>
          </w:p>
        </w:tc>
        <w:tc>
          <w:tcPr>
            <w:tcW w:w="4500" w:type="dxa"/>
            <w:shd w:val="clear" w:color="auto" w:fill="auto"/>
            <w:vAlign w:val="center"/>
          </w:tcPr>
          <w:p w14:paraId="109AC51A" w14:textId="3021845F" w:rsidR="003B6BEC" w:rsidRDefault="003B08A8" w:rsidP="003B6BEC">
            <w:pPr>
              <w:jc w:val="both"/>
              <w:rPr>
                <w:rFonts w:eastAsia="Times New Roman"/>
                <w:bCs/>
                <w:color w:val="000000"/>
                <w:sz w:val="16"/>
                <w:szCs w:val="16"/>
                <w:lang w:val="en-US"/>
              </w:rPr>
            </w:pPr>
            <w:r>
              <w:rPr>
                <w:rFonts w:eastAsia="Times New Roman"/>
                <w:bCs/>
                <w:color w:val="000000"/>
                <w:sz w:val="16"/>
                <w:szCs w:val="16"/>
                <w:lang w:val="en-US"/>
              </w:rPr>
              <w:t>Rejected –</w:t>
            </w:r>
          </w:p>
          <w:p w14:paraId="7C114659" w14:textId="77777777" w:rsidR="003B08A8" w:rsidRDefault="003B08A8" w:rsidP="003B6BEC">
            <w:pPr>
              <w:jc w:val="both"/>
              <w:rPr>
                <w:rFonts w:eastAsia="Times New Roman"/>
                <w:bCs/>
                <w:color w:val="000000"/>
                <w:sz w:val="16"/>
                <w:szCs w:val="16"/>
                <w:lang w:val="en-US"/>
              </w:rPr>
            </w:pPr>
          </w:p>
          <w:p w14:paraId="44ABBF2C" w14:textId="77777777" w:rsidR="003B08A8" w:rsidRDefault="003B08A8" w:rsidP="003B6BEC">
            <w:pPr>
              <w:jc w:val="both"/>
              <w:rPr>
                <w:rFonts w:eastAsia="Times New Roman"/>
                <w:bCs/>
                <w:color w:val="000000"/>
                <w:sz w:val="16"/>
                <w:szCs w:val="16"/>
                <w:lang w:val="en-US"/>
              </w:rPr>
            </w:pPr>
            <w:r>
              <w:rPr>
                <w:rFonts w:eastAsia="Times New Roman"/>
                <w:bCs/>
                <w:color w:val="000000"/>
                <w:sz w:val="16"/>
                <w:szCs w:val="16"/>
                <w:lang w:val="en-US"/>
              </w:rPr>
              <w:t xml:space="preserve">This requirement is already stated in subclause 26.17.2.1 (General). </w:t>
            </w:r>
          </w:p>
          <w:p w14:paraId="0D59E342" w14:textId="1DBE41E9" w:rsidR="003B08A8" w:rsidRDefault="003B08A8" w:rsidP="003B6BEC">
            <w:pPr>
              <w:jc w:val="both"/>
              <w:rPr>
                <w:rFonts w:eastAsia="Times New Roman"/>
                <w:bCs/>
                <w:color w:val="000000"/>
                <w:sz w:val="16"/>
                <w:szCs w:val="16"/>
                <w:lang w:val="en-US"/>
              </w:rPr>
            </w:pPr>
          </w:p>
          <w:p w14:paraId="26F3453D" w14:textId="7A97800F" w:rsidR="003B08A8" w:rsidRDefault="003B08A8" w:rsidP="003B6BEC">
            <w:pPr>
              <w:jc w:val="both"/>
              <w:rPr>
                <w:rFonts w:eastAsia="Times New Roman"/>
                <w:bCs/>
                <w:color w:val="000000"/>
                <w:sz w:val="16"/>
                <w:szCs w:val="16"/>
                <w:lang w:val="en-US"/>
              </w:rPr>
            </w:pPr>
            <w:r>
              <w:rPr>
                <w:rFonts w:eastAsia="Times New Roman"/>
                <w:bCs/>
                <w:color w:val="000000"/>
                <w:sz w:val="16"/>
                <w:szCs w:val="16"/>
                <w:lang w:val="en-US"/>
              </w:rPr>
              <w:t>“</w:t>
            </w:r>
            <w:proofErr w:type="spellStart"/>
            <w:r w:rsidRPr="003B08A8">
              <w:rPr>
                <w:rFonts w:eastAsia="Times New Roman"/>
                <w:bCs/>
                <w:color w:val="000000"/>
                <w:sz w:val="16"/>
                <w:szCs w:val="16"/>
                <w:lang w:val="en-US"/>
              </w:rPr>
              <w:t>An</w:t>
            </w:r>
            <w:proofErr w:type="spellEnd"/>
            <w:r w:rsidRPr="003B08A8">
              <w:rPr>
                <w:rFonts w:eastAsia="Times New Roman"/>
                <w:bCs/>
                <w:color w:val="000000"/>
                <w:sz w:val="16"/>
                <w:szCs w:val="16"/>
                <w:lang w:val="en-US"/>
              </w:rPr>
              <w:t xml:space="preserve"> HE AP operating in the 6 GHz band shall indicate support for at least 80 MHz channel width.</w:t>
            </w:r>
            <w:r>
              <w:rPr>
                <w:rFonts w:eastAsia="Times New Roman"/>
                <w:bCs/>
                <w:color w:val="000000"/>
                <w:sz w:val="16"/>
                <w:szCs w:val="16"/>
                <w:lang w:val="en-US"/>
              </w:rPr>
              <w:t>”</w:t>
            </w:r>
          </w:p>
          <w:p w14:paraId="647FEAD0" w14:textId="77777777" w:rsidR="003B08A8" w:rsidRDefault="003B08A8" w:rsidP="003B6BEC">
            <w:pPr>
              <w:jc w:val="both"/>
              <w:rPr>
                <w:rFonts w:eastAsia="Times New Roman"/>
                <w:bCs/>
                <w:color w:val="000000"/>
                <w:sz w:val="16"/>
                <w:szCs w:val="16"/>
                <w:lang w:val="en-US"/>
              </w:rPr>
            </w:pPr>
          </w:p>
          <w:p w14:paraId="2606A177" w14:textId="4A91DD0A" w:rsidR="003B08A8" w:rsidRPr="00002955" w:rsidRDefault="003B08A8" w:rsidP="003B08A8">
            <w:pPr>
              <w:jc w:val="both"/>
              <w:rPr>
                <w:rFonts w:eastAsia="Times New Roman"/>
                <w:bCs/>
                <w:color w:val="000000"/>
                <w:sz w:val="16"/>
                <w:szCs w:val="16"/>
                <w:lang w:val="en-US"/>
              </w:rPr>
            </w:pPr>
            <w:r>
              <w:rPr>
                <w:rFonts w:eastAsia="Times New Roman"/>
                <w:bCs/>
                <w:color w:val="000000"/>
                <w:sz w:val="16"/>
                <w:szCs w:val="16"/>
                <w:lang w:val="en-US"/>
              </w:rPr>
              <w:t>Adding it here would be a duplication.</w:t>
            </w:r>
          </w:p>
        </w:tc>
      </w:tr>
      <w:tr w:rsidR="003B6BEC" w:rsidRPr="001F620B" w14:paraId="2E8E974E" w14:textId="77777777" w:rsidTr="00BB319E">
        <w:trPr>
          <w:trHeight w:val="220"/>
        </w:trPr>
        <w:tc>
          <w:tcPr>
            <w:tcW w:w="696" w:type="dxa"/>
            <w:shd w:val="clear" w:color="auto" w:fill="auto"/>
            <w:noWrap/>
          </w:tcPr>
          <w:p w14:paraId="1C2FDF0A" w14:textId="61EAE0B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20348</w:t>
            </w:r>
          </w:p>
        </w:tc>
        <w:tc>
          <w:tcPr>
            <w:tcW w:w="1061" w:type="dxa"/>
            <w:shd w:val="clear" w:color="auto" w:fill="auto"/>
            <w:noWrap/>
          </w:tcPr>
          <w:p w14:paraId="738C32A9" w14:textId="0ABBA37A" w:rsidR="003B6BEC" w:rsidRPr="002130DC" w:rsidRDefault="003B6BEC" w:rsidP="003B6BEC">
            <w:pPr>
              <w:jc w:val="both"/>
              <w:rPr>
                <w:rFonts w:eastAsia="Times New Roman"/>
                <w:bCs/>
                <w:color w:val="000000"/>
                <w:sz w:val="16"/>
                <w:szCs w:val="16"/>
                <w:lang w:val="en-US"/>
              </w:rPr>
            </w:pPr>
            <w:proofErr w:type="spellStart"/>
            <w:r w:rsidRPr="003B6BEC">
              <w:rPr>
                <w:rFonts w:eastAsia="Times New Roman"/>
                <w:bCs/>
                <w:color w:val="000000"/>
                <w:sz w:val="16"/>
                <w:szCs w:val="16"/>
                <w:lang w:val="en-US"/>
              </w:rPr>
              <w:t>kaiying</w:t>
            </w:r>
            <w:proofErr w:type="spellEnd"/>
            <w:r w:rsidRPr="003B6BEC">
              <w:rPr>
                <w:rFonts w:eastAsia="Times New Roman"/>
                <w:bCs/>
                <w:color w:val="000000"/>
                <w:sz w:val="16"/>
                <w:szCs w:val="16"/>
                <w:lang w:val="en-US"/>
              </w:rPr>
              <w:t xml:space="preserve"> </w:t>
            </w:r>
            <w:proofErr w:type="spellStart"/>
            <w:r w:rsidRPr="003B6BEC">
              <w:rPr>
                <w:rFonts w:eastAsia="Times New Roman"/>
                <w:bCs/>
                <w:color w:val="000000"/>
                <w:sz w:val="16"/>
                <w:szCs w:val="16"/>
                <w:lang w:val="en-US"/>
              </w:rPr>
              <w:t>Lv</w:t>
            </w:r>
            <w:proofErr w:type="spellEnd"/>
          </w:p>
        </w:tc>
        <w:tc>
          <w:tcPr>
            <w:tcW w:w="540" w:type="dxa"/>
            <w:shd w:val="clear" w:color="auto" w:fill="auto"/>
            <w:noWrap/>
          </w:tcPr>
          <w:p w14:paraId="648067CA" w14:textId="34CC76F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427.46</w:t>
            </w:r>
          </w:p>
        </w:tc>
        <w:tc>
          <w:tcPr>
            <w:tcW w:w="2090" w:type="dxa"/>
            <w:shd w:val="clear" w:color="auto" w:fill="auto"/>
            <w:noWrap/>
          </w:tcPr>
          <w:p w14:paraId="2D1AADE4" w14:textId="562953B5"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VHT Operation is not supported in the 6GHz.</w:t>
            </w:r>
          </w:p>
        </w:tc>
        <w:tc>
          <w:tcPr>
            <w:tcW w:w="2520" w:type="dxa"/>
            <w:shd w:val="clear" w:color="auto" w:fill="auto"/>
            <w:noWrap/>
          </w:tcPr>
          <w:p w14:paraId="738DC0D1" w14:textId="0A7D27A4"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Change to: "An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or 6GHz band."</w:t>
            </w:r>
          </w:p>
        </w:tc>
        <w:tc>
          <w:tcPr>
            <w:tcW w:w="4500" w:type="dxa"/>
            <w:shd w:val="clear" w:color="auto" w:fill="auto"/>
            <w:vAlign w:val="center"/>
          </w:tcPr>
          <w:p w14:paraId="6731BC39" w14:textId="77777777" w:rsidR="0043717E" w:rsidRDefault="0043717E" w:rsidP="0043717E">
            <w:pPr>
              <w:jc w:val="both"/>
              <w:rPr>
                <w:rFonts w:eastAsia="Times New Roman"/>
                <w:bCs/>
                <w:color w:val="000000"/>
                <w:sz w:val="16"/>
                <w:szCs w:val="16"/>
                <w:lang w:val="en-US"/>
              </w:rPr>
            </w:pPr>
            <w:r>
              <w:rPr>
                <w:rFonts w:eastAsia="Times New Roman"/>
                <w:bCs/>
                <w:color w:val="000000"/>
                <w:sz w:val="16"/>
                <w:szCs w:val="16"/>
                <w:lang w:val="en-US"/>
              </w:rPr>
              <w:t>Revised –</w:t>
            </w:r>
          </w:p>
          <w:p w14:paraId="7A0ED70E" w14:textId="77777777" w:rsidR="0043717E" w:rsidRDefault="0043717E" w:rsidP="0043717E">
            <w:pPr>
              <w:jc w:val="both"/>
              <w:rPr>
                <w:rFonts w:eastAsia="Times New Roman"/>
                <w:bCs/>
                <w:color w:val="000000"/>
                <w:sz w:val="16"/>
                <w:szCs w:val="16"/>
                <w:lang w:val="en-US"/>
              </w:rPr>
            </w:pPr>
          </w:p>
          <w:p w14:paraId="265D3A0F" w14:textId="11E56164" w:rsidR="0043717E" w:rsidRDefault="0043717E" w:rsidP="0043717E">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we already specify this requirement in clause 26.17.2.1. Proposed resolution is to make it explicitly clear that it is the HE Operation element that contains the VHT Operation Information field.</w:t>
            </w:r>
          </w:p>
          <w:p w14:paraId="61892298" w14:textId="77777777" w:rsidR="0043717E" w:rsidRDefault="0043717E" w:rsidP="0043717E">
            <w:pPr>
              <w:jc w:val="both"/>
              <w:rPr>
                <w:rFonts w:eastAsia="Times New Roman"/>
                <w:bCs/>
                <w:color w:val="000000"/>
                <w:sz w:val="16"/>
                <w:szCs w:val="16"/>
                <w:lang w:val="en-US"/>
              </w:rPr>
            </w:pPr>
          </w:p>
          <w:p w14:paraId="202B0C96" w14:textId="616CA8C4" w:rsidR="003B6BEC" w:rsidRPr="00002955" w:rsidRDefault="0043717E" w:rsidP="0043717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20348</w:t>
            </w:r>
            <w:r w:rsidRPr="004C4A47">
              <w:rPr>
                <w:rFonts w:eastAsia="Times New Roman"/>
                <w:bCs/>
                <w:color w:val="000000"/>
                <w:sz w:val="16"/>
                <w:szCs w:val="16"/>
                <w:lang w:val="en-US"/>
              </w:rPr>
              <w:t>.</w:t>
            </w:r>
          </w:p>
        </w:tc>
      </w:tr>
      <w:tr w:rsidR="003B6BEC" w:rsidRPr="001F620B" w14:paraId="2A98194C" w14:textId="77777777" w:rsidTr="00BB319E">
        <w:trPr>
          <w:trHeight w:val="220"/>
        </w:trPr>
        <w:tc>
          <w:tcPr>
            <w:tcW w:w="696" w:type="dxa"/>
            <w:shd w:val="clear" w:color="auto" w:fill="auto"/>
            <w:noWrap/>
          </w:tcPr>
          <w:p w14:paraId="63BD8703" w14:textId="1609A380"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20905</w:t>
            </w:r>
          </w:p>
        </w:tc>
        <w:tc>
          <w:tcPr>
            <w:tcW w:w="1061" w:type="dxa"/>
            <w:shd w:val="clear" w:color="auto" w:fill="auto"/>
            <w:noWrap/>
          </w:tcPr>
          <w:p w14:paraId="78F17838" w14:textId="0AD21DA0"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Mark RISON</w:t>
            </w:r>
          </w:p>
        </w:tc>
        <w:tc>
          <w:tcPr>
            <w:tcW w:w="540" w:type="dxa"/>
            <w:shd w:val="clear" w:color="auto" w:fill="auto"/>
            <w:noWrap/>
          </w:tcPr>
          <w:p w14:paraId="629DFF64" w14:textId="56864CC2"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428.46</w:t>
            </w:r>
          </w:p>
        </w:tc>
        <w:tc>
          <w:tcPr>
            <w:tcW w:w="2090" w:type="dxa"/>
            <w:shd w:val="clear" w:color="auto" w:fill="auto"/>
            <w:noWrap/>
          </w:tcPr>
          <w:p w14:paraId="625B93B1" w14:textId="7F6311B3"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w:t>
            </w:r>
            <w:proofErr w:type="spellStart"/>
            <w:r w:rsidRPr="003B6BEC">
              <w:rPr>
                <w:rFonts w:eastAsia="Times New Roman"/>
                <w:bCs/>
                <w:color w:val="000000"/>
                <w:sz w:val="16"/>
                <w:szCs w:val="16"/>
                <w:lang w:val="en-US"/>
              </w:rPr>
              <w:t>An</w:t>
            </w:r>
            <w:proofErr w:type="spellEnd"/>
            <w:r w:rsidRPr="003B6BEC">
              <w:rPr>
                <w:rFonts w:eastAsia="Times New Roman"/>
                <w:bCs/>
                <w:color w:val="000000"/>
                <w:sz w:val="16"/>
                <w:szCs w:val="16"/>
                <w:lang w:val="en-US"/>
              </w:rPr>
              <w:t xml:space="preserve"> HE STA shall not transmit an MPDU in an HE PPDU to a STA that exceeds the maximum MPDU</w:t>
            </w:r>
            <w:r w:rsidRPr="003B6BEC">
              <w:rPr>
                <w:rFonts w:eastAsia="Times New Roman"/>
                <w:bCs/>
                <w:color w:val="000000"/>
                <w:sz w:val="16"/>
                <w:szCs w:val="16"/>
                <w:lang w:val="en-US"/>
              </w:rPr>
              <w:br/>
              <w:t>length capability indicated in the VHT Capabilities element received from the recipient STA or, if a VHT</w:t>
            </w:r>
            <w:r w:rsidRPr="003B6BEC">
              <w:rPr>
                <w:rFonts w:eastAsia="Times New Roman"/>
                <w:bCs/>
                <w:color w:val="000000"/>
                <w:sz w:val="16"/>
                <w:szCs w:val="16"/>
                <w:lang w:val="en-US"/>
              </w:rPr>
              <w:br/>
              <w:t>Capabilities element is not received, that exceeds the Maximum A-MSDU Length in the HT Capabilities</w:t>
            </w:r>
            <w:r w:rsidRPr="003B6BEC">
              <w:rPr>
                <w:rFonts w:eastAsia="Times New Roman"/>
                <w:bCs/>
                <w:color w:val="000000"/>
                <w:sz w:val="16"/>
                <w:szCs w:val="16"/>
                <w:lang w:val="en-US"/>
              </w:rPr>
              <w:br/>
              <w:t xml:space="preserve">element received from the </w:t>
            </w:r>
            <w:r w:rsidRPr="003B6BEC">
              <w:rPr>
                <w:rFonts w:eastAsia="Times New Roman"/>
                <w:bCs/>
                <w:color w:val="000000"/>
                <w:sz w:val="16"/>
                <w:szCs w:val="16"/>
                <w:lang w:val="en-US"/>
              </w:rPr>
              <w:lastRenderedPageBreak/>
              <w:t>recipient STA unless the MPDU is an HE Compressed Beamforming/CQI frame</w:t>
            </w:r>
            <w:r w:rsidRPr="003B6BEC">
              <w:rPr>
                <w:rFonts w:eastAsia="Times New Roman"/>
                <w:bCs/>
                <w:color w:val="000000"/>
                <w:sz w:val="16"/>
                <w:szCs w:val="16"/>
                <w:lang w:val="en-US"/>
              </w:rPr>
              <w:br/>
              <w:t>(see 26.7.3 (Rules for HE sounding protocol sequences))." -- (a) should be about STAs generally, for forward-compatibility (see baseline) (b) not clear how A-MSDU length relates to MPDU length (c) precedence of "unless" unclear</w:t>
            </w:r>
          </w:p>
        </w:tc>
        <w:tc>
          <w:tcPr>
            <w:tcW w:w="2520" w:type="dxa"/>
            <w:shd w:val="clear" w:color="auto" w:fill="auto"/>
            <w:noWrap/>
          </w:tcPr>
          <w:p w14:paraId="6E3DCA82" w14:textId="16AB075A"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lastRenderedPageBreak/>
              <w:t>Change the cited text at the referenced location to "An STA shall not transmit in an HE PPDU an MPDU other than an HE Compressed Beamforming/CQI frame</w:t>
            </w:r>
            <w:r w:rsidRPr="003B6BEC">
              <w:rPr>
                <w:rFonts w:eastAsia="Times New Roman"/>
                <w:bCs/>
                <w:color w:val="000000"/>
                <w:sz w:val="16"/>
                <w:szCs w:val="16"/>
                <w:lang w:val="en-US"/>
              </w:rPr>
              <w:br/>
              <w:t>(see 26.7.3 (Rules for HE sounding protocol sequences)) that exceeds the maximum MPDU</w:t>
            </w:r>
            <w:r w:rsidRPr="003B6BEC">
              <w:rPr>
                <w:rFonts w:eastAsia="Times New Roman"/>
                <w:bCs/>
                <w:color w:val="000000"/>
                <w:sz w:val="16"/>
                <w:szCs w:val="16"/>
                <w:lang w:val="en-US"/>
              </w:rPr>
              <w:br/>
              <w:t>length capability indicated in the VHT Capabilities element received from the recipient STA or, if a VHT</w:t>
            </w:r>
            <w:r w:rsidRPr="003B6BEC">
              <w:rPr>
                <w:rFonts w:eastAsia="Times New Roman"/>
                <w:bCs/>
                <w:color w:val="000000"/>
                <w:sz w:val="16"/>
                <w:szCs w:val="16"/>
                <w:lang w:val="en-US"/>
              </w:rPr>
              <w:br/>
              <w:t xml:space="preserve">Capabilities element was not </w:t>
            </w:r>
            <w:r w:rsidRPr="003B6BEC">
              <w:rPr>
                <w:rFonts w:eastAsia="Times New Roman"/>
                <w:bCs/>
                <w:color w:val="000000"/>
                <w:sz w:val="16"/>
                <w:szCs w:val="16"/>
                <w:lang w:val="en-US"/>
              </w:rPr>
              <w:lastRenderedPageBreak/>
              <w:t>received from that STA, that exceeds the maximum A-MSDU length capability indicated in the HT Capabilities</w:t>
            </w:r>
            <w:r w:rsidRPr="003B6BEC">
              <w:rPr>
                <w:rFonts w:eastAsia="Times New Roman"/>
                <w:bCs/>
                <w:color w:val="000000"/>
                <w:sz w:val="16"/>
                <w:szCs w:val="16"/>
                <w:lang w:val="en-US"/>
              </w:rPr>
              <w:br/>
              <w:t>element received from that STA.</w:t>
            </w:r>
            <w:r w:rsidRPr="003B6BEC">
              <w:rPr>
                <w:rFonts w:eastAsia="Times New Roman"/>
                <w:bCs/>
                <w:color w:val="000000"/>
                <w:sz w:val="16"/>
                <w:szCs w:val="16"/>
                <w:lang w:val="en-US"/>
              </w:rPr>
              <w:br/>
              <w:t xml:space="preserve">NOTE---The maximum A-MSDU length is not added to </w:t>
            </w:r>
            <w:proofErr w:type="spellStart"/>
            <w:r w:rsidRPr="003B6BEC">
              <w:rPr>
                <w:rFonts w:eastAsia="Times New Roman"/>
                <w:bCs/>
                <w:color w:val="000000"/>
                <w:sz w:val="16"/>
                <w:szCs w:val="16"/>
                <w:lang w:val="en-US"/>
              </w:rPr>
              <w:t>to</w:t>
            </w:r>
            <w:proofErr w:type="spellEnd"/>
            <w:r w:rsidRPr="003B6BEC">
              <w:rPr>
                <w:rFonts w:eastAsia="Times New Roman"/>
                <w:bCs/>
                <w:color w:val="000000"/>
                <w:sz w:val="16"/>
                <w:szCs w:val="16"/>
                <w:lang w:val="en-US"/>
              </w:rPr>
              <w:t xml:space="preserve"> account for the MAC header length."</w:t>
            </w:r>
          </w:p>
        </w:tc>
        <w:tc>
          <w:tcPr>
            <w:tcW w:w="4500" w:type="dxa"/>
            <w:shd w:val="clear" w:color="auto" w:fill="auto"/>
            <w:vAlign w:val="center"/>
          </w:tcPr>
          <w:p w14:paraId="70233FCA" w14:textId="77777777" w:rsidR="00700F0F" w:rsidRDefault="00700F0F" w:rsidP="00700F0F">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13530991" w14:textId="77777777" w:rsidR="00700F0F" w:rsidRDefault="00700F0F" w:rsidP="00700F0F">
            <w:pPr>
              <w:jc w:val="both"/>
              <w:rPr>
                <w:rFonts w:eastAsia="Times New Roman"/>
                <w:bCs/>
                <w:color w:val="000000"/>
                <w:sz w:val="16"/>
                <w:szCs w:val="16"/>
                <w:lang w:val="en-US"/>
              </w:rPr>
            </w:pPr>
          </w:p>
          <w:p w14:paraId="73A2C9C7" w14:textId="55B3D235" w:rsidR="00700F0F" w:rsidRDefault="00700F0F" w:rsidP="00700F0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except for point b) that </w:t>
            </w:r>
            <w:r w:rsidR="00A1168A">
              <w:rPr>
                <w:rFonts w:eastAsia="Times New Roman"/>
                <w:bCs/>
                <w:color w:val="000000"/>
                <w:sz w:val="16"/>
                <w:szCs w:val="16"/>
                <w:lang w:val="en-US"/>
              </w:rPr>
              <w:t xml:space="preserve">allegedly </w:t>
            </w:r>
            <w:r>
              <w:rPr>
                <w:rFonts w:eastAsia="Times New Roman"/>
                <w:bCs/>
                <w:color w:val="000000"/>
                <w:sz w:val="16"/>
                <w:szCs w:val="16"/>
                <w:lang w:val="en-US"/>
              </w:rPr>
              <w:t>identifies as not clear how A-MSDU length relates to MPDU length. Please note that the MPDU is the container of the A-MSDU. As such the relationship between the two is straightforward. MPDU length minus MAC header and minus FCS is the A-MSDU length.</w:t>
            </w:r>
          </w:p>
          <w:p w14:paraId="4723C9C9" w14:textId="77777777" w:rsidR="00700F0F" w:rsidRDefault="00700F0F" w:rsidP="00700F0F">
            <w:pPr>
              <w:jc w:val="both"/>
              <w:rPr>
                <w:rFonts w:eastAsia="Times New Roman"/>
                <w:bCs/>
                <w:color w:val="000000"/>
                <w:sz w:val="16"/>
                <w:szCs w:val="16"/>
                <w:lang w:val="en-US"/>
              </w:rPr>
            </w:pPr>
          </w:p>
          <w:p w14:paraId="538EDBEE" w14:textId="2E83CCC5" w:rsidR="003B6BEC" w:rsidRPr="00002955" w:rsidRDefault="00700F0F" w:rsidP="00700F0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w:t>
            </w:r>
            <w:r w:rsidR="002402C2">
              <w:rPr>
                <w:rFonts w:eastAsia="Times New Roman"/>
                <w:bCs/>
                <w:color w:val="000000"/>
                <w:sz w:val="16"/>
                <w:szCs w:val="16"/>
                <w:lang w:val="en-US"/>
              </w:rPr>
              <w:t>905</w:t>
            </w:r>
            <w:r w:rsidRPr="004C4A47">
              <w:rPr>
                <w:rFonts w:eastAsia="Times New Roman"/>
                <w:bCs/>
                <w:color w:val="000000"/>
                <w:sz w:val="16"/>
                <w:szCs w:val="16"/>
                <w:lang w:val="en-US"/>
              </w:rPr>
              <w:t>.</w:t>
            </w:r>
          </w:p>
        </w:tc>
      </w:tr>
      <w:tr w:rsidR="003B6BEC" w:rsidRPr="001F620B" w14:paraId="36CA4F50" w14:textId="77777777" w:rsidTr="00BB319E">
        <w:trPr>
          <w:trHeight w:val="220"/>
        </w:trPr>
        <w:tc>
          <w:tcPr>
            <w:tcW w:w="696" w:type="dxa"/>
            <w:shd w:val="clear" w:color="auto" w:fill="auto"/>
            <w:noWrap/>
          </w:tcPr>
          <w:p w14:paraId="280F384D" w14:textId="39C7387A"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21268</w:t>
            </w:r>
          </w:p>
        </w:tc>
        <w:tc>
          <w:tcPr>
            <w:tcW w:w="1061" w:type="dxa"/>
            <w:shd w:val="clear" w:color="auto" w:fill="auto"/>
            <w:noWrap/>
          </w:tcPr>
          <w:p w14:paraId="6AEFA495" w14:textId="2ACE6063"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Robert Stacey</w:t>
            </w:r>
          </w:p>
        </w:tc>
        <w:tc>
          <w:tcPr>
            <w:tcW w:w="540" w:type="dxa"/>
            <w:shd w:val="clear" w:color="auto" w:fill="auto"/>
            <w:noWrap/>
          </w:tcPr>
          <w:p w14:paraId="0689D454" w14:textId="793B9ECA"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426.39</w:t>
            </w:r>
          </w:p>
        </w:tc>
        <w:tc>
          <w:tcPr>
            <w:tcW w:w="2090" w:type="dxa"/>
            <w:shd w:val="clear" w:color="auto" w:fill="auto"/>
            <w:noWrap/>
          </w:tcPr>
          <w:p w14:paraId="70A35914" w14:textId="3A45BCF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HE BSS definition is inconsistent with definition at 38.22. It is also inaccurate since it implies that an IBSS is an HE BSS if the first STA to start beaconing is an HE STA. The 3.2 definition is more accurate.</w:t>
            </w:r>
          </w:p>
        </w:tc>
        <w:tc>
          <w:tcPr>
            <w:tcW w:w="2520" w:type="dxa"/>
            <w:shd w:val="clear" w:color="auto" w:fill="auto"/>
            <w:noWrap/>
          </w:tcPr>
          <w:p w14:paraId="459D47CE" w14:textId="206F558E"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Remove "An HE BSS is a BSS started by an HE STA"</w:t>
            </w:r>
          </w:p>
        </w:tc>
        <w:tc>
          <w:tcPr>
            <w:tcW w:w="4500" w:type="dxa"/>
            <w:shd w:val="clear" w:color="auto" w:fill="auto"/>
            <w:vAlign w:val="center"/>
          </w:tcPr>
          <w:p w14:paraId="10C7FA7C" w14:textId="72B1C21B" w:rsidR="003B6BEC" w:rsidRDefault="00612660" w:rsidP="003B6BEC">
            <w:pPr>
              <w:jc w:val="both"/>
              <w:rPr>
                <w:rFonts w:eastAsia="Times New Roman"/>
                <w:bCs/>
                <w:color w:val="000000"/>
                <w:sz w:val="16"/>
                <w:szCs w:val="16"/>
                <w:lang w:val="en-US"/>
              </w:rPr>
            </w:pPr>
            <w:r>
              <w:rPr>
                <w:rFonts w:eastAsia="Times New Roman"/>
                <w:bCs/>
                <w:color w:val="000000"/>
                <w:sz w:val="16"/>
                <w:szCs w:val="16"/>
                <w:lang w:val="en-US"/>
              </w:rPr>
              <w:t>Revised –</w:t>
            </w:r>
          </w:p>
          <w:p w14:paraId="7D03532A" w14:textId="77777777" w:rsidR="00612660" w:rsidRDefault="00612660" w:rsidP="003B6BEC">
            <w:pPr>
              <w:jc w:val="both"/>
              <w:rPr>
                <w:rFonts w:eastAsia="Times New Roman"/>
                <w:bCs/>
                <w:color w:val="000000"/>
                <w:sz w:val="16"/>
                <w:szCs w:val="16"/>
                <w:lang w:val="en-US"/>
              </w:rPr>
            </w:pPr>
          </w:p>
          <w:p w14:paraId="73117597" w14:textId="499B0CC0" w:rsidR="00612660" w:rsidRDefault="00E83D88" w:rsidP="003B6BEC">
            <w:pPr>
              <w:jc w:val="both"/>
              <w:rPr>
                <w:rFonts w:eastAsia="Times New Roman"/>
                <w:bCs/>
                <w:color w:val="000000"/>
                <w:sz w:val="16"/>
                <w:szCs w:val="16"/>
                <w:lang w:val="en-US"/>
              </w:rPr>
            </w:pPr>
            <w:r>
              <w:rPr>
                <w:rFonts w:eastAsia="Times New Roman"/>
                <w:bCs/>
                <w:color w:val="000000"/>
                <w:sz w:val="16"/>
                <w:szCs w:val="16"/>
                <w:lang w:val="en-US"/>
              </w:rPr>
              <w:t xml:space="preserve">Proposed resolution is to remove the sentence. However, it is not clear how it can be inaccurate. A BSS is an HE BSS if it is started by an HE STA. If it is not started by an HE </w:t>
            </w:r>
            <w:proofErr w:type="gramStart"/>
            <w:r>
              <w:rPr>
                <w:rFonts w:eastAsia="Times New Roman"/>
                <w:bCs/>
                <w:color w:val="000000"/>
                <w:sz w:val="16"/>
                <w:szCs w:val="16"/>
                <w:lang w:val="en-US"/>
              </w:rPr>
              <w:t>STA</w:t>
            </w:r>
            <w:proofErr w:type="gramEnd"/>
            <w:r>
              <w:rPr>
                <w:rFonts w:eastAsia="Times New Roman"/>
                <w:bCs/>
                <w:color w:val="000000"/>
                <w:sz w:val="16"/>
                <w:szCs w:val="16"/>
                <w:lang w:val="en-US"/>
              </w:rPr>
              <w:t xml:space="preserve"> then it is not an HE BSS.</w:t>
            </w:r>
          </w:p>
          <w:p w14:paraId="5C44F2F9" w14:textId="5C2A1066" w:rsidR="00E83D88" w:rsidRDefault="00E83D88" w:rsidP="003B6BEC">
            <w:pPr>
              <w:jc w:val="both"/>
              <w:rPr>
                <w:rFonts w:eastAsia="Times New Roman"/>
                <w:bCs/>
                <w:color w:val="000000"/>
                <w:sz w:val="16"/>
                <w:szCs w:val="16"/>
                <w:lang w:val="en-US"/>
              </w:rPr>
            </w:pPr>
          </w:p>
          <w:p w14:paraId="3DD88746" w14:textId="3531DAAE" w:rsidR="00E83D88" w:rsidRPr="00002955" w:rsidRDefault="00E83D88" w:rsidP="003B6BE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21268</w:t>
            </w:r>
            <w:r w:rsidRPr="004C4A47">
              <w:rPr>
                <w:rFonts w:eastAsia="Times New Roman"/>
                <w:bCs/>
                <w:color w:val="000000"/>
                <w:sz w:val="16"/>
                <w:szCs w:val="16"/>
                <w:lang w:val="en-US"/>
              </w:rPr>
              <w:t>.</w:t>
            </w:r>
          </w:p>
        </w:tc>
      </w:tr>
      <w:tr w:rsidR="003B6BEC" w:rsidRPr="001F620B" w14:paraId="3F725CC4" w14:textId="77777777" w:rsidTr="00BB319E">
        <w:trPr>
          <w:trHeight w:val="220"/>
        </w:trPr>
        <w:tc>
          <w:tcPr>
            <w:tcW w:w="696" w:type="dxa"/>
            <w:shd w:val="clear" w:color="auto" w:fill="auto"/>
            <w:noWrap/>
          </w:tcPr>
          <w:p w14:paraId="0A518376" w14:textId="4A54750E"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21269</w:t>
            </w:r>
          </w:p>
        </w:tc>
        <w:tc>
          <w:tcPr>
            <w:tcW w:w="1061" w:type="dxa"/>
            <w:shd w:val="clear" w:color="auto" w:fill="auto"/>
            <w:noWrap/>
          </w:tcPr>
          <w:p w14:paraId="742CFFB5" w14:textId="251B71AE"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Robert Stacey</w:t>
            </w:r>
          </w:p>
        </w:tc>
        <w:tc>
          <w:tcPr>
            <w:tcW w:w="540" w:type="dxa"/>
            <w:shd w:val="clear" w:color="auto" w:fill="auto"/>
            <w:noWrap/>
          </w:tcPr>
          <w:p w14:paraId="7D5ACBA5" w14:textId="7F47B64C"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426.59</w:t>
            </w:r>
          </w:p>
        </w:tc>
        <w:tc>
          <w:tcPr>
            <w:tcW w:w="2090" w:type="dxa"/>
            <w:shd w:val="clear" w:color="auto" w:fill="auto"/>
            <w:noWrap/>
          </w:tcPr>
          <w:p w14:paraId="1F4373C0" w14:textId="6A31EBCB"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It is not clear what "shall not attempt to join (MLME-</w:t>
            </w:r>
            <w:proofErr w:type="spellStart"/>
            <w:r w:rsidRPr="003B6BEC">
              <w:rPr>
                <w:rFonts w:eastAsia="Times New Roman"/>
                <w:bCs/>
                <w:color w:val="000000"/>
                <w:sz w:val="16"/>
                <w:szCs w:val="16"/>
                <w:lang w:val="en-US"/>
              </w:rPr>
              <w:t>JOIN.request</w:t>
            </w:r>
            <w:proofErr w:type="spellEnd"/>
            <w:r w:rsidRPr="003B6BEC">
              <w:rPr>
                <w:rFonts w:eastAsia="Times New Roman"/>
                <w:bCs/>
                <w:color w:val="000000"/>
                <w:sz w:val="16"/>
                <w:szCs w:val="16"/>
                <w:lang w:val="en-US"/>
              </w:rPr>
              <w:t>)" means. In the 802.11 architecture, the SME issues the MLME-</w:t>
            </w:r>
            <w:proofErr w:type="spellStart"/>
            <w:r w:rsidRPr="003B6BEC">
              <w:rPr>
                <w:rFonts w:eastAsia="Times New Roman"/>
                <w:bCs/>
                <w:color w:val="000000"/>
                <w:sz w:val="16"/>
                <w:szCs w:val="16"/>
                <w:lang w:val="en-US"/>
              </w:rPr>
              <w:t>JOIN.request</w:t>
            </w:r>
            <w:proofErr w:type="spellEnd"/>
            <w:r w:rsidRPr="003B6BEC">
              <w:rPr>
                <w:rFonts w:eastAsia="Times New Roman"/>
                <w:bCs/>
                <w:color w:val="000000"/>
                <w:sz w:val="16"/>
                <w:szCs w:val="16"/>
                <w:lang w:val="en-US"/>
              </w:rPr>
              <w:t xml:space="preserve"> to get the STA to synchronize with the AP or the other STAs that are part of BSS. Previously (HT, VHT), an MLME-</w:t>
            </w:r>
            <w:proofErr w:type="spellStart"/>
            <w:r w:rsidRPr="003B6BEC">
              <w:rPr>
                <w:rFonts w:eastAsia="Times New Roman"/>
                <w:bCs/>
                <w:color w:val="000000"/>
                <w:sz w:val="16"/>
                <w:szCs w:val="16"/>
                <w:lang w:val="en-US"/>
              </w:rPr>
              <w:t>JOIN.request</w:t>
            </w:r>
            <w:proofErr w:type="spellEnd"/>
            <w:r w:rsidRPr="003B6BEC">
              <w:rPr>
                <w:rFonts w:eastAsia="Times New Roman"/>
                <w:bCs/>
                <w:color w:val="000000"/>
                <w:sz w:val="16"/>
                <w:szCs w:val="16"/>
                <w:lang w:val="en-US"/>
              </w:rPr>
              <w:t xml:space="preserve"> was rejected (MLME-</w:t>
            </w:r>
            <w:proofErr w:type="spellStart"/>
            <w:r w:rsidRPr="003B6BEC">
              <w:rPr>
                <w:rFonts w:eastAsia="Times New Roman"/>
                <w:bCs/>
                <w:color w:val="000000"/>
                <w:sz w:val="16"/>
                <w:szCs w:val="16"/>
                <w:lang w:val="en-US"/>
              </w:rPr>
              <w:t>JOIN.confirm</w:t>
            </w:r>
            <w:proofErr w:type="spellEnd"/>
            <w:r w:rsidRPr="003B6BEC">
              <w:rPr>
                <w:rFonts w:eastAsia="Times New Roman"/>
                <w:bCs/>
                <w:color w:val="000000"/>
                <w:sz w:val="16"/>
                <w:szCs w:val="16"/>
                <w:lang w:val="en-US"/>
              </w:rPr>
              <w:t xml:space="preserve"> with </w:t>
            </w:r>
            <w:proofErr w:type="spellStart"/>
            <w:r w:rsidRPr="003B6BEC">
              <w:rPr>
                <w:rFonts w:eastAsia="Times New Roman"/>
                <w:bCs/>
                <w:color w:val="000000"/>
                <w:sz w:val="16"/>
                <w:szCs w:val="16"/>
                <w:lang w:val="en-US"/>
              </w:rPr>
              <w:t>ResultCode</w:t>
            </w:r>
            <w:proofErr w:type="spellEnd"/>
            <w:r w:rsidRPr="003B6BEC">
              <w:rPr>
                <w:rFonts w:eastAsia="Times New Roman"/>
                <w:bCs/>
                <w:color w:val="000000"/>
                <w:sz w:val="16"/>
                <w:szCs w:val="16"/>
                <w:lang w:val="en-US"/>
              </w:rPr>
              <w:t xml:space="preserve"> not SUCCESS) if the MCS set was not supported This indicated to the SME that it could not synchronize ("join" the IBSS). Why do we need to change this behavior for HE STAs?</w:t>
            </w:r>
          </w:p>
        </w:tc>
        <w:tc>
          <w:tcPr>
            <w:tcW w:w="2520" w:type="dxa"/>
            <w:shd w:val="clear" w:color="auto" w:fill="auto"/>
            <w:noWrap/>
          </w:tcPr>
          <w:p w14:paraId="79BC5B7F" w14:textId="182FC854"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 xml:space="preserve">Remove this statement and the note. Add a statement to 6.3.4.2.4 </w:t>
            </w:r>
            <w:proofErr w:type="gramStart"/>
            <w:r w:rsidRPr="003B6BEC">
              <w:rPr>
                <w:rFonts w:eastAsia="Times New Roman"/>
                <w:bCs/>
                <w:color w:val="000000"/>
                <w:sz w:val="16"/>
                <w:szCs w:val="16"/>
                <w:lang w:val="en-US"/>
              </w:rPr>
              <w:t>similar to</w:t>
            </w:r>
            <w:proofErr w:type="gramEnd"/>
            <w:r w:rsidRPr="003B6BEC">
              <w:rPr>
                <w:rFonts w:eastAsia="Times New Roman"/>
                <w:bCs/>
                <w:color w:val="000000"/>
                <w:sz w:val="16"/>
                <w:szCs w:val="16"/>
                <w:lang w:val="en-US"/>
              </w:rPr>
              <w:t xml:space="preserve"> statements for HT and VHT STAs.</w:t>
            </w:r>
          </w:p>
        </w:tc>
        <w:tc>
          <w:tcPr>
            <w:tcW w:w="4500" w:type="dxa"/>
            <w:shd w:val="clear" w:color="auto" w:fill="auto"/>
            <w:vAlign w:val="center"/>
          </w:tcPr>
          <w:p w14:paraId="7EC2137C" w14:textId="1F636874" w:rsidR="003B6BEC" w:rsidRDefault="00887B2A" w:rsidP="003B6BEC">
            <w:pPr>
              <w:jc w:val="both"/>
              <w:rPr>
                <w:rFonts w:eastAsia="Times New Roman"/>
                <w:bCs/>
                <w:color w:val="000000"/>
                <w:sz w:val="16"/>
                <w:szCs w:val="16"/>
                <w:lang w:val="en-US"/>
              </w:rPr>
            </w:pPr>
            <w:r>
              <w:rPr>
                <w:rFonts w:eastAsia="Times New Roman"/>
                <w:bCs/>
                <w:color w:val="000000"/>
                <w:sz w:val="16"/>
                <w:szCs w:val="16"/>
                <w:lang w:val="en-US"/>
              </w:rPr>
              <w:t>Rejected –</w:t>
            </w:r>
          </w:p>
          <w:p w14:paraId="0E3B3A1B" w14:textId="77777777" w:rsidR="00887B2A" w:rsidRDefault="00887B2A" w:rsidP="003B6BEC">
            <w:pPr>
              <w:jc w:val="both"/>
              <w:rPr>
                <w:rFonts w:eastAsia="Times New Roman"/>
                <w:bCs/>
                <w:color w:val="000000"/>
                <w:sz w:val="16"/>
                <w:szCs w:val="16"/>
                <w:lang w:val="en-US"/>
              </w:rPr>
            </w:pPr>
          </w:p>
          <w:p w14:paraId="011B0375" w14:textId="77777777" w:rsidR="00887B2A" w:rsidRDefault="00887B2A" w:rsidP="003B6BEC">
            <w:pPr>
              <w:jc w:val="both"/>
              <w:rPr>
                <w:rFonts w:eastAsia="Times New Roman"/>
                <w:bCs/>
                <w:color w:val="000000"/>
                <w:sz w:val="16"/>
                <w:szCs w:val="16"/>
                <w:lang w:val="en-US"/>
              </w:rPr>
            </w:pPr>
            <w:r w:rsidRPr="00887B2A">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7C1D52B8" w14:textId="77777777" w:rsidR="00887B2A" w:rsidRDefault="00887B2A" w:rsidP="003B6BEC">
            <w:pPr>
              <w:jc w:val="both"/>
              <w:rPr>
                <w:rFonts w:eastAsia="Times New Roman"/>
                <w:bCs/>
                <w:color w:val="000000"/>
                <w:sz w:val="16"/>
                <w:szCs w:val="16"/>
                <w:lang w:val="en-US"/>
              </w:rPr>
            </w:pPr>
          </w:p>
          <w:p w14:paraId="2E2EAFDB" w14:textId="77777777" w:rsidR="00887B2A" w:rsidRDefault="00887B2A" w:rsidP="003B6BEC">
            <w:pPr>
              <w:jc w:val="both"/>
              <w:rPr>
                <w:rFonts w:eastAsia="Times New Roman"/>
                <w:bCs/>
                <w:color w:val="000000"/>
                <w:sz w:val="16"/>
                <w:szCs w:val="16"/>
                <w:lang w:val="en-US"/>
              </w:rPr>
            </w:pPr>
            <w:r>
              <w:rPr>
                <w:rFonts w:eastAsia="Times New Roman"/>
                <w:bCs/>
                <w:color w:val="000000"/>
                <w:sz w:val="16"/>
                <w:szCs w:val="16"/>
                <w:lang w:val="en-US"/>
              </w:rPr>
              <w:t>Also please note that this is the same terminology used by VHT STAs. Quoting from 11.39.7 (Basic VHT-MCS and NSS set operation):</w:t>
            </w:r>
          </w:p>
          <w:p w14:paraId="0985C80C" w14:textId="77777777" w:rsidR="00887B2A" w:rsidRDefault="00887B2A" w:rsidP="003B6BEC">
            <w:pPr>
              <w:jc w:val="both"/>
              <w:rPr>
                <w:rFonts w:eastAsia="Times New Roman"/>
                <w:bCs/>
                <w:color w:val="000000"/>
                <w:sz w:val="16"/>
                <w:szCs w:val="16"/>
                <w:lang w:val="en-US"/>
              </w:rPr>
            </w:pPr>
          </w:p>
          <w:p w14:paraId="4A0F13AB" w14:textId="6A9F1E3C" w:rsidR="00887B2A" w:rsidRPr="00002955" w:rsidRDefault="00887B2A" w:rsidP="00887B2A">
            <w:pPr>
              <w:jc w:val="both"/>
              <w:rPr>
                <w:rFonts w:eastAsia="Times New Roman"/>
                <w:bCs/>
                <w:color w:val="000000"/>
                <w:sz w:val="16"/>
                <w:szCs w:val="16"/>
                <w:lang w:val="en-US"/>
              </w:rPr>
            </w:pPr>
            <w:r>
              <w:rPr>
                <w:rFonts w:eastAsia="Times New Roman"/>
                <w:bCs/>
                <w:color w:val="000000"/>
                <w:sz w:val="16"/>
                <w:szCs w:val="16"/>
                <w:lang w:val="en-US"/>
              </w:rPr>
              <w:t>“</w:t>
            </w:r>
            <w:r w:rsidRPr="00887B2A">
              <w:rPr>
                <w:rFonts w:eastAsia="Times New Roman"/>
                <w:bCs/>
                <w:color w:val="000000"/>
                <w:sz w:val="16"/>
                <w:szCs w:val="16"/>
                <w:lang w:val="en-US"/>
              </w:rPr>
              <w:t>A VHT STA shall not attempt to join (MLME-</w:t>
            </w:r>
            <w:proofErr w:type="spellStart"/>
            <w:r w:rsidRPr="00887B2A">
              <w:rPr>
                <w:rFonts w:eastAsia="Times New Roman"/>
                <w:bCs/>
                <w:color w:val="000000"/>
                <w:sz w:val="16"/>
                <w:szCs w:val="16"/>
                <w:lang w:val="en-US"/>
              </w:rPr>
              <w:t>JOIN.request</w:t>
            </w:r>
            <w:proofErr w:type="spellEnd"/>
            <w:r w:rsidRPr="00887B2A">
              <w:rPr>
                <w:rFonts w:eastAsia="Times New Roman"/>
                <w:bCs/>
                <w:color w:val="000000"/>
                <w:sz w:val="16"/>
                <w:szCs w:val="16"/>
                <w:lang w:val="en-US"/>
              </w:rPr>
              <w:t xml:space="preserve"> primitive) a BSS unless it supports (i.e., is able</w:t>
            </w:r>
            <w:r>
              <w:rPr>
                <w:rFonts w:eastAsia="Times New Roman"/>
                <w:bCs/>
                <w:color w:val="000000"/>
                <w:sz w:val="16"/>
                <w:szCs w:val="16"/>
                <w:lang w:val="en-US"/>
              </w:rPr>
              <w:t xml:space="preserve"> </w:t>
            </w:r>
            <w:r w:rsidRPr="00887B2A">
              <w:rPr>
                <w:rFonts w:eastAsia="Times New Roman"/>
                <w:bCs/>
                <w:color w:val="000000"/>
                <w:sz w:val="16"/>
                <w:szCs w:val="16"/>
                <w:lang w:val="en-US"/>
              </w:rPr>
              <w:t>to both transmit and receive using) all of the &lt;VHT-MCS, NSS&gt; tuples in the basic VHT-MCS and NSS set.</w:t>
            </w:r>
            <w:r>
              <w:rPr>
                <w:rFonts w:eastAsia="Times New Roman"/>
                <w:bCs/>
                <w:color w:val="000000"/>
                <w:sz w:val="16"/>
                <w:szCs w:val="16"/>
                <w:lang w:val="en-US"/>
              </w:rPr>
              <w:t>”</w:t>
            </w:r>
          </w:p>
        </w:tc>
      </w:tr>
      <w:tr w:rsidR="003B6BEC" w:rsidRPr="001F620B" w14:paraId="4FD037E4" w14:textId="77777777" w:rsidTr="00BB319E">
        <w:trPr>
          <w:trHeight w:val="220"/>
        </w:trPr>
        <w:tc>
          <w:tcPr>
            <w:tcW w:w="696" w:type="dxa"/>
            <w:shd w:val="clear" w:color="auto" w:fill="auto"/>
            <w:noWrap/>
          </w:tcPr>
          <w:p w14:paraId="215D9649" w14:textId="28E4E0A7"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21270</w:t>
            </w:r>
          </w:p>
        </w:tc>
        <w:tc>
          <w:tcPr>
            <w:tcW w:w="1061" w:type="dxa"/>
            <w:shd w:val="clear" w:color="auto" w:fill="auto"/>
            <w:noWrap/>
          </w:tcPr>
          <w:p w14:paraId="1E5B2226" w14:textId="6F8B223C"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Robert Stacey</w:t>
            </w:r>
          </w:p>
        </w:tc>
        <w:tc>
          <w:tcPr>
            <w:tcW w:w="540" w:type="dxa"/>
            <w:shd w:val="clear" w:color="auto" w:fill="auto"/>
            <w:noWrap/>
          </w:tcPr>
          <w:p w14:paraId="2939C50D" w14:textId="7D2978D1"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426.45</w:t>
            </w:r>
          </w:p>
        </w:tc>
        <w:tc>
          <w:tcPr>
            <w:tcW w:w="2090" w:type="dxa"/>
            <w:shd w:val="clear" w:color="auto" w:fill="auto"/>
            <w:noWrap/>
          </w:tcPr>
          <w:p w14:paraId="284954DF" w14:textId="7C250279"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 xml:space="preserve">This statement is just complicated way of putting a </w:t>
            </w:r>
            <w:proofErr w:type="spellStart"/>
            <w:r w:rsidRPr="003B6BEC">
              <w:rPr>
                <w:rFonts w:eastAsia="Times New Roman"/>
                <w:bCs/>
                <w:color w:val="000000"/>
                <w:sz w:val="16"/>
                <w:szCs w:val="16"/>
                <w:lang w:val="en-US"/>
              </w:rPr>
              <w:t>restrinction</w:t>
            </w:r>
            <w:proofErr w:type="spellEnd"/>
            <w:r w:rsidRPr="003B6BEC">
              <w:rPr>
                <w:rFonts w:eastAsia="Times New Roman"/>
                <w:bCs/>
                <w:color w:val="000000"/>
                <w:sz w:val="16"/>
                <w:szCs w:val="16"/>
                <w:lang w:val="en-US"/>
              </w:rPr>
              <w:t xml:space="preserve"> on the content of the HE Operation element. Why does it matter if the STA is starting a BSS? Surely the requirement applies throughout the lifetime of the BSS.</w:t>
            </w:r>
          </w:p>
        </w:tc>
        <w:tc>
          <w:tcPr>
            <w:tcW w:w="2520" w:type="dxa"/>
            <w:shd w:val="clear" w:color="auto" w:fill="auto"/>
            <w:noWrap/>
          </w:tcPr>
          <w:p w14:paraId="2049BDFD" w14:textId="32DCD27F"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Change to "An HE STA shall not transmit an HE Operation element with a Basic HE-MCS And NSS Set field unless it supports the reception and transmission of all the indicated &lt;HE-MCS, NSS&gt; tuples." and move the statement out of this paragraph. The paragraph should just be a statement about the purpose of the Basic HE-MCS And NSS Set field.</w:t>
            </w:r>
          </w:p>
        </w:tc>
        <w:tc>
          <w:tcPr>
            <w:tcW w:w="4500" w:type="dxa"/>
            <w:shd w:val="clear" w:color="auto" w:fill="auto"/>
            <w:vAlign w:val="center"/>
          </w:tcPr>
          <w:p w14:paraId="3839B7AC" w14:textId="77777777" w:rsidR="00F13905" w:rsidRDefault="00F13905" w:rsidP="00F13905">
            <w:pPr>
              <w:jc w:val="both"/>
              <w:rPr>
                <w:rFonts w:eastAsia="Times New Roman"/>
                <w:bCs/>
                <w:color w:val="000000"/>
                <w:sz w:val="16"/>
                <w:szCs w:val="16"/>
                <w:lang w:val="en-US"/>
              </w:rPr>
            </w:pPr>
            <w:r>
              <w:rPr>
                <w:rFonts w:eastAsia="Times New Roman"/>
                <w:bCs/>
                <w:color w:val="000000"/>
                <w:sz w:val="16"/>
                <w:szCs w:val="16"/>
                <w:lang w:val="en-US"/>
              </w:rPr>
              <w:t>Revised –</w:t>
            </w:r>
          </w:p>
          <w:p w14:paraId="1948255E" w14:textId="77777777" w:rsidR="00F13905" w:rsidRDefault="00F13905" w:rsidP="00F13905">
            <w:pPr>
              <w:jc w:val="both"/>
              <w:rPr>
                <w:rFonts w:eastAsia="Times New Roman"/>
                <w:bCs/>
                <w:color w:val="000000"/>
                <w:sz w:val="16"/>
                <w:szCs w:val="16"/>
                <w:lang w:val="en-US"/>
              </w:rPr>
            </w:pPr>
          </w:p>
          <w:p w14:paraId="7FCE3F7E" w14:textId="04D7DCA7" w:rsidR="00F13905" w:rsidRDefault="00F1204F" w:rsidP="00F13905">
            <w:pPr>
              <w:jc w:val="both"/>
              <w:rPr>
                <w:rFonts w:eastAsia="Times New Roman"/>
                <w:bCs/>
                <w:color w:val="000000"/>
                <w:sz w:val="16"/>
                <w:szCs w:val="16"/>
                <w:lang w:val="en-US"/>
              </w:rPr>
            </w:pPr>
            <w:r>
              <w:rPr>
                <w:rFonts w:eastAsia="Times New Roman"/>
                <w:bCs/>
                <w:color w:val="000000"/>
                <w:sz w:val="16"/>
                <w:szCs w:val="16"/>
                <w:lang w:val="en-US"/>
              </w:rPr>
              <w:t>Generally,</w:t>
            </w:r>
            <w:r w:rsidR="00F13905">
              <w:rPr>
                <w:rFonts w:eastAsia="Times New Roman"/>
                <w:bCs/>
                <w:color w:val="000000"/>
                <w:sz w:val="16"/>
                <w:szCs w:val="16"/>
                <w:lang w:val="en-US"/>
              </w:rPr>
              <w:t xml:space="preserve"> agree with the comment that the requirement applies throughout the lifetime of the BSS. Hence replacing “starting” with “operating. Also split the sentence so that it is a separate paragraph. However, the language is kept as is since it is almost identical to other normative language that we have in the baseline and it covers not only the HE operation element signaling but also the HE Capabilities parameter. Please refer to language in subclauses 11.39.1 for example</w:t>
            </w:r>
            <w:r w:rsidR="007E2501">
              <w:rPr>
                <w:rFonts w:eastAsia="Times New Roman"/>
                <w:bCs/>
                <w:color w:val="000000"/>
                <w:sz w:val="16"/>
                <w:szCs w:val="16"/>
                <w:lang w:val="en-US"/>
              </w:rPr>
              <w:t>:</w:t>
            </w:r>
          </w:p>
          <w:p w14:paraId="0767A6D1" w14:textId="348A2753" w:rsidR="007E2501" w:rsidRDefault="007E2501" w:rsidP="007E2501">
            <w:pPr>
              <w:jc w:val="both"/>
              <w:rPr>
                <w:rFonts w:eastAsia="Times New Roman"/>
                <w:bCs/>
                <w:color w:val="000000"/>
                <w:sz w:val="16"/>
                <w:szCs w:val="16"/>
                <w:lang w:val="en-US"/>
              </w:rPr>
            </w:pPr>
            <w:r>
              <w:rPr>
                <w:rFonts w:eastAsia="Times New Roman"/>
                <w:bCs/>
                <w:color w:val="000000"/>
                <w:sz w:val="16"/>
                <w:szCs w:val="16"/>
                <w:lang w:val="en-US"/>
              </w:rPr>
              <w:t>“</w:t>
            </w:r>
            <w:r w:rsidRPr="007E2501">
              <w:rPr>
                <w:rFonts w:eastAsia="Times New Roman"/>
                <w:bCs/>
                <w:color w:val="000000"/>
                <w:sz w:val="16"/>
                <w:szCs w:val="16"/>
                <w:lang w:val="en-US"/>
              </w:rPr>
              <w:t>A STA that is starting a VHT BSS shall be able to receive and transmit at each of the &lt;VHT-MCS, NSS&gt;</w:t>
            </w:r>
            <w:r w:rsidR="00DA2530">
              <w:rPr>
                <w:rFonts w:eastAsia="Times New Roman"/>
                <w:bCs/>
                <w:color w:val="000000"/>
                <w:sz w:val="16"/>
                <w:szCs w:val="16"/>
                <w:lang w:val="en-US"/>
              </w:rPr>
              <w:t xml:space="preserve"> </w:t>
            </w:r>
            <w:r w:rsidRPr="007E2501">
              <w:rPr>
                <w:rFonts w:eastAsia="Times New Roman"/>
                <w:bCs/>
                <w:color w:val="000000"/>
                <w:sz w:val="16"/>
                <w:szCs w:val="16"/>
                <w:lang w:val="en-US"/>
              </w:rPr>
              <w:t>tuple values indicated by the Basic VHT-MCS And NSS Set field of the VHT Operation parameter of the</w:t>
            </w:r>
            <w:r w:rsidR="00DA2530">
              <w:rPr>
                <w:rFonts w:eastAsia="Times New Roman"/>
                <w:bCs/>
                <w:color w:val="000000"/>
                <w:sz w:val="16"/>
                <w:szCs w:val="16"/>
                <w:lang w:val="en-US"/>
              </w:rPr>
              <w:t xml:space="preserve"> </w:t>
            </w:r>
            <w:r w:rsidRPr="007E2501">
              <w:rPr>
                <w:rFonts w:eastAsia="Times New Roman"/>
                <w:bCs/>
                <w:color w:val="000000"/>
                <w:sz w:val="16"/>
                <w:szCs w:val="16"/>
                <w:lang w:val="en-US"/>
              </w:rPr>
              <w:t>MLME-</w:t>
            </w:r>
            <w:proofErr w:type="spellStart"/>
            <w:r w:rsidRPr="007E2501">
              <w:rPr>
                <w:rFonts w:eastAsia="Times New Roman"/>
                <w:bCs/>
                <w:color w:val="000000"/>
                <w:sz w:val="16"/>
                <w:szCs w:val="16"/>
                <w:lang w:val="en-US"/>
              </w:rPr>
              <w:t>START.request</w:t>
            </w:r>
            <w:proofErr w:type="spellEnd"/>
            <w:r w:rsidRPr="007E2501">
              <w:rPr>
                <w:rFonts w:eastAsia="Times New Roman"/>
                <w:bCs/>
                <w:color w:val="000000"/>
                <w:sz w:val="16"/>
                <w:szCs w:val="16"/>
                <w:lang w:val="en-US"/>
              </w:rPr>
              <w:t xml:space="preserve"> primitive and shall be able to receive at each of the &lt;VHT-MCS, NSS&gt; tuple values</w:t>
            </w:r>
            <w:r>
              <w:rPr>
                <w:rFonts w:eastAsia="Times New Roman"/>
                <w:bCs/>
                <w:color w:val="000000"/>
                <w:sz w:val="16"/>
                <w:szCs w:val="16"/>
                <w:lang w:val="en-US"/>
              </w:rPr>
              <w:t xml:space="preserve"> </w:t>
            </w:r>
            <w:r w:rsidRPr="007E2501">
              <w:rPr>
                <w:rFonts w:eastAsia="Times New Roman"/>
                <w:bCs/>
                <w:color w:val="000000"/>
                <w:sz w:val="16"/>
                <w:szCs w:val="16"/>
                <w:lang w:val="en-US"/>
              </w:rPr>
              <w:t xml:space="preserve">indicated by the Supported VHT-MCS and NSS Set field of the VHT Capabilities parameter of the </w:t>
            </w:r>
            <w:proofErr w:type="spellStart"/>
            <w:r w:rsidRPr="007E2501">
              <w:rPr>
                <w:rFonts w:eastAsia="Times New Roman"/>
                <w:bCs/>
                <w:color w:val="000000"/>
                <w:sz w:val="16"/>
                <w:szCs w:val="16"/>
                <w:lang w:val="en-US"/>
              </w:rPr>
              <w:t>MLMESTART.request</w:t>
            </w:r>
            <w:proofErr w:type="spellEnd"/>
            <w:r w:rsidRPr="007E2501">
              <w:rPr>
                <w:rFonts w:eastAsia="Times New Roman"/>
                <w:bCs/>
                <w:color w:val="000000"/>
                <w:sz w:val="16"/>
                <w:szCs w:val="16"/>
                <w:lang w:val="en-US"/>
              </w:rPr>
              <w:t xml:space="preserve"> primitive.</w:t>
            </w:r>
            <w:r w:rsidR="00F1204F">
              <w:rPr>
                <w:rFonts w:eastAsia="Times New Roman"/>
                <w:bCs/>
                <w:color w:val="000000"/>
                <w:sz w:val="16"/>
                <w:szCs w:val="16"/>
                <w:lang w:val="en-US"/>
              </w:rPr>
              <w:t>”</w:t>
            </w:r>
            <w:r w:rsidR="00276B27">
              <w:rPr>
                <w:rFonts w:eastAsia="Times New Roman"/>
                <w:bCs/>
                <w:color w:val="000000"/>
                <w:sz w:val="16"/>
                <w:szCs w:val="16"/>
                <w:lang w:val="en-US"/>
              </w:rPr>
              <w:t xml:space="preserve"> In addition</w:t>
            </w:r>
            <w:r w:rsidR="00DA2530">
              <w:rPr>
                <w:rFonts w:eastAsia="Times New Roman"/>
                <w:bCs/>
                <w:color w:val="000000"/>
                <w:sz w:val="16"/>
                <w:szCs w:val="16"/>
                <w:lang w:val="en-US"/>
              </w:rPr>
              <w:t>,</w:t>
            </w:r>
            <w:r w:rsidR="00276B27">
              <w:rPr>
                <w:rFonts w:eastAsia="Times New Roman"/>
                <w:bCs/>
                <w:color w:val="000000"/>
                <w:sz w:val="16"/>
                <w:szCs w:val="16"/>
                <w:lang w:val="en-US"/>
              </w:rPr>
              <w:t xml:space="preserve"> added a continuation statement in the same sentence for the BSS bandwidth declaration in the same sentence even though not strictly required since it </w:t>
            </w:r>
            <w:proofErr w:type="spellStart"/>
            <w:r w:rsidR="00276B27">
              <w:rPr>
                <w:rFonts w:eastAsia="Times New Roman"/>
                <w:bCs/>
                <w:color w:val="000000"/>
                <w:sz w:val="16"/>
                <w:szCs w:val="16"/>
                <w:lang w:val="en-US"/>
              </w:rPr>
              <w:t>it</w:t>
            </w:r>
            <w:proofErr w:type="spellEnd"/>
            <w:r w:rsidR="00276B27">
              <w:rPr>
                <w:rFonts w:eastAsia="Times New Roman"/>
                <w:bCs/>
                <w:color w:val="000000"/>
                <w:sz w:val="16"/>
                <w:szCs w:val="16"/>
                <w:lang w:val="en-US"/>
              </w:rPr>
              <w:t xml:space="preserve"> already mentioned in the subsequent subclauses.</w:t>
            </w:r>
          </w:p>
          <w:p w14:paraId="2666B564" w14:textId="77777777" w:rsidR="00F13905" w:rsidRDefault="00F13905" w:rsidP="00F13905">
            <w:pPr>
              <w:jc w:val="both"/>
              <w:rPr>
                <w:rFonts w:eastAsia="Times New Roman"/>
                <w:bCs/>
                <w:color w:val="000000"/>
                <w:sz w:val="16"/>
                <w:szCs w:val="16"/>
                <w:lang w:val="en-US"/>
              </w:rPr>
            </w:pPr>
          </w:p>
          <w:p w14:paraId="480A579F" w14:textId="6D4F1488" w:rsidR="003B6BEC" w:rsidRPr="00002955" w:rsidRDefault="00F13905" w:rsidP="00F1390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212</w:t>
            </w:r>
            <w:r w:rsidR="00F1204F">
              <w:rPr>
                <w:rFonts w:eastAsia="Times New Roman"/>
                <w:bCs/>
                <w:color w:val="000000"/>
                <w:sz w:val="16"/>
                <w:szCs w:val="16"/>
                <w:lang w:val="en-US"/>
              </w:rPr>
              <w:t>70</w:t>
            </w:r>
            <w:r w:rsidRPr="004C4A47">
              <w:rPr>
                <w:rFonts w:eastAsia="Times New Roman"/>
                <w:bCs/>
                <w:color w:val="000000"/>
                <w:sz w:val="16"/>
                <w:szCs w:val="16"/>
                <w:lang w:val="en-US"/>
              </w:rPr>
              <w:t>.</w:t>
            </w:r>
          </w:p>
        </w:tc>
      </w:tr>
      <w:tr w:rsidR="003B6BEC" w:rsidRPr="001F620B" w14:paraId="354A3470" w14:textId="77777777" w:rsidTr="00BB319E">
        <w:trPr>
          <w:trHeight w:val="220"/>
        </w:trPr>
        <w:tc>
          <w:tcPr>
            <w:tcW w:w="696" w:type="dxa"/>
            <w:shd w:val="clear" w:color="auto" w:fill="auto"/>
            <w:noWrap/>
          </w:tcPr>
          <w:p w14:paraId="01FD0A76" w14:textId="47AD4125"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21272</w:t>
            </w:r>
          </w:p>
        </w:tc>
        <w:tc>
          <w:tcPr>
            <w:tcW w:w="1061" w:type="dxa"/>
            <w:shd w:val="clear" w:color="auto" w:fill="auto"/>
            <w:noWrap/>
          </w:tcPr>
          <w:p w14:paraId="6387022B" w14:textId="5CA91144"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Robert Stacey</w:t>
            </w:r>
          </w:p>
        </w:tc>
        <w:tc>
          <w:tcPr>
            <w:tcW w:w="540" w:type="dxa"/>
            <w:shd w:val="clear" w:color="auto" w:fill="auto"/>
            <w:noWrap/>
          </w:tcPr>
          <w:p w14:paraId="4D6B1965" w14:textId="3B0CE9D4"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427.10</w:t>
            </w:r>
          </w:p>
        </w:tc>
        <w:tc>
          <w:tcPr>
            <w:tcW w:w="2090" w:type="dxa"/>
            <w:shd w:val="clear" w:color="auto" w:fill="auto"/>
            <w:noWrap/>
          </w:tcPr>
          <w:p w14:paraId="20BA0625" w14:textId="5C84136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 xml:space="preserve">"channel width capability" is vague and most STAs </w:t>
            </w:r>
            <w:proofErr w:type="gramStart"/>
            <w:r w:rsidRPr="003B6BEC">
              <w:rPr>
                <w:rFonts w:eastAsia="Times New Roman"/>
                <w:bCs/>
                <w:color w:val="000000"/>
                <w:sz w:val="16"/>
                <w:szCs w:val="16"/>
                <w:lang w:val="en-US"/>
              </w:rPr>
              <w:t>are capable of operating</w:t>
            </w:r>
            <w:proofErr w:type="gramEnd"/>
            <w:r w:rsidRPr="003B6BEC">
              <w:rPr>
                <w:rFonts w:eastAsia="Times New Roman"/>
                <w:bCs/>
                <w:color w:val="000000"/>
                <w:sz w:val="16"/>
                <w:szCs w:val="16"/>
                <w:lang w:val="en-US"/>
              </w:rPr>
              <w:t xml:space="preserve"> with more than one channel width. Also, the location of the declaration can be more specific.</w:t>
            </w:r>
          </w:p>
        </w:tc>
        <w:tc>
          <w:tcPr>
            <w:tcW w:w="2520" w:type="dxa"/>
            <w:shd w:val="clear" w:color="auto" w:fill="auto"/>
            <w:noWrap/>
          </w:tcPr>
          <w:p w14:paraId="1B8A73BD" w14:textId="51E911E9"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 xml:space="preserve">Change "its channel width capability" to "the channel widths at which it is capable of operating". Change "in the HE Capabilities element" to "in the Supported Channel Width Set field in the PHY </w:t>
            </w:r>
            <w:proofErr w:type="spellStart"/>
            <w:r w:rsidRPr="003B6BEC">
              <w:rPr>
                <w:rFonts w:eastAsia="Times New Roman"/>
                <w:bCs/>
                <w:color w:val="000000"/>
                <w:sz w:val="16"/>
                <w:szCs w:val="16"/>
                <w:lang w:val="en-US"/>
              </w:rPr>
              <w:t>Capabiltiies</w:t>
            </w:r>
            <w:proofErr w:type="spellEnd"/>
            <w:r w:rsidRPr="003B6BEC">
              <w:rPr>
                <w:rFonts w:eastAsia="Times New Roman"/>
                <w:bCs/>
                <w:color w:val="000000"/>
                <w:sz w:val="16"/>
                <w:szCs w:val="16"/>
                <w:lang w:val="en-US"/>
              </w:rPr>
              <w:t xml:space="preserve"> Information field in the HE Capabilities element"</w:t>
            </w:r>
          </w:p>
        </w:tc>
        <w:tc>
          <w:tcPr>
            <w:tcW w:w="4500" w:type="dxa"/>
            <w:shd w:val="clear" w:color="auto" w:fill="auto"/>
            <w:vAlign w:val="center"/>
          </w:tcPr>
          <w:p w14:paraId="25121CD1" w14:textId="77777777" w:rsidR="008F4B77" w:rsidRDefault="008F4B77" w:rsidP="008F4B77">
            <w:pPr>
              <w:jc w:val="both"/>
              <w:rPr>
                <w:rFonts w:eastAsia="Times New Roman"/>
                <w:bCs/>
                <w:color w:val="000000"/>
                <w:sz w:val="16"/>
                <w:szCs w:val="16"/>
                <w:lang w:val="en-US"/>
              </w:rPr>
            </w:pPr>
            <w:r>
              <w:rPr>
                <w:rFonts w:eastAsia="Times New Roman"/>
                <w:bCs/>
                <w:color w:val="000000"/>
                <w:sz w:val="16"/>
                <w:szCs w:val="16"/>
                <w:lang w:val="en-US"/>
              </w:rPr>
              <w:t>Rejected –</w:t>
            </w:r>
          </w:p>
          <w:p w14:paraId="42E83AC5" w14:textId="77777777" w:rsidR="008F4B77" w:rsidRDefault="008F4B77" w:rsidP="008F4B77">
            <w:pPr>
              <w:jc w:val="both"/>
              <w:rPr>
                <w:rFonts w:eastAsia="Times New Roman"/>
                <w:bCs/>
                <w:color w:val="000000"/>
                <w:sz w:val="16"/>
                <w:szCs w:val="16"/>
                <w:lang w:val="en-US"/>
              </w:rPr>
            </w:pPr>
          </w:p>
          <w:p w14:paraId="62235DEC" w14:textId="77777777" w:rsidR="008F4B77" w:rsidRDefault="008F4B77" w:rsidP="008F4B77">
            <w:pPr>
              <w:jc w:val="both"/>
              <w:rPr>
                <w:rFonts w:eastAsia="Times New Roman"/>
                <w:bCs/>
                <w:color w:val="000000"/>
                <w:sz w:val="16"/>
                <w:szCs w:val="16"/>
                <w:lang w:val="en-US"/>
              </w:rPr>
            </w:pPr>
            <w:r w:rsidRPr="00887B2A">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01D71615" w14:textId="77777777" w:rsidR="008F4B77" w:rsidRDefault="008F4B77" w:rsidP="008F4B77">
            <w:pPr>
              <w:jc w:val="both"/>
              <w:rPr>
                <w:rFonts w:eastAsia="Times New Roman"/>
                <w:bCs/>
                <w:color w:val="000000"/>
                <w:sz w:val="16"/>
                <w:szCs w:val="16"/>
                <w:lang w:val="en-US"/>
              </w:rPr>
            </w:pPr>
          </w:p>
          <w:p w14:paraId="3376D3F5" w14:textId="01079BD3" w:rsidR="008F4B77" w:rsidRDefault="008F4B77" w:rsidP="008F4B77">
            <w:pPr>
              <w:jc w:val="both"/>
              <w:rPr>
                <w:rFonts w:eastAsia="Times New Roman"/>
                <w:bCs/>
                <w:color w:val="000000"/>
                <w:sz w:val="16"/>
                <w:szCs w:val="16"/>
                <w:lang w:val="en-US"/>
              </w:rPr>
            </w:pPr>
            <w:r>
              <w:rPr>
                <w:rFonts w:eastAsia="Times New Roman"/>
                <w:bCs/>
                <w:color w:val="000000"/>
                <w:sz w:val="16"/>
                <w:szCs w:val="16"/>
                <w:lang w:val="en-US"/>
              </w:rPr>
              <w:t>Also please note that this is the same terminology used by VHT STAs. Quoting from 11.39.1 (Basic VHT BSS functionality):</w:t>
            </w:r>
          </w:p>
          <w:p w14:paraId="70AE3DE9" w14:textId="77777777" w:rsidR="008F4B77" w:rsidRDefault="008F4B77" w:rsidP="008F4B77">
            <w:pPr>
              <w:jc w:val="both"/>
              <w:rPr>
                <w:rFonts w:eastAsia="Times New Roman"/>
                <w:bCs/>
                <w:color w:val="000000"/>
                <w:sz w:val="16"/>
                <w:szCs w:val="16"/>
                <w:lang w:val="en-US"/>
              </w:rPr>
            </w:pPr>
          </w:p>
          <w:p w14:paraId="28BF5242" w14:textId="77777777" w:rsidR="008F4B77" w:rsidRPr="008F4B77" w:rsidRDefault="008F4B77" w:rsidP="008F4B77">
            <w:pPr>
              <w:jc w:val="both"/>
              <w:rPr>
                <w:rFonts w:eastAsia="Times New Roman"/>
                <w:bCs/>
                <w:color w:val="000000"/>
                <w:sz w:val="16"/>
                <w:szCs w:val="16"/>
                <w:lang w:val="en-US"/>
              </w:rPr>
            </w:pPr>
            <w:r>
              <w:rPr>
                <w:rFonts w:eastAsia="Times New Roman"/>
                <w:bCs/>
                <w:color w:val="000000"/>
                <w:sz w:val="16"/>
                <w:szCs w:val="16"/>
                <w:lang w:val="en-US"/>
              </w:rPr>
              <w:lastRenderedPageBreak/>
              <w:t>“</w:t>
            </w:r>
            <w:r w:rsidRPr="008F4B77">
              <w:rPr>
                <w:rFonts w:eastAsia="Times New Roman"/>
                <w:bCs/>
                <w:color w:val="000000"/>
                <w:sz w:val="16"/>
                <w:szCs w:val="16"/>
                <w:lang w:val="en-US"/>
              </w:rPr>
              <w:t>A STA that is a VHT AP or a VHT mesh STA declares its channel width capability in the VHT Capabilities</w:t>
            </w:r>
          </w:p>
          <w:p w14:paraId="2986D947" w14:textId="221EDF50" w:rsidR="003B6BEC" w:rsidRPr="00002955" w:rsidRDefault="008F4B77" w:rsidP="008F4B77">
            <w:pPr>
              <w:jc w:val="both"/>
              <w:rPr>
                <w:rFonts w:eastAsia="Times New Roman"/>
                <w:bCs/>
                <w:color w:val="000000"/>
                <w:sz w:val="16"/>
                <w:szCs w:val="16"/>
                <w:lang w:val="en-US"/>
              </w:rPr>
            </w:pPr>
            <w:r w:rsidRPr="008F4B77">
              <w:rPr>
                <w:rFonts w:eastAsia="Times New Roman"/>
                <w:bCs/>
                <w:color w:val="000000"/>
                <w:sz w:val="16"/>
                <w:szCs w:val="16"/>
                <w:lang w:val="en-US"/>
              </w:rPr>
              <w:t>element VHT Capabilities Information field as described in Table 9-272 (Subfields of the VHT Capabilities</w:t>
            </w:r>
            <w:r>
              <w:rPr>
                <w:rFonts w:eastAsia="Times New Roman"/>
                <w:bCs/>
                <w:color w:val="000000"/>
                <w:sz w:val="16"/>
                <w:szCs w:val="16"/>
                <w:lang w:val="en-US"/>
              </w:rPr>
              <w:t xml:space="preserve"> </w:t>
            </w:r>
            <w:r w:rsidRPr="008F4B77">
              <w:rPr>
                <w:rFonts w:eastAsia="Times New Roman"/>
                <w:bCs/>
                <w:color w:val="000000"/>
                <w:sz w:val="16"/>
                <w:szCs w:val="16"/>
                <w:lang w:val="en-US"/>
              </w:rPr>
              <w:t>Information field).</w:t>
            </w:r>
            <w:r>
              <w:rPr>
                <w:rFonts w:eastAsia="Times New Roman"/>
                <w:bCs/>
                <w:color w:val="000000"/>
                <w:sz w:val="16"/>
                <w:szCs w:val="16"/>
                <w:lang w:val="en-US"/>
              </w:rPr>
              <w:t>”</w:t>
            </w:r>
          </w:p>
        </w:tc>
      </w:tr>
      <w:tr w:rsidR="003B6BEC" w:rsidRPr="001F620B" w14:paraId="35A511DF" w14:textId="77777777" w:rsidTr="00BB319E">
        <w:trPr>
          <w:trHeight w:val="220"/>
        </w:trPr>
        <w:tc>
          <w:tcPr>
            <w:tcW w:w="696" w:type="dxa"/>
            <w:shd w:val="clear" w:color="auto" w:fill="auto"/>
            <w:noWrap/>
          </w:tcPr>
          <w:p w14:paraId="2BAD1D27" w14:textId="5D083BF6" w:rsidR="003B6BEC" w:rsidRPr="007A774D" w:rsidRDefault="003B6BEC" w:rsidP="003B6BEC">
            <w:pPr>
              <w:jc w:val="both"/>
              <w:rPr>
                <w:rFonts w:eastAsia="Times New Roman"/>
                <w:bCs/>
                <w:color w:val="000000"/>
                <w:sz w:val="16"/>
                <w:szCs w:val="16"/>
                <w:lang w:val="en-US"/>
              </w:rPr>
            </w:pPr>
            <w:r w:rsidRPr="007A774D">
              <w:rPr>
                <w:rFonts w:eastAsia="Times New Roman"/>
                <w:bCs/>
                <w:color w:val="000000"/>
                <w:sz w:val="16"/>
                <w:szCs w:val="16"/>
                <w:lang w:val="en-US"/>
              </w:rPr>
              <w:lastRenderedPageBreak/>
              <w:t>21275</w:t>
            </w:r>
          </w:p>
        </w:tc>
        <w:tc>
          <w:tcPr>
            <w:tcW w:w="1061" w:type="dxa"/>
            <w:shd w:val="clear" w:color="auto" w:fill="auto"/>
            <w:noWrap/>
          </w:tcPr>
          <w:p w14:paraId="2B441BC3" w14:textId="1FF1398A" w:rsidR="003B6BEC" w:rsidRPr="007A774D" w:rsidRDefault="003B6BEC" w:rsidP="003B6BEC">
            <w:pPr>
              <w:jc w:val="both"/>
              <w:rPr>
                <w:rFonts w:eastAsia="Times New Roman"/>
                <w:bCs/>
                <w:color w:val="000000"/>
                <w:sz w:val="16"/>
                <w:szCs w:val="16"/>
                <w:lang w:val="en-US"/>
              </w:rPr>
            </w:pPr>
            <w:r w:rsidRPr="007A774D">
              <w:rPr>
                <w:rFonts w:eastAsia="Times New Roman"/>
                <w:bCs/>
                <w:color w:val="000000"/>
                <w:sz w:val="16"/>
                <w:szCs w:val="16"/>
                <w:lang w:val="en-US"/>
              </w:rPr>
              <w:t>Robert Stacey</w:t>
            </w:r>
          </w:p>
        </w:tc>
        <w:tc>
          <w:tcPr>
            <w:tcW w:w="540" w:type="dxa"/>
            <w:shd w:val="clear" w:color="auto" w:fill="auto"/>
            <w:noWrap/>
          </w:tcPr>
          <w:p w14:paraId="6EE9E353" w14:textId="79734640" w:rsidR="003B6BEC" w:rsidRPr="007A774D" w:rsidRDefault="003B6BEC" w:rsidP="003B6BEC">
            <w:pPr>
              <w:jc w:val="both"/>
              <w:rPr>
                <w:rFonts w:eastAsia="Times New Roman"/>
                <w:bCs/>
                <w:color w:val="000000"/>
                <w:sz w:val="16"/>
                <w:szCs w:val="16"/>
                <w:lang w:val="en-US"/>
              </w:rPr>
            </w:pPr>
            <w:r w:rsidRPr="007A774D">
              <w:rPr>
                <w:rFonts w:eastAsia="Times New Roman"/>
                <w:bCs/>
                <w:color w:val="000000"/>
                <w:sz w:val="16"/>
                <w:szCs w:val="16"/>
                <w:lang w:val="en-US"/>
              </w:rPr>
              <w:t>428.43</w:t>
            </w:r>
          </w:p>
        </w:tc>
        <w:tc>
          <w:tcPr>
            <w:tcW w:w="2090" w:type="dxa"/>
            <w:shd w:val="clear" w:color="auto" w:fill="auto"/>
            <w:noWrap/>
          </w:tcPr>
          <w:p w14:paraId="1DC2DF0A" w14:textId="7560FA06" w:rsidR="003B6BEC" w:rsidRPr="007A774D" w:rsidRDefault="003B6BEC" w:rsidP="003B6BEC">
            <w:pPr>
              <w:jc w:val="both"/>
              <w:rPr>
                <w:rFonts w:eastAsia="Times New Roman"/>
                <w:bCs/>
                <w:color w:val="000000"/>
                <w:sz w:val="16"/>
                <w:szCs w:val="16"/>
                <w:lang w:val="en-US"/>
              </w:rPr>
            </w:pPr>
            <w:r w:rsidRPr="007A774D">
              <w:rPr>
                <w:rFonts w:eastAsia="Times New Roman"/>
                <w:bCs/>
                <w:color w:val="000000"/>
                <w:sz w:val="16"/>
                <w:szCs w:val="16"/>
                <w:lang w:val="en-US"/>
              </w:rPr>
              <w:t xml:space="preserve">"using a bandwidth" is vague (could mean PPDU bandwidth or operating channel width of transmitter, i.e., spectral mask applied). Also, it is not the capabilities that are </w:t>
            </w:r>
            <w:proofErr w:type="spellStart"/>
            <w:r w:rsidRPr="007A774D">
              <w:rPr>
                <w:rFonts w:eastAsia="Times New Roman"/>
                <w:bCs/>
                <w:color w:val="000000"/>
                <w:sz w:val="16"/>
                <w:szCs w:val="16"/>
                <w:lang w:val="en-US"/>
              </w:rPr>
              <w:t>relavant</w:t>
            </w:r>
            <w:proofErr w:type="spellEnd"/>
            <w:r w:rsidRPr="007A774D">
              <w:rPr>
                <w:rFonts w:eastAsia="Times New Roman"/>
                <w:bCs/>
                <w:color w:val="000000"/>
                <w:sz w:val="16"/>
                <w:szCs w:val="16"/>
                <w:lang w:val="en-US"/>
              </w:rPr>
              <w:t xml:space="preserve">; it is the operating mode that is </w:t>
            </w:r>
            <w:proofErr w:type="spellStart"/>
            <w:r w:rsidRPr="007A774D">
              <w:rPr>
                <w:rFonts w:eastAsia="Times New Roman"/>
                <w:bCs/>
                <w:color w:val="000000"/>
                <w:sz w:val="16"/>
                <w:szCs w:val="16"/>
                <w:lang w:val="en-US"/>
              </w:rPr>
              <w:t>relavant</w:t>
            </w:r>
            <w:proofErr w:type="spellEnd"/>
            <w:r w:rsidRPr="007A774D">
              <w:rPr>
                <w:rFonts w:eastAsia="Times New Roman"/>
                <w:bCs/>
                <w:color w:val="000000"/>
                <w:sz w:val="16"/>
                <w:szCs w:val="16"/>
                <w:lang w:val="en-US"/>
              </w:rPr>
              <w:t xml:space="preserve"> (as indicated In OM Control and HE Operation element) since the requirements here are ALWAYS tighter than the capabilities.</w:t>
            </w:r>
          </w:p>
        </w:tc>
        <w:tc>
          <w:tcPr>
            <w:tcW w:w="2520" w:type="dxa"/>
            <w:shd w:val="clear" w:color="auto" w:fill="auto"/>
            <w:noWrap/>
          </w:tcPr>
          <w:p w14:paraId="57F34E16" w14:textId="2464A4FA" w:rsidR="003B6BEC" w:rsidRPr="007A774D" w:rsidRDefault="003B6BEC" w:rsidP="003B6BEC">
            <w:pPr>
              <w:jc w:val="both"/>
              <w:rPr>
                <w:rFonts w:eastAsia="Times New Roman"/>
                <w:bCs/>
                <w:color w:val="000000"/>
                <w:sz w:val="16"/>
                <w:szCs w:val="16"/>
                <w:lang w:val="en-US"/>
              </w:rPr>
            </w:pPr>
            <w:r w:rsidRPr="007A774D">
              <w:rPr>
                <w:rFonts w:eastAsia="Times New Roman"/>
                <w:bCs/>
                <w:color w:val="000000"/>
                <w:sz w:val="16"/>
                <w:szCs w:val="16"/>
                <w:lang w:val="en-US"/>
              </w:rPr>
              <w:t>Change to "An HE STA shall not transmit an HE PPDU to a recipient STA with a PPDU bandwidth that is greater than the operating channel width of the recipient STA as indicated in the last received OM Control field or HE Operation element from the recipient STA."</w:t>
            </w:r>
          </w:p>
        </w:tc>
        <w:tc>
          <w:tcPr>
            <w:tcW w:w="4500" w:type="dxa"/>
            <w:shd w:val="clear" w:color="auto" w:fill="auto"/>
            <w:vAlign w:val="center"/>
          </w:tcPr>
          <w:p w14:paraId="6F4C8154" w14:textId="617BBDDF" w:rsidR="00040016" w:rsidRPr="007A774D" w:rsidRDefault="00040016" w:rsidP="00040016">
            <w:pPr>
              <w:jc w:val="both"/>
              <w:rPr>
                <w:rFonts w:eastAsia="Times New Roman"/>
                <w:bCs/>
                <w:color w:val="000000"/>
                <w:sz w:val="16"/>
                <w:szCs w:val="16"/>
                <w:lang w:val="en-US"/>
              </w:rPr>
            </w:pPr>
            <w:r w:rsidRPr="007A774D">
              <w:rPr>
                <w:rFonts w:eastAsia="Times New Roman"/>
                <w:bCs/>
                <w:color w:val="000000"/>
                <w:sz w:val="16"/>
                <w:szCs w:val="16"/>
                <w:lang w:val="en-US"/>
              </w:rPr>
              <w:t>Re</w:t>
            </w:r>
            <w:r w:rsidR="00377CE6" w:rsidRPr="007A774D">
              <w:rPr>
                <w:rFonts w:eastAsia="Times New Roman"/>
                <w:bCs/>
                <w:color w:val="000000"/>
                <w:sz w:val="16"/>
                <w:szCs w:val="16"/>
                <w:lang w:val="en-US"/>
              </w:rPr>
              <w:t>vise</w:t>
            </w:r>
            <w:r w:rsidRPr="007A774D">
              <w:rPr>
                <w:rFonts w:eastAsia="Times New Roman"/>
                <w:bCs/>
                <w:color w:val="000000"/>
                <w:sz w:val="16"/>
                <w:szCs w:val="16"/>
                <w:lang w:val="en-US"/>
              </w:rPr>
              <w:t>d –</w:t>
            </w:r>
          </w:p>
          <w:p w14:paraId="650A6541" w14:textId="77777777" w:rsidR="00040016" w:rsidRPr="007A774D" w:rsidRDefault="00040016" w:rsidP="00040016">
            <w:pPr>
              <w:jc w:val="both"/>
              <w:rPr>
                <w:rFonts w:eastAsia="Times New Roman"/>
                <w:bCs/>
                <w:color w:val="000000"/>
                <w:sz w:val="16"/>
                <w:szCs w:val="16"/>
                <w:lang w:val="en-US"/>
              </w:rPr>
            </w:pPr>
          </w:p>
          <w:p w14:paraId="18471F5E" w14:textId="4F3E3241" w:rsidR="00377CE6" w:rsidRPr="007A774D" w:rsidRDefault="00377CE6" w:rsidP="00377CE6">
            <w:pPr>
              <w:jc w:val="both"/>
              <w:rPr>
                <w:rFonts w:eastAsia="Times New Roman"/>
                <w:bCs/>
                <w:color w:val="000000"/>
                <w:sz w:val="16"/>
                <w:szCs w:val="16"/>
                <w:lang w:val="en-US"/>
              </w:rPr>
            </w:pPr>
            <w:r w:rsidRPr="007A774D">
              <w:rPr>
                <w:rFonts w:eastAsia="Times New Roman"/>
                <w:bCs/>
                <w:color w:val="000000"/>
                <w:sz w:val="16"/>
                <w:szCs w:val="16"/>
                <w:lang w:val="en-US"/>
              </w:rPr>
              <w:t>P</w:t>
            </w:r>
            <w:r w:rsidR="00040016" w:rsidRPr="007A774D">
              <w:rPr>
                <w:rFonts w:eastAsia="Times New Roman"/>
                <w:bCs/>
                <w:color w:val="000000"/>
                <w:sz w:val="16"/>
                <w:szCs w:val="16"/>
                <w:lang w:val="en-US"/>
              </w:rPr>
              <w:t>lease note that the paragraph is dictating a requirement depending on the capabilities of the device (HE Capabilities) rather than HE operation or OM control, which have limited application (HE operation only when transmitted by an AP, and OM control when transmitted to a STA that supports its reception).</w:t>
            </w:r>
            <w:r w:rsidRPr="007A774D">
              <w:rPr>
                <w:rFonts w:eastAsia="Times New Roman"/>
                <w:bCs/>
                <w:color w:val="000000"/>
                <w:sz w:val="16"/>
                <w:szCs w:val="16"/>
                <w:lang w:val="en-US"/>
              </w:rPr>
              <w:t xml:space="preserve"> This is </w:t>
            </w:r>
            <w:proofErr w:type="spellStart"/>
            <w:r w:rsidRPr="007A774D">
              <w:rPr>
                <w:rFonts w:eastAsia="Times New Roman"/>
                <w:bCs/>
                <w:color w:val="000000"/>
                <w:sz w:val="16"/>
                <w:szCs w:val="16"/>
                <w:lang w:val="en-US"/>
              </w:rPr>
              <w:t>inline</w:t>
            </w:r>
            <w:proofErr w:type="spellEnd"/>
            <w:r w:rsidRPr="007A774D">
              <w:rPr>
                <w:rFonts w:eastAsia="Times New Roman"/>
                <w:bCs/>
                <w:color w:val="000000"/>
                <w:sz w:val="16"/>
                <w:szCs w:val="16"/>
                <w:lang w:val="en-US"/>
              </w:rPr>
              <w:t xml:space="preserve"> with similar language that can be found in baseline for e.g., VHT STAs. The additional rules covering OM control are provided in 26.9</w:t>
            </w:r>
            <w:r w:rsidR="00C71343" w:rsidRPr="007A774D">
              <w:rPr>
                <w:rFonts w:eastAsia="Times New Roman"/>
                <w:bCs/>
                <w:color w:val="000000"/>
                <w:sz w:val="16"/>
                <w:szCs w:val="16"/>
                <w:lang w:val="en-US"/>
              </w:rPr>
              <w:t>, however those</w:t>
            </w:r>
            <w:r w:rsidRPr="007A774D">
              <w:rPr>
                <w:rFonts w:eastAsia="Times New Roman"/>
                <w:bCs/>
                <w:color w:val="000000"/>
                <w:sz w:val="16"/>
                <w:szCs w:val="16"/>
                <w:lang w:val="en-US"/>
              </w:rPr>
              <w:t xml:space="preserve"> for HE operation element need to </w:t>
            </w:r>
            <w:r w:rsidR="00885C3A" w:rsidRPr="007A774D">
              <w:rPr>
                <w:rFonts w:eastAsia="Times New Roman"/>
                <w:bCs/>
                <w:color w:val="000000"/>
                <w:sz w:val="16"/>
                <w:szCs w:val="16"/>
                <w:lang w:val="en-US"/>
              </w:rPr>
              <w:t>be</w:t>
            </w:r>
            <w:r w:rsidRPr="007A774D">
              <w:rPr>
                <w:rFonts w:eastAsia="Times New Roman"/>
                <w:bCs/>
                <w:color w:val="000000"/>
                <w:sz w:val="16"/>
                <w:szCs w:val="16"/>
                <w:lang w:val="en-US"/>
              </w:rPr>
              <w:t xml:space="preserve"> covered.</w:t>
            </w:r>
            <w:r w:rsidR="00C71343" w:rsidRPr="007A774D">
              <w:rPr>
                <w:rFonts w:eastAsia="Times New Roman"/>
                <w:bCs/>
                <w:color w:val="000000"/>
                <w:sz w:val="16"/>
                <w:szCs w:val="16"/>
                <w:lang w:val="en-US"/>
              </w:rPr>
              <w:t xml:space="preserve"> Proposed resolution is to add the rule in the same paragraph.</w:t>
            </w:r>
          </w:p>
          <w:p w14:paraId="21C63869" w14:textId="77777777" w:rsidR="00377CE6" w:rsidRPr="007A774D" w:rsidRDefault="00377CE6" w:rsidP="00377CE6">
            <w:pPr>
              <w:jc w:val="both"/>
              <w:rPr>
                <w:rFonts w:eastAsia="Times New Roman"/>
                <w:bCs/>
                <w:color w:val="000000"/>
                <w:sz w:val="16"/>
                <w:szCs w:val="16"/>
                <w:lang w:val="en-US"/>
              </w:rPr>
            </w:pPr>
          </w:p>
          <w:p w14:paraId="2C077876" w14:textId="030F6DA0" w:rsidR="00040016" w:rsidRPr="007A774D" w:rsidRDefault="00377CE6" w:rsidP="00377CE6">
            <w:pPr>
              <w:jc w:val="both"/>
              <w:rPr>
                <w:rFonts w:eastAsia="Times New Roman"/>
                <w:bCs/>
                <w:color w:val="000000"/>
                <w:sz w:val="16"/>
                <w:szCs w:val="16"/>
                <w:lang w:val="en-US"/>
              </w:rPr>
            </w:pPr>
            <w:r w:rsidRPr="007A774D">
              <w:rPr>
                <w:rFonts w:eastAsia="Times New Roman"/>
                <w:bCs/>
                <w:color w:val="000000"/>
                <w:sz w:val="16"/>
                <w:szCs w:val="16"/>
                <w:lang w:val="en-US"/>
              </w:rPr>
              <w:t xml:space="preserve"> </w:t>
            </w:r>
            <w:proofErr w:type="spellStart"/>
            <w:r w:rsidRPr="007A774D">
              <w:rPr>
                <w:rFonts w:eastAsia="Times New Roman"/>
                <w:bCs/>
                <w:color w:val="000000"/>
                <w:sz w:val="16"/>
                <w:szCs w:val="16"/>
                <w:lang w:val="en-US"/>
              </w:rPr>
              <w:t>TGax</w:t>
            </w:r>
            <w:proofErr w:type="spellEnd"/>
            <w:r w:rsidRPr="007A774D">
              <w:rPr>
                <w:rFonts w:eastAsia="Times New Roman"/>
                <w:bCs/>
                <w:color w:val="000000"/>
                <w:sz w:val="16"/>
                <w:szCs w:val="16"/>
                <w:lang w:val="en-US"/>
              </w:rPr>
              <w:t xml:space="preserve"> editor to make the changes shown in 11-19/0302r0 under all headings that include CID 21275.</w:t>
            </w:r>
          </w:p>
        </w:tc>
      </w:tr>
      <w:tr w:rsidR="003B6BEC" w:rsidRPr="001F620B" w14:paraId="3D64F510" w14:textId="77777777" w:rsidTr="00BB319E">
        <w:trPr>
          <w:trHeight w:val="220"/>
        </w:trPr>
        <w:tc>
          <w:tcPr>
            <w:tcW w:w="696" w:type="dxa"/>
            <w:shd w:val="clear" w:color="auto" w:fill="auto"/>
            <w:noWrap/>
          </w:tcPr>
          <w:p w14:paraId="18AB6B09" w14:textId="04392F90"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21277</w:t>
            </w:r>
          </w:p>
        </w:tc>
        <w:tc>
          <w:tcPr>
            <w:tcW w:w="1061" w:type="dxa"/>
            <w:shd w:val="clear" w:color="auto" w:fill="auto"/>
            <w:noWrap/>
          </w:tcPr>
          <w:p w14:paraId="0335F5A4" w14:textId="20E2654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Robert Stacey</w:t>
            </w:r>
          </w:p>
        </w:tc>
        <w:tc>
          <w:tcPr>
            <w:tcW w:w="540" w:type="dxa"/>
            <w:shd w:val="clear" w:color="auto" w:fill="auto"/>
            <w:noWrap/>
          </w:tcPr>
          <w:p w14:paraId="481D3EFD" w14:textId="565AF617"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429.01</w:t>
            </w:r>
          </w:p>
        </w:tc>
        <w:tc>
          <w:tcPr>
            <w:tcW w:w="2090" w:type="dxa"/>
            <w:shd w:val="clear" w:color="auto" w:fill="auto"/>
            <w:noWrap/>
          </w:tcPr>
          <w:p w14:paraId="25064269" w14:textId="4419DAC5"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Is this true even for an HE STA that is not a VHT STA? The statement is either redundant (since the HE STA is a VHT STA and thus follows rules that apply to VHT STAs) or it applies VHT rules to non-VHT STAs.</w:t>
            </w:r>
          </w:p>
        </w:tc>
        <w:tc>
          <w:tcPr>
            <w:tcW w:w="2520" w:type="dxa"/>
            <w:shd w:val="clear" w:color="auto" w:fill="auto"/>
            <w:noWrap/>
          </w:tcPr>
          <w:p w14:paraId="7C2E8018" w14:textId="2EEA8A24"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Remove the first sentence of this paragraph.</w:t>
            </w:r>
          </w:p>
        </w:tc>
        <w:tc>
          <w:tcPr>
            <w:tcW w:w="4500" w:type="dxa"/>
            <w:shd w:val="clear" w:color="auto" w:fill="auto"/>
            <w:vAlign w:val="center"/>
          </w:tcPr>
          <w:p w14:paraId="27D0F813" w14:textId="77777777" w:rsidR="00403C42" w:rsidRDefault="00403C42" w:rsidP="00403C42">
            <w:pPr>
              <w:jc w:val="both"/>
              <w:rPr>
                <w:rFonts w:eastAsia="Times New Roman"/>
                <w:bCs/>
                <w:color w:val="000000"/>
                <w:sz w:val="16"/>
                <w:szCs w:val="16"/>
                <w:lang w:val="en-US"/>
              </w:rPr>
            </w:pPr>
            <w:r>
              <w:rPr>
                <w:rFonts w:eastAsia="Times New Roman"/>
                <w:bCs/>
                <w:color w:val="000000"/>
                <w:sz w:val="16"/>
                <w:szCs w:val="16"/>
                <w:lang w:val="en-US"/>
              </w:rPr>
              <w:t>Rejected –</w:t>
            </w:r>
          </w:p>
          <w:p w14:paraId="16C9B04B" w14:textId="77777777" w:rsidR="00403C42" w:rsidRDefault="00403C42" w:rsidP="00403C42">
            <w:pPr>
              <w:jc w:val="both"/>
              <w:rPr>
                <w:rFonts w:eastAsia="Times New Roman"/>
                <w:bCs/>
                <w:color w:val="000000"/>
                <w:sz w:val="16"/>
                <w:szCs w:val="16"/>
                <w:lang w:val="en-US"/>
              </w:rPr>
            </w:pPr>
          </w:p>
          <w:p w14:paraId="527CFA59" w14:textId="1E641ECA" w:rsidR="00403C42" w:rsidRDefault="00403C42" w:rsidP="00403C42">
            <w:pPr>
              <w:jc w:val="both"/>
              <w:rPr>
                <w:rFonts w:eastAsia="Times New Roman"/>
                <w:bCs/>
                <w:color w:val="000000"/>
                <w:sz w:val="16"/>
                <w:szCs w:val="16"/>
                <w:lang w:val="en-US"/>
              </w:rPr>
            </w:pPr>
            <w:r w:rsidRPr="00887B2A">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1F9CFEA7" w14:textId="77777777" w:rsidR="00403C42" w:rsidRDefault="00403C42" w:rsidP="00403C42">
            <w:pPr>
              <w:jc w:val="both"/>
              <w:rPr>
                <w:rFonts w:eastAsia="Times New Roman"/>
                <w:bCs/>
                <w:color w:val="000000"/>
                <w:sz w:val="16"/>
                <w:szCs w:val="16"/>
                <w:lang w:val="en-US"/>
              </w:rPr>
            </w:pPr>
          </w:p>
          <w:p w14:paraId="1EF523A3" w14:textId="7925C98A" w:rsidR="003B6BEC" w:rsidRPr="00002955" w:rsidRDefault="00403C42" w:rsidP="00403C42">
            <w:pPr>
              <w:jc w:val="both"/>
              <w:rPr>
                <w:rFonts w:eastAsia="Times New Roman"/>
                <w:bCs/>
                <w:color w:val="000000"/>
                <w:sz w:val="16"/>
                <w:szCs w:val="16"/>
                <w:lang w:val="en-US"/>
              </w:rPr>
            </w:pPr>
            <w:r>
              <w:rPr>
                <w:rFonts w:eastAsia="Times New Roman"/>
                <w:bCs/>
                <w:color w:val="000000"/>
                <w:sz w:val="16"/>
                <w:szCs w:val="16"/>
                <w:lang w:val="en-US"/>
              </w:rPr>
              <w:t>Also please note that all HE STAs in the 5 GHz band are VHT STA</w:t>
            </w:r>
            <w:r w:rsidR="00C237A2">
              <w:rPr>
                <w:rFonts w:eastAsia="Times New Roman"/>
                <w:bCs/>
                <w:color w:val="000000"/>
                <w:sz w:val="16"/>
                <w:szCs w:val="16"/>
                <w:lang w:val="en-US"/>
              </w:rPr>
              <w:t>s</w:t>
            </w:r>
            <w:r>
              <w:rPr>
                <w:rFonts w:eastAsia="Times New Roman"/>
                <w:bCs/>
                <w:color w:val="000000"/>
                <w:sz w:val="16"/>
                <w:szCs w:val="16"/>
                <w:lang w:val="en-US"/>
              </w:rPr>
              <w:t>, hence the requirement is true for all of them. The intention here is to specify the HE STA is required to follow these rules for the 5 GHz band but not for other bands (e.g., 2.4 GHz, or 6 GHz band).</w:t>
            </w:r>
            <w:bookmarkStart w:id="1" w:name="_GoBack"/>
            <w:bookmarkEnd w:id="1"/>
          </w:p>
        </w:tc>
      </w:tr>
      <w:tr w:rsidR="003B6BEC" w:rsidRPr="001F620B" w14:paraId="118CB1AD" w14:textId="77777777" w:rsidTr="00BB319E">
        <w:trPr>
          <w:trHeight w:val="220"/>
        </w:trPr>
        <w:tc>
          <w:tcPr>
            <w:tcW w:w="696" w:type="dxa"/>
            <w:shd w:val="clear" w:color="auto" w:fill="auto"/>
            <w:noWrap/>
          </w:tcPr>
          <w:p w14:paraId="651A4046" w14:textId="285436F3" w:rsidR="003B6BEC" w:rsidRPr="00E24BD0" w:rsidRDefault="003B6BEC" w:rsidP="003B6BEC">
            <w:pPr>
              <w:jc w:val="both"/>
              <w:rPr>
                <w:rFonts w:eastAsia="Times New Roman"/>
                <w:bCs/>
                <w:color w:val="000000"/>
                <w:sz w:val="16"/>
                <w:szCs w:val="16"/>
                <w:lang w:val="en-US"/>
              </w:rPr>
            </w:pPr>
            <w:r w:rsidRPr="00E24BD0">
              <w:rPr>
                <w:rFonts w:eastAsia="Times New Roman"/>
                <w:bCs/>
                <w:color w:val="000000"/>
                <w:sz w:val="16"/>
                <w:szCs w:val="16"/>
                <w:lang w:val="en-US"/>
              </w:rPr>
              <w:t>21279</w:t>
            </w:r>
          </w:p>
        </w:tc>
        <w:tc>
          <w:tcPr>
            <w:tcW w:w="1061" w:type="dxa"/>
            <w:shd w:val="clear" w:color="auto" w:fill="auto"/>
            <w:noWrap/>
          </w:tcPr>
          <w:p w14:paraId="3B20B8FD" w14:textId="41CCE02B" w:rsidR="003B6BEC" w:rsidRPr="00E24BD0" w:rsidRDefault="003B6BEC" w:rsidP="003B6BEC">
            <w:pPr>
              <w:jc w:val="both"/>
              <w:rPr>
                <w:rFonts w:eastAsia="Times New Roman"/>
                <w:bCs/>
                <w:color w:val="000000"/>
                <w:sz w:val="16"/>
                <w:szCs w:val="16"/>
                <w:lang w:val="en-US"/>
              </w:rPr>
            </w:pPr>
            <w:r w:rsidRPr="00E24BD0">
              <w:rPr>
                <w:rFonts w:eastAsia="Times New Roman"/>
                <w:bCs/>
                <w:color w:val="000000"/>
                <w:sz w:val="16"/>
                <w:szCs w:val="16"/>
                <w:lang w:val="en-US"/>
              </w:rPr>
              <w:t>Robert Stacey</w:t>
            </w:r>
          </w:p>
        </w:tc>
        <w:tc>
          <w:tcPr>
            <w:tcW w:w="540" w:type="dxa"/>
            <w:shd w:val="clear" w:color="auto" w:fill="auto"/>
            <w:noWrap/>
          </w:tcPr>
          <w:p w14:paraId="7165898A" w14:textId="7A9FBF79" w:rsidR="003B6BEC" w:rsidRPr="00E24BD0" w:rsidRDefault="003B6BEC" w:rsidP="003B6BEC">
            <w:pPr>
              <w:jc w:val="both"/>
              <w:rPr>
                <w:rFonts w:eastAsia="Times New Roman"/>
                <w:bCs/>
                <w:color w:val="000000"/>
                <w:sz w:val="16"/>
                <w:szCs w:val="16"/>
                <w:lang w:val="en-US"/>
              </w:rPr>
            </w:pPr>
            <w:r w:rsidRPr="00E24BD0">
              <w:rPr>
                <w:rFonts w:eastAsia="Times New Roman"/>
                <w:bCs/>
                <w:color w:val="000000"/>
                <w:sz w:val="16"/>
                <w:szCs w:val="16"/>
                <w:lang w:val="en-US"/>
              </w:rPr>
              <w:t>429.12</w:t>
            </w:r>
          </w:p>
        </w:tc>
        <w:tc>
          <w:tcPr>
            <w:tcW w:w="2090" w:type="dxa"/>
            <w:shd w:val="clear" w:color="auto" w:fill="auto"/>
            <w:noWrap/>
          </w:tcPr>
          <w:p w14:paraId="5F5A65D9" w14:textId="092E4D5A" w:rsidR="003B6BEC" w:rsidRPr="00E24BD0" w:rsidRDefault="003B6BEC" w:rsidP="003B6BEC">
            <w:pPr>
              <w:jc w:val="both"/>
              <w:rPr>
                <w:rFonts w:eastAsia="Times New Roman"/>
                <w:bCs/>
                <w:color w:val="000000"/>
                <w:sz w:val="16"/>
                <w:szCs w:val="16"/>
                <w:lang w:val="en-US"/>
              </w:rPr>
            </w:pPr>
            <w:r w:rsidRPr="00E24BD0">
              <w:rPr>
                <w:rFonts w:eastAsia="Times New Roman"/>
                <w:bCs/>
                <w:color w:val="000000"/>
                <w:sz w:val="16"/>
                <w:szCs w:val="16"/>
                <w:lang w:val="en-US"/>
              </w:rPr>
              <w:t>Not responding is bad behavior. By not responding the STA is left without information on why there was no response and will probably retry assuming reception failure. In the case of Association Request frame (which is directed) does this mean no Ack frame is sent? Or no Association Response frame is sent? Either way, almost always better to respond with an appropriate response (e.g., Disassociate or Probe Response with capability indication) than to not respond at all. At a minimum, this needs to align with the procedures in 11.3.5</w:t>
            </w:r>
            <w:r w:rsidR="007E1817" w:rsidRPr="00E24BD0">
              <w:rPr>
                <w:rFonts w:eastAsia="Times New Roman"/>
                <w:bCs/>
                <w:color w:val="000000"/>
                <w:sz w:val="16"/>
                <w:szCs w:val="16"/>
                <w:lang w:val="en-US"/>
              </w:rPr>
              <w:t>.</w:t>
            </w:r>
          </w:p>
        </w:tc>
        <w:tc>
          <w:tcPr>
            <w:tcW w:w="2520" w:type="dxa"/>
            <w:shd w:val="clear" w:color="auto" w:fill="auto"/>
            <w:noWrap/>
          </w:tcPr>
          <w:p w14:paraId="2A021345" w14:textId="15446024" w:rsidR="003B6BEC" w:rsidRPr="00E24BD0" w:rsidRDefault="003B6BEC" w:rsidP="003B6BEC">
            <w:pPr>
              <w:jc w:val="both"/>
              <w:rPr>
                <w:rFonts w:eastAsia="Times New Roman"/>
                <w:bCs/>
                <w:color w:val="000000"/>
                <w:sz w:val="16"/>
                <w:szCs w:val="16"/>
                <w:lang w:val="en-US"/>
              </w:rPr>
            </w:pPr>
            <w:r w:rsidRPr="00E24BD0">
              <w:rPr>
                <w:rFonts w:eastAsia="Times New Roman"/>
                <w:bCs/>
                <w:color w:val="000000"/>
                <w:sz w:val="16"/>
                <w:szCs w:val="16"/>
                <w:lang w:val="en-US"/>
              </w:rPr>
              <w:t>Remove this statement.</w:t>
            </w:r>
          </w:p>
        </w:tc>
        <w:tc>
          <w:tcPr>
            <w:tcW w:w="4500" w:type="dxa"/>
            <w:shd w:val="clear" w:color="auto" w:fill="auto"/>
            <w:vAlign w:val="center"/>
          </w:tcPr>
          <w:p w14:paraId="4494D2D1" w14:textId="77777777" w:rsidR="001D4565" w:rsidRPr="00E24BD0" w:rsidRDefault="001D4565" w:rsidP="001D4565">
            <w:pPr>
              <w:jc w:val="both"/>
              <w:rPr>
                <w:rFonts w:eastAsia="Times New Roman"/>
                <w:bCs/>
                <w:color w:val="000000"/>
                <w:sz w:val="16"/>
                <w:szCs w:val="16"/>
                <w:lang w:val="en-US"/>
              </w:rPr>
            </w:pPr>
            <w:r w:rsidRPr="00E24BD0">
              <w:rPr>
                <w:rFonts w:eastAsia="Times New Roman"/>
                <w:bCs/>
                <w:color w:val="000000"/>
                <w:sz w:val="16"/>
                <w:szCs w:val="16"/>
                <w:lang w:val="en-US"/>
              </w:rPr>
              <w:t>Revised –</w:t>
            </w:r>
          </w:p>
          <w:p w14:paraId="1C686F66" w14:textId="77777777" w:rsidR="001D4565" w:rsidRPr="00E24BD0" w:rsidRDefault="001D4565" w:rsidP="001D4565">
            <w:pPr>
              <w:jc w:val="both"/>
              <w:rPr>
                <w:rFonts w:eastAsia="Times New Roman"/>
                <w:bCs/>
                <w:color w:val="000000"/>
                <w:sz w:val="16"/>
                <w:szCs w:val="16"/>
                <w:lang w:val="en-US"/>
              </w:rPr>
            </w:pPr>
          </w:p>
          <w:p w14:paraId="6D865CDD" w14:textId="02DFC9DF" w:rsidR="001D4565" w:rsidRPr="00E24BD0" w:rsidRDefault="001D4565" w:rsidP="001D4565">
            <w:pPr>
              <w:jc w:val="both"/>
              <w:rPr>
                <w:rFonts w:eastAsia="Times New Roman"/>
                <w:bCs/>
                <w:color w:val="000000"/>
                <w:sz w:val="16"/>
                <w:szCs w:val="16"/>
                <w:lang w:val="en-US"/>
              </w:rPr>
            </w:pPr>
            <w:r w:rsidRPr="00E24BD0">
              <w:rPr>
                <w:rFonts w:eastAsia="Times New Roman"/>
                <w:bCs/>
                <w:color w:val="000000"/>
                <w:sz w:val="16"/>
                <w:szCs w:val="16"/>
                <w:lang w:val="en-US"/>
              </w:rPr>
              <w:t xml:space="preserve">There are two cases under consideration in this rule. The first one is for non-HE STAs, which will not be able to determine that the AP will be there in the first place since the beacons are generated </w:t>
            </w:r>
            <w:proofErr w:type="gramStart"/>
            <w:r w:rsidRPr="00E24BD0">
              <w:rPr>
                <w:rFonts w:eastAsia="Times New Roman"/>
                <w:bCs/>
                <w:color w:val="000000"/>
                <w:sz w:val="16"/>
                <w:szCs w:val="16"/>
                <w:lang w:val="en-US"/>
              </w:rPr>
              <w:t>in</w:t>
            </w:r>
            <w:proofErr w:type="gramEnd"/>
            <w:r w:rsidRPr="00E24BD0">
              <w:rPr>
                <w:rFonts w:eastAsia="Times New Roman"/>
                <w:bCs/>
                <w:color w:val="000000"/>
                <w:sz w:val="16"/>
                <w:szCs w:val="16"/>
                <w:lang w:val="en-US"/>
              </w:rPr>
              <w:t xml:space="preserve"> HE ER SU PPDU. The other case is some HE STAs, also will not be able to determine that the AP will be there since the beacons are generated </w:t>
            </w:r>
            <w:proofErr w:type="gramStart"/>
            <w:r w:rsidRPr="00E24BD0">
              <w:rPr>
                <w:rFonts w:eastAsia="Times New Roman"/>
                <w:bCs/>
                <w:color w:val="000000"/>
                <w:sz w:val="16"/>
                <w:szCs w:val="16"/>
                <w:lang w:val="en-US"/>
              </w:rPr>
              <w:t>in</w:t>
            </w:r>
            <w:proofErr w:type="gramEnd"/>
            <w:r w:rsidRPr="00E24BD0">
              <w:rPr>
                <w:rFonts w:eastAsia="Times New Roman"/>
                <w:bCs/>
                <w:color w:val="000000"/>
                <w:sz w:val="16"/>
                <w:szCs w:val="16"/>
                <w:lang w:val="en-US"/>
              </w:rPr>
              <w:t xml:space="preserve"> HE ER SU PPDU with 106-tone RU. But STAs can send wildcard probe requests asking all APs in the surrounding to respond (but a response from an ER AP is useless since these STAs cannot even operate under its rule). Hence the rule. Proposed resolution is </w:t>
            </w:r>
            <w:proofErr w:type="spellStart"/>
            <w:r w:rsidRPr="00E24BD0">
              <w:rPr>
                <w:rFonts w:eastAsia="Times New Roman"/>
                <w:bCs/>
                <w:color w:val="000000"/>
                <w:sz w:val="16"/>
                <w:szCs w:val="16"/>
                <w:lang w:val="en-US"/>
              </w:rPr>
              <w:t>though</w:t>
            </w:r>
            <w:proofErr w:type="spellEnd"/>
            <w:r w:rsidRPr="00E24BD0">
              <w:rPr>
                <w:rFonts w:eastAsia="Times New Roman"/>
                <w:bCs/>
                <w:color w:val="000000"/>
                <w:sz w:val="16"/>
                <w:szCs w:val="16"/>
                <w:lang w:val="en-US"/>
              </w:rPr>
              <w:t xml:space="preserve"> to clarify that the rule applies to non-responses with the respective management frames not the acknowledgments. </w:t>
            </w:r>
          </w:p>
          <w:p w14:paraId="56A58F0F" w14:textId="77777777" w:rsidR="001D4565" w:rsidRPr="00E24BD0" w:rsidRDefault="001D4565" w:rsidP="001D4565">
            <w:pPr>
              <w:jc w:val="both"/>
              <w:rPr>
                <w:rFonts w:eastAsia="Times New Roman"/>
                <w:bCs/>
                <w:color w:val="000000"/>
                <w:sz w:val="16"/>
                <w:szCs w:val="16"/>
                <w:lang w:val="en-US"/>
              </w:rPr>
            </w:pPr>
          </w:p>
          <w:p w14:paraId="2CAA04F3" w14:textId="72636692" w:rsidR="003B6BEC" w:rsidRPr="00E24BD0" w:rsidRDefault="001D4565" w:rsidP="001D4565">
            <w:pPr>
              <w:jc w:val="both"/>
              <w:rPr>
                <w:rFonts w:eastAsia="Times New Roman"/>
                <w:bCs/>
                <w:color w:val="000000"/>
                <w:sz w:val="16"/>
                <w:szCs w:val="16"/>
                <w:lang w:val="en-US"/>
              </w:rPr>
            </w:pPr>
            <w:proofErr w:type="spellStart"/>
            <w:r w:rsidRPr="00E24BD0">
              <w:rPr>
                <w:rFonts w:eastAsia="Times New Roman"/>
                <w:bCs/>
                <w:color w:val="000000"/>
                <w:sz w:val="16"/>
                <w:szCs w:val="16"/>
                <w:lang w:val="en-US"/>
              </w:rPr>
              <w:t>TGax</w:t>
            </w:r>
            <w:proofErr w:type="spellEnd"/>
            <w:r w:rsidRPr="00E24BD0">
              <w:rPr>
                <w:rFonts w:eastAsia="Times New Roman"/>
                <w:bCs/>
                <w:color w:val="000000"/>
                <w:sz w:val="16"/>
                <w:szCs w:val="16"/>
                <w:lang w:val="en-US"/>
              </w:rPr>
              <w:t xml:space="preserve"> editor to make the changes shown in 11-19/0302r0 under all headings that include CID 21279.</w:t>
            </w:r>
          </w:p>
        </w:tc>
      </w:tr>
      <w:tr w:rsidR="003B6BEC" w:rsidRPr="001F620B" w14:paraId="5D08727A" w14:textId="77777777" w:rsidTr="00BB319E">
        <w:trPr>
          <w:trHeight w:val="220"/>
        </w:trPr>
        <w:tc>
          <w:tcPr>
            <w:tcW w:w="696" w:type="dxa"/>
            <w:shd w:val="clear" w:color="auto" w:fill="auto"/>
            <w:noWrap/>
          </w:tcPr>
          <w:p w14:paraId="5D88F3B1" w14:textId="6BC0ADEE"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21493</w:t>
            </w:r>
          </w:p>
        </w:tc>
        <w:tc>
          <w:tcPr>
            <w:tcW w:w="1061" w:type="dxa"/>
            <w:shd w:val="clear" w:color="auto" w:fill="auto"/>
            <w:noWrap/>
          </w:tcPr>
          <w:p w14:paraId="69F9AFD4" w14:textId="59DD7B45"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Xiaofei Wang</w:t>
            </w:r>
          </w:p>
        </w:tc>
        <w:tc>
          <w:tcPr>
            <w:tcW w:w="540" w:type="dxa"/>
            <w:shd w:val="clear" w:color="auto" w:fill="auto"/>
            <w:noWrap/>
          </w:tcPr>
          <w:p w14:paraId="2ADB52C0" w14:textId="5D816D1B"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429.03</w:t>
            </w:r>
          </w:p>
        </w:tc>
        <w:tc>
          <w:tcPr>
            <w:tcW w:w="2090" w:type="dxa"/>
            <w:shd w:val="clear" w:color="auto" w:fill="auto"/>
            <w:noWrap/>
          </w:tcPr>
          <w:p w14:paraId="3B025775" w14:textId="7B28EEF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Is a HE STA always mandated to follow the ruled defined in 26.17.2 for scanning or should the STA only follow the rules for scanning if it wants to operate in the 6GHz band? Please clarify</w:t>
            </w:r>
          </w:p>
        </w:tc>
        <w:tc>
          <w:tcPr>
            <w:tcW w:w="2520" w:type="dxa"/>
            <w:shd w:val="clear" w:color="auto" w:fill="auto"/>
            <w:noWrap/>
          </w:tcPr>
          <w:p w14:paraId="63E1F6D3" w14:textId="6C6441CF"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please clarify</w:t>
            </w:r>
          </w:p>
        </w:tc>
        <w:tc>
          <w:tcPr>
            <w:tcW w:w="4500" w:type="dxa"/>
            <w:shd w:val="clear" w:color="auto" w:fill="auto"/>
            <w:vAlign w:val="center"/>
          </w:tcPr>
          <w:p w14:paraId="5774B83C" w14:textId="77777777" w:rsidR="009C64A5" w:rsidRDefault="009C64A5" w:rsidP="009C64A5">
            <w:pPr>
              <w:jc w:val="both"/>
              <w:rPr>
                <w:rFonts w:eastAsia="Times New Roman"/>
                <w:bCs/>
                <w:color w:val="000000"/>
                <w:sz w:val="16"/>
                <w:szCs w:val="16"/>
                <w:lang w:val="en-US"/>
              </w:rPr>
            </w:pPr>
            <w:r>
              <w:rPr>
                <w:rFonts w:eastAsia="Times New Roman"/>
                <w:bCs/>
                <w:color w:val="000000"/>
                <w:sz w:val="16"/>
                <w:szCs w:val="16"/>
                <w:lang w:val="en-US"/>
              </w:rPr>
              <w:t>Revised –</w:t>
            </w:r>
          </w:p>
          <w:p w14:paraId="33CCAAB1" w14:textId="77777777" w:rsidR="009C64A5" w:rsidRDefault="009C64A5" w:rsidP="009C64A5">
            <w:pPr>
              <w:jc w:val="both"/>
              <w:rPr>
                <w:rFonts w:eastAsia="Times New Roman"/>
                <w:bCs/>
                <w:color w:val="000000"/>
                <w:sz w:val="16"/>
                <w:szCs w:val="16"/>
                <w:lang w:val="en-US"/>
              </w:rPr>
            </w:pPr>
          </w:p>
          <w:p w14:paraId="4DBD1A6C" w14:textId="5EB92A96" w:rsidR="009C64A5" w:rsidRDefault="009C64A5" w:rsidP="009C64A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 by specifying that they are applicable if the STA wants to operate in the 6 GHz band.</w:t>
            </w:r>
          </w:p>
          <w:p w14:paraId="6AAB7E11" w14:textId="77777777" w:rsidR="009C64A5" w:rsidRDefault="009C64A5" w:rsidP="009C64A5">
            <w:pPr>
              <w:jc w:val="both"/>
              <w:rPr>
                <w:rFonts w:eastAsia="Times New Roman"/>
                <w:bCs/>
                <w:color w:val="000000"/>
                <w:sz w:val="16"/>
                <w:szCs w:val="16"/>
                <w:lang w:val="en-US"/>
              </w:rPr>
            </w:pPr>
          </w:p>
          <w:p w14:paraId="6EC6D5E4" w14:textId="53F4E7A1" w:rsidR="003B6BEC" w:rsidRPr="00002955" w:rsidRDefault="009C64A5" w:rsidP="009C64A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21493</w:t>
            </w:r>
            <w:r w:rsidRPr="004C4A47">
              <w:rPr>
                <w:rFonts w:eastAsia="Times New Roman"/>
                <w:bCs/>
                <w:color w:val="000000"/>
                <w:sz w:val="16"/>
                <w:szCs w:val="16"/>
                <w:lang w:val="en-US"/>
              </w:rPr>
              <w:t>.</w:t>
            </w:r>
          </w:p>
        </w:tc>
      </w:tr>
    </w:tbl>
    <w:p w14:paraId="5CE6E680" w14:textId="54BD43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40373">
        <w:rPr>
          <w:rFonts w:ascii="Arial" w:hAnsi="Arial" w:cs="Arial"/>
          <w:b/>
          <w:bCs/>
          <w:i/>
          <w:color w:val="000000"/>
          <w:sz w:val="22"/>
          <w:szCs w:val="22"/>
          <w:u w:val="single"/>
          <w:lang w:val="en-US" w:eastAsia="ko-KR"/>
        </w:rPr>
        <w:t>None</w:t>
      </w:r>
    </w:p>
    <w:p w14:paraId="2570CBCC" w14:textId="77777777" w:rsidR="003B6BEC" w:rsidRDefault="003B6BEC" w:rsidP="003B6BEC">
      <w:pPr>
        <w:pStyle w:val="H2"/>
        <w:numPr>
          <w:ilvl w:val="0"/>
          <w:numId w:val="32"/>
        </w:numPr>
        <w:rPr>
          <w:w w:val="100"/>
        </w:rPr>
      </w:pPr>
      <w:bookmarkStart w:id="2" w:name="RTF31303935333a2048322c312e"/>
      <w:r>
        <w:rPr>
          <w:w w:val="100"/>
        </w:rPr>
        <w:t>HE BSS operation</w:t>
      </w:r>
      <w:bookmarkEnd w:id="2"/>
    </w:p>
    <w:p w14:paraId="734715BE" w14:textId="77777777" w:rsidR="003B6BEC" w:rsidRDefault="003B6BEC" w:rsidP="003B6BEC">
      <w:pPr>
        <w:pStyle w:val="H3"/>
        <w:numPr>
          <w:ilvl w:val="0"/>
          <w:numId w:val="33"/>
        </w:numPr>
        <w:rPr>
          <w:w w:val="100"/>
        </w:rPr>
      </w:pPr>
      <w:bookmarkStart w:id="3" w:name="RTF39333338373a2048332c312e"/>
      <w:r>
        <w:rPr>
          <w:w w:val="100"/>
        </w:rPr>
        <w:t>Basic HE BSS operation</w:t>
      </w:r>
      <w:bookmarkEnd w:id="3"/>
      <w:r>
        <w:rPr>
          <w:vanish/>
          <w:w w:val="100"/>
        </w:rPr>
        <w:t>(#Ed)</w:t>
      </w:r>
    </w:p>
    <w:p w14:paraId="4E4A0283" w14:textId="27CE7F0F" w:rsidR="005F43BC" w:rsidRPr="00FF61B5" w:rsidRDefault="005F43BC" w:rsidP="005F43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21268</w:t>
      </w:r>
      <w:r w:rsidRPr="007258A6">
        <w:rPr>
          <w:rFonts w:eastAsia="Times New Roman"/>
          <w:b/>
          <w:i/>
          <w:color w:val="000000"/>
          <w:sz w:val="20"/>
          <w:highlight w:val="yellow"/>
          <w:lang w:val="en-US"/>
        </w:rPr>
        <w:t>):</w:t>
      </w:r>
    </w:p>
    <w:p w14:paraId="091A028D" w14:textId="37ED3865" w:rsidR="003B6BEC" w:rsidRDefault="003B6BEC" w:rsidP="003B6BEC">
      <w:pPr>
        <w:pStyle w:val="T"/>
        <w:rPr>
          <w:w w:val="100"/>
        </w:rPr>
      </w:pPr>
      <w:del w:id="4" w:author="Alfred Asterjadhi" w:date="2019-03-01T16:53:00Z">
        <w:r w:rsidDel="005F43BC">
          <w:rPr>
            <w:w w:val="100"/>
          </w:rPr>
          <w:delText xml:space="preserve">An HE BSS is a BSS started by an HE STA. </w:delText>
        </w:r>
      </w:del>
      <w:r>
        <w:rPr>
          <w:w w:val="100"/>
        </w:rPr>
        <w:t xml:space="preserve">The Beacon frames generated within an HE BSS contain an HE Operation </w:t>
      </w:r>
      <w:proofErr w:type="gramStart"/>
      <w:r>
        <w:rPr>
          <w:w w:val="100"/>
        </w:rPr>
        <w:t>element.</w:t>
      </w:r>
      <w:ins w:id="5" w:author="Alfred Asterjadhi" w:date="2019-03-01T16:54:00Z">
        <w:r w:rsidR="005F43BC" w:rsidRPr="004B6035">
          <w:rPr>
            <w:i/>
            <w:w w:val="100"/>
            <w:highlight w:val="yellow"/>
          </w:rPr>
          <w:t>(</w:t>
        </w:r>
        <w:proofErr w:type="gramEnd"/>
        <w:r w:rsidR="005F43BC" w:rsidRPr="004B6035">
          <w:rPr>
            <w:i/>
            <w:w w:val="100"/>
            <w:highlight w:val="yellow"/>
          </w:rPr>
          <w:t>#</w:t>
        </w:r>
        <w:r w:rsidR="005F43BC">
          <w:rPr>
            <w:i/>
            <w:w w:val="100"/>
            <w:highlight w:val="yellow"/>
          </w:rPr>
          <w:t>21268</w:t>
        </w:r>
        <w:r w:rsidR="005F43BC" w:rsidRPr="004B6035">
          <w:rPr>
            <w:i/>
            <w:w w:val="100"/>
            <w:highlight w:val="yellow"/>
          </w:rPr>
          <w:t>)</w:t>
        </w:r>
        <w:r w:rsidR="005F43BC">
          <w:rPr>
            <w:vanish/>
            <w:w w:val="100"/>
          </w:rPr>
          <w:t xml:space="preserve"> </w:t>
        </w:r>
      </w:ins>
      <w:r>
        <w:rPr>
          <w:vanish/>
          <w:w w:val="100"/>
        </w:rPr>
        <w:t>(#16690)</w:t>
      </w:r>
    </w:p>
    <w:p w14:paraId="45E09DAF" w14:textId="77777777" w:rsidR="003B6BEC" w:rsidRDefault="003B6BEC" w:rsidP="003B6BEC">
      <w:pPr>
        <w:pStyle w:val="T"/>
        <w:rPr>
          <w:w w:val="100"/>
        </w:rPr>
      </w:pPr>
      <w:r>
        <w:rPr>
          <w:w w:val="100"/>
        </w:rPr>
        <w:lastRenderedPageBreak/>
        <w:t>An HE STA has dot11HEOptionImplemented equal to true.</w:t>
      </w:r>
    </w:p>
    <w:p w14:paraId="16525C04" w14:textId="1B3854CE" w:rsidR="00F13905" w:rsidRPr="00FF61B5" w:rsidRDefault="00F13905" w:rsidP="00F139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 w:name="_Hlk2509861"/>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w:t>
      </w:r>
      <w:r w:rsidR="00F1204F">
        <w:rPr>
          <w:rFonts w:eastAsia="Times New Roman"/>
          <w:b/>
          <w:i/>
          <w:color w:val="000000"/>
          <w:sz w:val="20"/>
          <w:highlight w:val="yellow"/>
          <w:lang w:val="en-US"/>
        </w:rPr>
        <w:t xml:space="preserve"> [including the paragraph split]</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21270</w:t>
      </w:r>
      <w:r w:rsidRPr="007258A6">
        <w:rPr>
          <w:rFonts w:eastAsia="Times New Roman"/>
          <w:b/>
          <w:i/>
          <w:color w:val="000000"/>
          <w:sz w:val="20"/>
          <w:highlight w:val="yellow"/>
          <w:lang w:val="en-US"/>
        </w:rPr>
        <w:t>):</w:t>
      </w:r>
    </w:p>
    <w:bookmarkEnd w:id="6"/>
    <w:p w14:paraId="738F85A2" w14:textId="0ACD2BB3" w:rsidR="00F13905" w:rsidRDefault="003B6BEC" w:rsidP="003B6BEC">
      <w:pPr>
        <w:pStyle w:val="T"/>
        <w:rPr>
          <w:ins w:id="7" w:author="Alfred Asterjadhi" w:date="2019-03-03T10:35:00Z"/>
          <w:w w:val="100"/>
        </w:rPr>
      </w:pPr>
      <w:r>
        <w:rPr>
          <w:w w:val="100"/>
        </w:rPr>
        <w:t xml:space="preserve">A STA that is </w:t>
      </w:r>
      <w:del w:id="8" w:author="Alfred Asterjadhi" w:date="2019-03-03T10:35:00Z">
        <w:r w:rsidDel="00F13905">
          <w:rPr>
            <w:w w:val="100"/>
          </w:rPr>
          <w:delText xml:space="preserve">starting </w:delText>
        </w:r>
      </w:del>
      <w:ins w:id="9" w:author="Alfred Asterjadhi" w:date="2019-03-03T10:35:00Z">
        <w:r w:rsidR="00F13905">
          <w:rPr>
            <w:w w:val="100"/>
          </w:rPr>
          <w:t xml:space="preserve">operating </w:t>
        </w:r>
      </w:ins>
      <w:r>
        <w:rPr>
          <w:w w:val="100"/>
        </w:rPr>
        <w:t>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w:t>
      </w:r>
    </w:p>
    <w:p w14:paraId="550E20D5" w14:textId="03E711A3" w:rsidR="003B6BEC" w:rsidRDefault="003B6BEC" w:rsidP="003B6BEC">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roofErr w:type="gramStart"/>
      <w:r>
        <w:rPr>
          <w:w w:val="100"/>
        </w:rPr>
        <w:t>).</w:t>
      </w:r>
      <w:ins w:id="10" w:author="Alfred Asterjadhi" w:date="2019-03-03T10:35:00Z">
        <w:r w:rsidR="00F1204F" w:rsidRPr="004B6035">
          <w:rPr>
            <w:i/>
            <w:w w:val="100"/>
            <w:highlight w:val="yellow"/>
          </w:rPr>
          <w:t>(</w:t>
        </w:r>
        <w:proofErr w:type="gramEnd"/>
        <w:r w:rsidR="00F1204F" w:rsidRPr="004B6035">
          <w:rPr>
            <w:i/>
            <w:w w:val="100"/>
            <w:highlight w:val="yellow"/>
          </w:rPr>
          <w:t>#</w:t>
        </w:r>
        <w:r w:rsidR="00F1204F">
          <w:rPr>
            <w:i/>
            <w:w w:val="100"/>
            <w:highlight w:val="yellow"/>
          </w:rPr>
          <w:t>21270</w:t>
        </w:r>
        <w:r w:rsidR="00F1204F" w:rsidRPr="004B6035">
          <w:rPr>
            <w:i/>
            <w:w w:val="100"/>
            <w:highlight w:val="yellow"/>
          </w:rPr>
          <w:t>)</w:t>
        </w:r>
      </w:ins>
    </w:p>
    <w:p w14:paraId="1A0E788D" w14:textId="77777777" w:rsidR="003B6BEC" w:rsidRDefault="003B6BEC" w:rsidP="003B6BEC">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w:t>
      </w:r>
      <w:proofErr w:type="gramStart"/>
      <w:r>
        <w:rPr>
          <w:w w:val="100"/>
        </w:rPr>
        <w:t>all of</w:t>
      </w:r>
      <w:proofErr w:type="gramEnd"/>
      <w:r>
        <w:rPr>
          <w:w w:val="100"/>
        </w:rPr>
        <w:t xml:space="preserve"> the &lt;HE-MCS, NSS&gt; tuples in the basic HE-MCS and NSS set.</w:t>
      </w:r>
    </w:p>
    <w:p w14:paraId="383385A6" w14:textId="77777777" w:rsidR="003B6BEC" w:rsidRDefault="003B6BEC" w:rsidP="003B6BEC">
      <w:pPr>
        <w:pStyle w:val="Note"/>
        <w:rPr>
          <w:w w:val="100"/>
        </w:rPr>
      </w:pPr>
      <w:r>
        <w:rPr>
          <w:w w:val="100"/>
        </w:rPr>
        <w:t xml:space="preserve">NOTE—An HE STA does not attempt to (re)associate with an HE AP unless the STA supports (i.e., is able to both transmit and receive using) </w:t>
      </w:r>
      <w:proofErr w:type="gramStart"/>
      <w:r>
        <w:rPr>
          <w:w w:val="100"/>
        </w:rPr>
        <w:t>all of</w:t>
      </w:r>
      <w:proofErr w:type="gramEnd"/>
      <w:r>
        <w:rPr>
          <w:w w:val="100"/>
        </w:rPr>
        <w:t xml:space="preserve">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2B9B15A3" w14:textId="77777777" w:rsidR="003B6BEC" w:rsidRDefault="003B6BEC" w:rsidP="003B6BEC">
      <w:pPr>
        <w:pStyle w:val="T"/>
        <w:rPr>
          <w:w w:val="100"/>
        </w:rPr>
      </w:pPr>
      <w:r>
        <w:rPr>
          <w:w w:val="100"/>
        </w:rPr>
        <w:t>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A STA that sets dot11HEOptionImplemented to true shall set dot11VeryHighThroughputOptionImplemented and dot11HighThroughputOptionImplemented to false if operating in the 6 GHz band.</w:t>
      </w:r>
      <w:r>
        <w:rPr>
          <w:vanish/>
          <w:w w:val="100"/>
        </w:rPr>
        <w:t>(#16446, #15824)</w:t>
      </w:r>
    </w:p>
    <w:p w14:paraId="435B3422" w14:textId="1FF7B6CB" w:rsidR="00EE7E93" w:rsidRPr="00FF61B5" w:rsidRDefault="00EE7E93" w:rsidP="00EE7E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21270</w:t>
      </w:r>
      <w:r w:rsidRPr="007258A6">
        <w:rPr>
          <w:rFonts w:eastAsia="Times New Roman"/>
          <w:b/>
          <w:i/>
          <w:color w:val="000000"/>
          <w:sz w:val="20"/>
          <w:highlight w:val="yellow"/>
          <w:lang w:val="en-US"/>
        </w:rPr>
        <w:t>):</w:t>
      </w:r>
    </w:p>
    <w:p w14:paraId="7799CA01" w14:textId="39B24B76" w:rsidR="003B6BEC" w:rsidRDefault="003B6BEC" w:rsidP="003B6BEC">
      <w:pPr>
        <w:pStyle w:val="T"/>
        <w:rPr>
          <w:w w:val="100"/>
        </w:rPr>
      </w:pPr>
      <w:r>
        <w:rPr>
          <w:w w:val="100"/>
        </w:rPr>
        <w:t>A STA that is an HE AP or an HE mesh STA declares its channel width capability in the HE Capabilities element as described in Table 9-321b (Subfields of the HE PHY Capabilities Information field)</w:t>
      </w:r>
      <w:ins w:id="11" w:author="Alfred Asterjadhi" w:date="2019-03-03T12:23:00Z">
        <w:r w:rsidR="00C453FD">
          <w:rPr>
            <w:w w:val="100"/>
          </w:rPr>
          <w:t xml:space="preserve"> and the </w:t>
        </w:r>
      </w:ins>
      <w:ins w:id="12" w:author="Alfred Asterjadhi" w:date="2019-03-03T12:24:00Z">
        <w:r w:rsidR="00A1168A">
          <w:rPr>
            <w:w w:val="100"/>
          </w:rPr>
          <w:t>BSS bandwi</w:t>
        </w:r>
      </w:ins>
      <w:ins w:id="13" w:author="Alfred Asterjadhi" w:date="2019-03-03T12:23:00Z">
        <w:r w:rsidR="00C453FD">
          <w:rPr>
            <w:w w:val="100"/>
          </w:rPr>
          <w:t xml:space="preserve">dth in the HE Operation element </w:t>
        </w:r>
      </w:ins>
      <w:ins w:id="14" w:author="Alfred Asterjadhi" w:date="2019-03-03T12:24:00Z">
        <w:r w:rsidR="00C453FD">
          <w:rPr>
            <w:w w:val="100"/>
          </w:rPr>
          <w:t>it transmits</w:t>
        </w:r>
      </w:ins>
      <w:r>
        <w:rPr>
          <w:w w:val="100"/>
        </w:rPr>
        <w:t xml:space="preserve">. If the STA is an HE AP then it shall indicate support for at least 80 MHz channel width if it operates in 5 GHz; otherwise it may indicate any channel width </w:t>
      </w:r>
      <w:proofErr w:type="gramStart"/>
      <w:r>
        <w:rPr>
          <w:w w:val="100"/>
        </w:rPr>
        <w:t>support.</w:t>
      </w:r>
      <w:ins w:id="15" w:author="Alfred Asterjadhi" w:date="2019-03-03T10:35:00Z">
        <w:r w:rsidR="00EE7E93" w:rsidRPr="004B6035">
          <w:rPr>
            <w:i/>
            <w:w w:val="100"/>
            <w:highlight w:val="yellow"/>
          </w:rPr>
          <w:t>(</w:t>
        </w:r>
        <w:proofErr w:type="gramEnd"/>
        <w:r w:rsidR="00EE7E93" w:rsidRPr="004B6035">
          <w:rPr>
            <w:i/>
            <w:w w:val="100"/>
            <w:highlight w:val="yellow"/>
          </w:rPr>
          <w:t>#</w:t>
        </w:r>
        <w:r w:rsidR="00EE7E93">
          <w:rPr>
            <w:i/>
            <w:w w:val="100"/>
            <w:highlight w:val="yellow"/>
          </w:rPr>
          <w:t>21270</w:t>
        </w:r>
        <w:r w:rsidR="00EE7E93" w:rsidRPr="004B6035">
          <w:rPr>
            <w:i/>
            <w:w w:val="100"/>
            <w:highlight w:val="yellow"/>
          </w:rPr>
          <w:t>)</w:t>
        </w:r>
      </w:ins>
    </w:p>
    <w:p w14:paraId="61E7869E" w14:textId="77777777" w:rsidR="003B6BEC" w:rsidRDefault="003B6BEC" w:rsidP="003B6BEC">
      <w:pPr>
        <w:pStyle w:val="T"/>
        <w:rPr>
          <w:w w:val="100"/>
        </w:rPr>
      </w:pPr>
      <w:r>
        <w:rPr>
          <w:w w:val="100"/>
        </w:rPr>
        <w:t>A STA transmitting an HT Capabilities element and HE Capabilities element shall set the Supported Channel Width Set subfield of the HT Capabilities element to 1 if</w:t>
      </w:r>
      <w:r>
        <w:rPr>
          <w:vanish/>
          <w:w w:val="100"/>
        </w:rPr>
        <w:t>(#Ed)</w:t>
      </w:r>
      <w:r>
        <w:rPr>
          <w:w w:val="100"/>
        </w:rPr>
        <w:t xml:space="preserve"> either B0 or B1 of the Supported Channel Width Set subfield of the HE Capabilities element is set to 1</w:t>
      </w:r>
      <w:r>
        <w:rPr>
          <w:vanish/>
          <w:w w:val="100"/>
        </w:rPr>
        <w:t>(#15414)</w:t>
      </w:r>
      <w:r>
        <w:rPr>
          <w:w w:val="100"/>
        </w:rPr>
        <w:t xml:space="preserve"> unless</w:t>
      </w:r>
      <w:r>
        <w:rPr>
          <w:vanish/>
          <w:w w:val="100"/>
        </w:rPr>
        <w:t>(#Ed)</w:t>
      </w:r>
      <w:r>
        <w:rPr>
          <w:w w:val="100"/>
        </w:rPr>
        <w:t xml:space="preserve"> the STA is a 20 MHz-only non-AP HE STA, in which case the Supported Channel Width Set subfield of the HT Capabilities element is set to 0</w:t>
      </w:r>
      <w:r>
        <w:rPr>
          <w:vanish/>
          <w:w w:val="100"/>
        </w:rPr>
        <w:t>(#15415)</w:t>
      </w:r>
      <w:r>
        <w:rPr>
          <w:w w:val="100"/>
        </w:rPr>
        <w:t>.</w:t>
      </w:r>
    </w:p>
    <w:p w14:paraId="0A2437CA" w14:textId="77777777" w:rsidR="003B6BEC" w:rsidRDefault="003B6BEC" w:rsidP="003B6BEC">
      <w:pPr>
        <w:pStyle w:val="T"/>
        <w:rPr>
          <w:w w:val="100"/>
        </w:rPr>
      </w:pPr>
      <w:r>
        <w:rPr>
          <w:w w:val="100"/>
        </w:rPr>
        <w:t>A STA transmitting a VHT Capabilities element and HE Capabilities element shall set the Supported Channel Width Set subfield of the VHT Capabilities element to indicate the same channel width as indicated</w:t>
      </w:r>
      <w:r>
        <w:rPr>
          <w:vanish/>
          <w:w w:val="100"/>
        </w:rPr>
        <w:t>(#Ed)</w:t>
      </w:r>
      <w:r>
        <w:rPr>
          <w:w w:val="100"/>
        </w:rPr>
        <w:t xml:space="preserve"> in the HE Capabilities element unless</w:t>
      </w:r>
      <w:r>
        <w:rPr>
          <w:vanish/>
          <w:w w:val="100"/>
        </w:rPr>
        <w:t>(#15416)</w:t>
      </w:r>
      <w:r>
        <w:rPr>
          <w:w w:val="100"/>
        </w:rPr>
        <w:t xml:space="preserve"> the STA is a 20 MHz-only non-AP HE STA, in which case the Supported Channel Width Set subfield of the VHT Capabilities element is reserved.</w:t>
      </w:r>
    </w:p>
    <w:p w14:paraId="2A7CF270" w14:textId="77777777" w:rsidR="003B6BEC" w:rsidRDefault="003B6BEC" w:rsidP="003B6BEC">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of the Supported HE-MCS And NSS Set field of its HE Capabilities element as follows: for each Max HE-MCS For </w:t>
      </w:r>
      <w:r>
        <w:rPr>
          <w:i/>
          <w:iCs/>
          <w:w w:val="100"/>
        </w:rPr>
        <w:t>n</w:t>
      </w:r>
      <w:r>
        <w:rPr>
          <w:w w:val="100"/>
        </w:rPr>
        <w:t xml:space="preserve"> SS subfield, 1 </w:t>
      </w:r>
      <w:r>
        <w:rPr>
          <w:rFonts w:ascii="Symbol" w:hAnsi="Symbol" w:cs="Symbol"/>
          <w:w w:val="100"/>
        </w:rPr>
        <w:t></w:t>
      </w:r>
      <w:r>
        <w:rPr>
          <w:w w:val="100"/>
        </w:rPr>
        <w:t> </w:t>
      </w:r>
      <w:r>
        <w:rPr>
          <w:i/>
          <w:iCs/>
          <w:w w:val="100"/>
        </w:rPr>
        <w:t>n</w:t>
      </w:r>
      <w:r>
        <w:rPr>
          <w:w w:val="100"/>
        </w:rPr>
        <w:t> </w:t>
      </w:r>
      <w:r>
        <w:rPr>
          <w:rFonts w:ascii="Symbol" w:hAnsi="Symbol" w:cs="Symbol"/>
          <w:w w:val="100"/>
        </w:rPr>
        <w:t></w:t>
      </w:r>
      <w:r>
        <w:rPr>
          <w:w w:val="100"/>
        </w:rPr>
        <w:t xml:space="preserve"> 4,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80 MHz, 160 MHz, 80+80 MHz}, with a value other than 3 (no support for that number of spatial streams), the STA shall indicate support for MCSs 8</w:t>
      </w:r>
      <w:r>
        <w:rPr>
          <w:rFonts w:ascii="Symbol" w:hAnsi="Symbol" w:cs="Symbol"/>
          <w:w w:val="100"/>
        </w:rPr>
        <w:t></w:t>
      </w:r>
      <w:r>
        <w:rPr>
          <w:w w:val="100"/>
        </w:rPr>
        <w:t>× (</w:t>
      </w:r>
      <w:r>
        <w:rPr>
          <w:i/>
          <w:iCs/>
          <w:w w:val="100"/>
        </w:rPr>
        <w:t>n </w:t>
      </w:r>
      <w:r>
        <w:rPr>
          <w:w w:val="100"/>
        </w:rPr>
        <w:t>– 1) to 8</w:t>
      </w:r>
      <w:r>
        <w:rPr>
          <w:rFonts w:ascii="Symbol" w:hAnsi="Symbol" w:cs="Symbol"/>
          <w:w w:val="100"/>
        </w:rPr>
        <w:t></w:t>
      </w:r>
      <w:r>
        <w:rPr>
          <w:w w:val="100"/>
        </w:rPr>
        <w:t>× (</w:t>
      </w:r>
      <w:r>
        <w:rPr>
          <w:i/>
          <w:iCs/>
          <w:w w:val="100"/>
        </w:rPr>
        <w:t>n </w:t>
      </w:r>
      <w:r>
        <w:rPr>
          <w:w w:val="100"/>
        </w:rPr>
        <w:t>– 1) + 7</w:t>
      </w:r>
      <w:r>
        <w:rPr>
          <w:vanish/>
          <w:w w:val="100"/>
        </w:rPr>
        <w:t>(#16039)</w:t>
      </w:r>
      <w:r>
        <w:rPr>
          <w:w w:val="100"/>
        </w:rPr>
        <w:t xml:space="preserve"> in the Rx MCS Bitmask subfield, where </w:t>
      </w:r>
      <w:r>
        <w:rPr>
          <w:i/>
          <w:iCs/>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166D730E" w14:textId="77777777" w:rsidR="003B6BEC" w:rsidRDefault="003B6BEC" w:rsidP="003B6BEC">
      <w:pPr>
        <w:pStyle w:val="T"/>
        <w:rPr>
          <w:w w:val="100"/>
        </w:rPr>
      </w:pPr>
      <w:r>
        <w:rPr>
          <w:w w:val="100"/>
        </w:rPr>
        <w:t xml:space="preserve">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w:t>
      </w:r>
      <w:r>
        <w:rPr>
          <w:w w:val="100"/>
        </w:rPr>
        <w:lastRenderedPageBreak/>
        <w:t>field in the HE Operation element to 1 if a VHT Operation element is not present in the frame that carries the HE Operation element and the frame is sent in the 5 GHz band.</w:t>
      </w:r>
      <w:r>
        <w:rPr>
          <w:vanish/>
          <w:w w:val="100"/>
        </w:rPr>
        <w:t>(#17090, #16227)</w:t>
      </w:r>
    </w:p>
    <w:p w14:paraId="7FE394AF" w14:textId="77777777" w:rsidR="003B6BEC" w:rsidRDefault="003B6BEC" w:rsidP="003B6BEC">
      <w:pPr>
        <w:pStyle w:val="T"/>
        <w:rPr>
          <w:w w:val="100"/>
        </w:rPr>
      </w:pPr>
      <w:r>
        <w:rPr>
          <w:w w:val="100"/>
        </w:rPr>
        <w:t>A STA that is an HE AP or an HE mesh STA that transmits an HE Operation element that has the VHT Operation Information Present field set to 1 shall do one of the following to set the BSS operating channel:</w:t>
      </w:r>
    </w:p>
    <w:p w14:paraId="58CBEB0B"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204ED60"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t xml:space="preserve">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w:t>
      </w:r>
      <w:r>
        <w:rPr>
          <w:rFonts w:ascii="Symbol" w:hAnsi="Symbol" w:cs="Symbol"/>
          <w:w w:val="100"/>
          <w:sz w:val="18"/>
          <w:szCs w:val="18"/>
        </w:rPr>
        <w:t></w:t>
      </w:r>
      <w:r>
        <w:rPr>
          <w:w w:val="100"/>
        </w:rPr>
        <w:t xml:space="preserve"> 80 MHz, Rx HE-MCS Map 160 MHz, and Rx HE-MCS Map 80+80 MHz fields.</w:t>
      </w:r>
    </w:p>
    <w:p w14:paraId="32133053" w14:textId="77777777" w:rsidR="003B6BEC" w:rsidRDefault="003B6BEC" w:rsidP="003B6BEC">
      <w:pPr>
        <w:pStyle w:val="Note"/>
        <w:rPr>
          <w:w w:val="100"/>
        </w:rPr>
      </w:pPr>
      <w:r>
        <w:rPr>
          <w:w w:val="100"/>
        </w:rPr>
        <w:t>NOTE 1—The Channel Center Frequency Segment 2 is 0 if Table 11-24 (VHT BSS bandwidth) is applied.</w:t>
      </w:r>
    </w:p>
    <w:p w14:paraId="2531BFB0" w14:textId="77777777" w:rsidR="003B6BEC" w:rsidRDefault="003B6BEC" w:rsidP="003B6BEC">
      <w:pPr>
        <w:pStyle w:val="Note"/>
        <w:rPr>
          <w:w w:val="100"/>
        </w:rPr>
      </w:pPr>
      <w:r>
        <w:rPr>
          <w:w w:val="100"/>
        </w:rPr>
        <w:t>NOTE 2—These two methods give the same result.</w:t>
      </w:r>
    </w:p>
    <w:p w14:paraId="00938D1F" w14:textId="77777777" w:rsidR="003B6BEC" w:rsidRDefault="003B6BEC" w:rsidP="003B6BEC">
      <w:pPr>
        <w:pStyle w:val="T"/>
        <w:rPr>
          <w:w w:val="100"/>
        </w:rPr>
      </w:pPr>
      <w:r>
        <w:rPr>
          <w:w w:val="100"/>
        </w:rPr>
        <w:t>The setting of the Channel Center Frequency Segment 0, Channel Center Frequency Segment 1 and Channel Center Frequency Segment 2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9.4.2.242 (HE Capabilities element)) and an Operating Mode field (see 9.2.4.6.4.3 (Operating Mode) and 9.4.1.53 (Operating Mode field)), wherein in the table the Max NSS support refers to the HE Max NSS support instead of the VHT Max NSS support for an HE STA.</w:t>
      </w:r>
    </w:p>
    <w:p w14:paraId="37998AFF" w14:textId="77777777" w:rsidR="003B6BEC" w:rsidRDefault="003B6BEC" w:rsidP="003B6BEC">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r>
        <w:rPr>
          <w:vanish/>
          <w:w w:val="100"/>
        </w:rPr>
        <w:t>(#16446, #15824)</w:t>
      </w:r>
    </w:p>
    <w:p w14:paraId="18761CFA" w14:textId="77777777" w:rsidR="003B6BEC" w:rsidRDefault="003B6BEC" w:rsidP="003B6BEC">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06425494" w14:textId="77777777" w:rsidR="003B6BEC" w:rsidRDefault="003B6BEC" w:rsidP="003B6BEC">
      <w:pPr>
        <w:pStyle w:val="T"/>
        <w:rPr>
          <w:w w:val="100"/>
        </w:rPr>
      </w:pPr>
      <w:r>
        <w:rPr>
          <w:w w:val="100"/>
        </w:rPr>
        <w:t>An HE STA that is a member of an HE BSS shall follow the same rules that are defined in 11.40.1 (Basic VHT BSS functionality) when transmitting a 20 MHz, 40 MHz, 80 MHz, 160 MHz or 80+80 MHz HE PPDUs with the following exceptions:</w:t>
      </w:r>
    </w:p>
    <w:p w14:paraId="39B35642"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 xml:space="preserve">An HE TB PPDU sent in response to a Trigger frame or a frame with a TRS Control subfield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w:t>
      </w:r>
    </w:p>
    <w:p w14:paraId="3000E710"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7E9644EC" w14:textId="2D007BD6" w:rsidR="006568BC" w:rsidRPr="006568BC" w:rsidRDefault="006568BC" w:rsidP="006568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6568BC">
        <w:rPr>
          <w:rFonts w:eastAsia="Times New Roman"/>
          <w:b/>
          <w:color w:val="000000"/>
          <w:sz w:val="20"/>
          <w:highlight w:val="yellow"/>
          <w:lang w:val="en-US"/>
        </w:rPr>
        <w:t>TGax</w:t>
      </w:r>
      <w:proofErr w:type="spellEnd"/>
      <w:r w:rsidRPr="006568BC">
        <w:rPr>
          <w:rFonts w:eastAsia="Times New Roman"/>
          <w:b/>
          <w:color w:val="000000"/>
          <w:sz w:val="20"/>
          <w:highlight w:val="yellow"/>
          <w:lang w:val="en-US"/>
        </w:rPr>
        <w:t xml:space="preserve"> Editor:</w:t>
      </w:r>
      <w:r w:rsidRPr="006568BC">
        <w:rPr>
          <w:rFonts w:eastAsia="Times New Roman"/>
          <w:b/>
          <w:i/>
          <w:color w:val="000000"/>
          <w:sz w:val="20"/>
          <w:highlight w:val="yellow"/>
          <w:lang w:val="en-US"/>
        </w:rPr>
        <w:t xml:space="preserve"> Change the paragraph below of this subclause as follows (#CID 2127</w:t>
      </w:r>
      <w:r>
        <w:rPr>
          <w:rFonts w:eastAsia="Times New Roman"/>
          <w:b/>
          <w:i/>
          <w:color w:val="000000"/>
          <w:sz w:val="20"/>
          <w:highlight w:val="yellow"/>
          <w:lang w:val="en-US"/>
        </w:rPr>
        <w:t>5</w:t>
      </w:r>
      <w:r w:rsidRPr="006568BC">
        <w:rPr>
          <w:rFonts w:eastAsia="Times New Roman"/>
          <w:b/>
          <w:i/>
          <w:color w:val="000000"/>
          <w:sz w:val="20"/>
          <w:highlight w:val="yellow"/>
          <w:lang w:val="en-US"/>
        </w:rPr>
        <w:t>):</w:t>
      </w:r>
    </w:p>
    <w:p w14:paraId="56E28CCB" w14:textId="1B81D500" w:rsidR="00885C3A" w:rsidRDefault="003B6BEC" w:rsidP="00885C3A">
      <w:pPr>
        <w:pStyle w:val="T"/>
        <w:rPr>
          <w:w w:val="100"/>
        </w:rPr>
      </w:pPr>
      <w:r>
        <w:rPr>
          <w:w w:val="100"/>
        </w:rPr>
        <w:t>An HE STA shall not transmit to a second HE STA using a bandwidth that is not indicated as supported in the Supported Channel Width Set subfield in the HE Capabilities element received from that HE STA</w:t>
      </w:r>
      <w:ins w:id="16" w:author="Alfred Asterjadhi" w:date="2019-03-03T13:27:00Z">
        <w:r w:rsidR="00C71343">
          <w:rPr>
            <w:w w:val="100"/>
          </w:rPr>
          <w:t xml:space="preserve"> or that </w:t>
        </w:r>
      </w:ins>
      <w:ins w:id="17" w:author="Alfred Asterjadhi" w:date="2019-03-03T13:28:00Z">
        <w:r w:rsidR="00C71343">
          <w:rPr>
            <w:w w:val="100"/>
          </w:rPr>
          <w:t>ex</w:t>
        </w:r>
      </w:ins>
      <w:ins w:id="18" w:author="Alfred Asterjadhi" w:date="2019-03-03T13:29:00Z">
        <w:r w:rsidR="00C71343">
          <w:rPr>
            <w:w w:val="100"/>
          </w:rPr>
          <w:t>ceeds</w:t>
        </w:r>
      </w:ins>
      <w:ins w:id="19" w:author="Alfred Asterjadhi" w:date="2019-03-03T13:27:00Z">
        <w:r w:rsidR="00C71343">
          <w:rPr>
            <w:w w:val="100"/>
          </w:rPr>
          <w:t xml:space="preserve"> the BSS </w:t>
        </w:r>
        <w:proofErr w:type="spellStart"/>
        <w:r w:rsidR="00C71343">
          <w:rPr>
            <w:w w:val="100"/>
          </w:rPr>
          <w:t>bandwith</w:t>
        </w:r>
        <w:proofErr w:type="spellEnd"/>
        <w:r w:rsidR="00C71343">
          <w:rPr>
            <w:w w:val="100"/>
          </w:rPr>
          <w:t xml:space="preserve"> </w:t>
        </w:r>
      </w:ins>
      <w:ins w:id="20" w:author="Alfred Asterjadhi" w:date="2019-03-03T13:28:00Z">
        <w:r w:rsidR="00C71343">
          <w:rPr>
            <w:w w:val="100"/>
          </w:rPr>
          <w:t>indicated in</w:t>
        </w:r>
      </w:ins>
      <w:ins w:id="21" w:author="Alfred Asterjadhi" w:date="2019-03-03T13:29:00Z">
        <w:r w:rsidR="00C71343">
          <w:rPr>
            <w:w w:val="100"/>
          </w:rPr>
          <w:t xml:space="preserve"> the most recent</w:t>
        </w:r>
      </w:ins>
      <w:ins w:id="22" w:author="Alfred Asterjadhi" w:date="2019-03-03T13:28:00Z">
        <w:r w:rsidR="00C71343">
          <w:rPr>
            <w:w w:val="100"/>
          </w:rPr>
          <w:t xml:space="preserve"> HE Operation element</w:t>
        </w:r>
      </w:ins>
      <w:ins w:id="23" w:author="Alfred Asterjadhi" w:date="2019-03-03T13:31:00Z">
        <w:r w:rsidR="00C71343">
          <w:rPr>
            <w:w w:val="100"/>
          </w:rPr>
          <w:t xml:space="preserve">, </w:t>
        </w:r>
      </w:ins>
      <w:ins w:id="24" w:author="Alfred Asterjadhi" w:date="2019-03-03T13:29:00Z">
        <w:r w:rsidR="00C71343">
          <w:rPr>
            <w:w w:val="100"/>
          </w:rPr>
          <w:t>if any</w:t>
        </w:r>
      </w:ins>
      <w:ins w:id="25" w:author="Alfred Asterjadhi" w:date="2019-03-03T13:32:00Z">
        <w:r w:rsidR="00C71343">
          <w:rPr>
            <w:w w:val="100"/>
          </w:rPr>
          <w:t>,</w:t>
        </w:r>
      </w:ins>
      <w:ins w:id="26" w:author="Alfred Asterjadhi" w:date="2019-03-03T13:28:00Z">
        <w:r w:rsidR="00C71343">
          <w:rPr>
            <w:w w:val="100"/>
          </w:rPr>
          <w:t xml:space="preserve"> received from that HE </w:t>
        </w:r>
        <w:proofErr w:type="gramStart"/>
        <w:r w:rsidR="00C71343">
          <w:rPr>
            <w:w w:val="100"/>
          </w:rPr>
          <w:t>STA</w:t>
        </w:r>
      </w:ins>
      <w:r>
        <w:rPr>
          <w:w w:val="100"/>
        </w:rPr>
        <w:t>.</w:t>
      </w:r>
      <w:ins w:id="27" w:author="Alfred Asterjadhi" w:date="2019-03-03T13:26:00Z">
        <w:r w:rsidR="00C71343" w:rsidRPr="004B6035">
          <w:rPr>
            <w:i/>
            <w:w w:val="100"/>
            <w:highlight w:val="yellow"/>
          </w:rPr>
          <w:t>(</w:t>
        </w:r>
        <w:proofErr w:type="gramEnd"/>
        <w:r w:rsidR="00C71343" w:rsidRPr="004B6035">
          <w:rPr>
            <w:i/>
            <w:w w:val="100"/>
            <w:highlight w:val="yellow"/>
          </w:rPr>
          <w:t>#</w:t>
        </w:r>
        <w:r w:rsidR="00C71343">
          <w:rPr>
            <w:i/>
            <w:w w:val="100"/>
            <w:highlight w:val="yellow"/>
          </w:rPr>
          <w:t>21275</w:t>
        </w:r>
        <w:r w:rsidR="00C71343" w:rsidRPr="004B6035">
          <w:rPr>
            <w:i/>
            <w:w w:val="100"/>
            <w:highlight w:val="yellow"/>
          </w:rPr>
          <w:t>)</w:t>
        </w:r>
      </w:ins>
    </w:p>
    <w:p w14:paraId="3821545D" w14:textId="16AC0686" w:rsidR="002402C2" w:rsidRPr="00FF61B5" w:rsidRDefault="002402C2" w:rsidP="002402C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20905</w:t>
      </w:r>
      <w:r w:rsidRPr="007258A6">
        <w:rPr>
          <w:rFonts w:eastAsia="Times New Roman"/>
          <w:b/>
          <w:i/>
          <w:color w:val="000000"/>
          <w:sz w:val="20"/>
          <w:highlight w:val="yellow"/>
          <w:lang w:val="en-US"/>
        </w:rPr>
        <w:t>):</w:t>
      </w:r>
    </w:p>
    <w:p w14:paraId="6441FD42" w14:textId="7C5EAAAA" w:rsidR="003B6BEC" w:rsidRDefault="003B6BEC" w:rsidP="003B6BEC">
      <w:pPr>
        <w:pStyle w:val="T"/>
        <w:rPr>
          <w:w w:val="100"/>
        </w:rPr>
      </w:pPr>
      <w:r>
        <w:rPr>
          <w:w w:val="100"/>
        </w:rPr>
        <w:t xml:space="preserve">An </w:t>
      </w:r>
      <w:del w:id="28" w:author="Alfred Asterjadhi" w:date="2019-03-01T16:41:00Z">
        <w:r w:rsidDel="00700F0F">
          <w:rPr>
            <w:w w:val="100"/>
          </w:rPr>
          <w:delText xml:space="preserve">HE </w:delText>
        </w:r>
      </w:del>
      <w:r>
        <w:rPr>
          <w:w w:val="100"/>
        </w:rPr>
        <w:t xml:space="preserve">STA shall not transmit </w:t>
      </w:r>
      <w:del w:id="29" w:author="Alfred Asterjadhi" w:date="2019-03-01T16:41:00Z">
        <w:r w:rsidDel="00700F0F">
          <w:rPr>
            <w:w w:val="100"/>
          </w:rPr>
          <w:delText xml:space="preserve">an MPDU </w:delText>
        </w:r>
      </w:del>
      <w:r>
        <w:rPr>
          <w:w w:val="100"/>
        </w:rPr>
        <w:t xml:space="preserve">in an HE PPDU </w:t>
      </w:r>
      <w:ins w:id="30" w:author="Alfred Asterjadhi" w:date="2019-03-01T16:41:00Z">
        <w:r w:rsidR="00700F0F">
          <w:rPr>
            <w:w w:val="100"/>
          </w:rPr>
          <w:t>an MPDU othe</w:t>
        </w:r>
      </w:ins>
      <w:ins w:id="31" w:author="Alfred Asterjadhi" w:date="2019-03-01T16:42:00Z">
        <w:r w:rsidR="00700F0F">
          <w:rPr>
            <w:w w:val="100"/>
          </w:rPr>
          <w:t xml:space="preserve">r than an HE Compressed Beamforming/CQI frame (see 26.7.3(Rules for HE sounding protocol sequences) </w:t>
        </w:r>
      </w:ins>
      <w:del w:id="32" w:author="Alfred Asterjadhi" w:date="2019-03-01T16:42:00Z">
        <w:r w:rsidDel="00700F0F">
          <w:rPr>
            <w:w w:val="100"/>
          </w:rPr>
          <w:delText xml:space="preserve">to a STA </w:delText>
        </w:r>
      </w:del>
      <w:r>
        <w:rPr>
          <w:w w:val="100"/>
        </w:rPr>
        <w:t>that exceeds the maximum MPDU length capability indicated in the VHT Capabilities element received from the recipient STA or, if a VHT Capabilities element is not received</w:t>
      </w:r>
      <w:ins w:id="33" w:author="Alfred Asterjadhi" w:date="2019-03-01T16:42:00Z">
        <w:r w:rsidR="00700F0F">
          <w:rPr>
            <w:w w:val="100"/>
          </w:rPr>
          <w:t xml:space="preserve"> from that STA</w:t>
        </w:r>
      </w:ins>
      <w:r>
        <w:rPr>
          <w:w w:val="100"/>
        </w:rPr>
        <w:t>,</w:t>
      </w:r>
      <w:r>
        <w:rPr>
          <w:vanish/>
          <w:w w:val="100"/>
        </w:rPr>
        <w:t>(#16367)</w:t>
      </w:r>
      <w:r>
        <w:rPr>
          <w:w w:val="100"/>
        </w:rPr>
        <w:t xml:space="preserve"> that exceeds the </w:t>
      </w:r>
      <w:del w:id="34" w:author="Alfred Asterjadhi" w:date="2019-03-01T16:43:00Z">
        <w:r w:rsidDel="00700F0F">
          <w:rPr>
            <w:w w:val="100"/>
          </w:rPr>
          <w:delText xml:space="preserve">Maximum </w:delText>
        </w:r>
      </w:del>
      <w:ins w:id="35" w:author="Alfred Asterjadhi" w:date="2019-03-01T16:43:00Z">
        <w:r w:rsidR="00700F0F">
          <w:rPr>
            <w:w w:val="100"/>
          </w:rPr>
          <w:t xml:space="preserve">maximum </w:t>
        </w:r>
      </w:ins>
      <w:r>
        <w:rPr>
          <w:w w:val="100"/>
        </w:rPr>
        <w:t xml:space="preserve">A-MSDU </w:t>
      </w:r>
      <w:del w:id="36" w:author="Alfred Asterjadhi" w:date="2019-03-01T16:43:00Z">
        <w:r w:rsidDel="00700F0F">
          <w:rPr>
            <w:w w:val="100"/>
          </w:rPr>
          <w:delText xml:space="preserve">Length </w:delText>
        </w:r>
      </w:del>
      <w:ins w:id="37" w:author="Alfred Asterjadhi" w:date="2019-03-01T16:43:00Z">
        <w:r w:rsidR="00700F0F">
          <w:rPr>
            <w:w w:val="100"/>
          </w:rPr>
          <w:t xml:space="preserve">length capability indicated </w:t>
        </w:r>
      </w:ins>
      <w:r>
        <w:rPr>
          <w:w w:val="100"/>
        </w:rPr>
        <w:t xml:space="preserve">in the HT Capabilities element received from </w:t>
      </w:r>
      <w:del w:id="38" w:author="Alfred Asterjadhi" w:date="2019-03-01T16:43:00Z">
        <w:r w:rsidDel="00700F0F">
          <w:rPr>
            <w:w w:val="100"/>
          </w:rPr>
          <w:delText>the recipient</w:delText>
        </w:r>
      </w:del>
      <w:ins w:id="39" w:author="Alfred Asterjadhi" w:date="2019-03-01T16:43:00Z">
        <w:r w:rsidR="00700F0F">
          <w:rPr>
            <w:w w:val="100"/>
          </w:rPr>
          <w:t>that</w:t>
        </w:r>
      </w:ins>
      <w:r>
        <w:rPr>
          <w:w w:val="100"/>
        </w:rPr>
        <w:t xml:space="preserve"> STA</w:t>
      </w:r>
      <w:del w:id="40" w:author="Alfred Asterjadhi" w:date="2019-03-01T16:43:00Z">
        <w:r w:rsidDel="00700F0F">
          <w:rPr>
            <w:w w:val="100"/>
          </w:rPr>
          <w:delText xml:space="preserve"> unless the MPDU is an HE Compressed Beamforming/CQI frame (see </w:delText>
        </w:r>
        <w:r w:rsidDel="00700F0F">
          <w:rPr>
            <w:w w:val="100"/>
          </w:rPr>
          <w:fldChar w:fldCharType="begin"/>
        </w:r>
        <w:r w:rsidDel="00700F0F">
          <w:rPr>
            <w:w w:val="100"/>
          </w:rPr>
          <w:delInstrText xml:space="preserve"> REF  RTF34353133323a2048332c312e \h</w:delInstrText>
        </w:r>
        <w:r w:rsidDel="00700F0F">
          <w:rPr>
            <w:w w:val="100"/>
          </w:rPr>
        </w:r>
        <w:r w:rsidDel="00700F0F">
          <w:rPr>
            <w:w w:val="100"/>
          </w:rPr>
          <w:fldChar w:fldCharType="separate"/>
        </w:r>
        <w:r w:rsidDel="00700F0F">
          <w:rPr>
            <w:w w:val="100"/>
          </w:rPr>
          <w:delText>26.7.3 (Rules for HE sounding protocol sequences)</w:delText>
        </w:r>
        <w:r w:rsidDel="00700F0F">
          <w:rPr>
            <w:w w:val="100"/>
          </w:rPr>
          <w:fldChar w:fldCharType="end"/>
        </w:r>
        <w:r w:rsidDel="00700F0F">
          <w:rPr>
            <w:w w:val="100"/>
          </w:rPr>
          <w:delText>)</w:delText>
        </w:r>
      </w:del>
      <w:r>
        <w:rPr>
          <w:vanish/>
          <w:w w:val="100"/>
        </w:rPr>
        <w:t>(#16074)</w:t>
      </w:r>
      <w:r>
        <w:rPr>
          <w:w w:val="100"/>
        </w:rPr>
        <w:t>.</w:t>
      </w:r>
      <w:ins w:id="41" w:author="Alfred Asterjadhi" w:date="2019-03-01T16:47:00Z">
        <w:r w:rsidR="002402C2" w:rsidRPr="004B6035">
          <w:rPr>
            <w:i/>
            <w:w w:val="100"/>
            <w:highlight w:val="yellow"/>
          </w:rPr>
          <w:t>(#</w:t>
        </w:r>
        <w:r w:rsidR="002402C2">
          <w:rPr>
            <w:i/>
            <w:w w:val="100"/>
            <w:highlight w:val="yellow"/>
          </w:rPr>
          <w:t>20905</w:t>
        </w:r>
        <w:r w:rsidR="002402C2" w:rsidRPr="004B6035">
          <w:rPr>
            <w:i/>
            <w:w w:val="100"/>
            <w:highlight w:val="yellow"/>
          </w:rPr>
          <w:t>)</w:t>
        </w:r>
      </w:ins>
    </w:p>
    <w:p w14:paraId="529DA684" w14:textId="77777777" w:rsidR="003B6BEC" w:rsidRDefault="003B6BEC" w:rsidP="003B6BEC">
      <w:pPr>
        <w:pStyle w:val="T"/>
        <w:rPr>
          <w:w w:val="100"/>
        </w:rPr>
      </w:pPr>
      <w:r>
        <w:rPr>
          <w:w w:val="100"/>
        </w:rPr>
        <w:t>An HE STA shall not transmit an A-MPDU in an HE PPDU to a STA that exceeds the maximum A-MPDU length capability indicated in the HE Capabilities, VHT Capabilities, and HT Capabilities elements received from the recipient STA. If a VHT Capabilities element is received from the recipient STA, then the maximum A-MPDU length capability is derived from the Maximum A-MPDU Length Exponent Extension subfield in the HE Capabilities and the Maximum A-MPDU Length Exponent subfield in the VHT Capabilities element. Otherwise the maximum A-MPDU length capability is derived from the Maximum A-MPDU Length Exponent subfields in the HE Capabilities element and the Maximum A-MPDU Length Exponent subfield in the HT Capabilities element.</w:t>
      </w:r>
      <w:r>
        <w:rPr>
          <w:vanish/>
          <w:w w:val="100"/>
        </w:rPr>
        <w:t>(#16251)</w:t>
      </w:r>
    </w:p>
    <w:p w14:paraId="0509F21E" w14:textId="77777777" w:rsidR="003B6BEC" w:rsidRDefault="003B6BEC" w:rsidP="003B6BEC">
      <w:pPr>
        <w:pStyle w:val="T"/>
        <w:rPr>
          <w:w w:val="100"/>
        </w:rPr>
      </w:pPr>
      <w:r>
        <w:rPr>
          <w:w w:val="100"/>
        </w:rPr>
        <w:t>An HE AP shall set the RIFS Mode field in the HT Operation element to 0.</w:t>
      </w:r>
    </w:p>
    <w:p w14:paraId="09A50D88" w14:textId="2B424F3A" w:rsidR="00975241" w:rsidRPr="00FF61B5" w:rsidRDefault="00975241" w:rsidP="009752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21026</w:t>
      </w:r>
      <w:r w:rsidR="009C64A5">
        <w:rPr>
          <w:rFonts w:eastAsia="Times New Roman"/>
          <w:b/>
          <w:i/>
          <w:color w:val="000000"/>
          <w:sz w:val="20"/>
          <w:highlight w:val="yellow"/>
          <w:lang w:val="en-US"/>
        </w:rPr>
        <w:t>, 21493</w:t>
      </w:r>
      <w:r w:rsidRPr="007258A6">
        <w:rPr>
          <w:rFonts w:eastAsia="Times New Roman"/>
          <w:b/>
          <w:i/>
          <w:color w:val="000000"/>
          <w:sz w:val="20"/>
          <w:highlight w:val="yellow"/>
          <w:lang w:val="en-US"/>
        </w:rPr>
        <w:t>):</w:t>
      </w:r>
    </w:p>
    <w:p w14:paraId="2A3E7951" w14:textId="4630556E" w:rsidR="00AE75B4" w:rsidRPr="00AE75B4" w:rsidRDefault="003B6BEC" w:rsidP="00AE75B4">
      <w:pPr>
        <w:pStyle w:val="T"/>
        <w:rPr>
          <w:ins w:id="42" w:author="Alfred Asterjadhi" w:date="2019-03-01T13:16:00Z"/>
          <w:w w:val="100"/>
        </w:rPr>
      </w:pPr>
      <w:r>
        <w:rPr>
          <w:w w:val="100"/>
        </w:rPr>
        <w:t xml:space="preserve">An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sidR="00AE75B4">
        <w:rPr>
          <w:w w:val="100"/>
        </w:rPr>
        <w:instrText xml:space="preserve"> \* MERGEFORMAT </w:instrText>
      </w:r>
      <w:r>
        <w:rPr>
          <w:w w:val="100"/>
        </w:rPr>
      </w:r>
      <w:r>
        <w:rPr>
          <w:w w:val="100"/>
        </w:rPr>
        <w:fldChar w:fldCharType="separate"/>
      </w:r>
      <w:r>
        <w:rPr>
          <w:w w:val="100"/>
        </w:rPr>
        <w:t>Clause 26</w:t>
      </w:r>
      <w:r>
        <w:rPr>
          <w:w w:val="100"/>
        </w:rPr>
        <w:fldChar w:fldCharType="end"/>
      </w:r>
      <w:r>
        <w:rPr>
          <w:w w:val="100"/>
        </w:rPr>
        <w:t xml:space="preserve">. An HE STA shall </w:t>
      </w:r>
      <w:ins w:id="43" w:author="Alfred Asterjadhi" w:date="2019-03-01T13:20:00Z">
        <w:r w:rsidR="004B6035">
          <w:rPr>
            <w:w w:val="100"/>
          </w:rPr>
          <w:t xml:space="preserve">additionally </w:t>
        </w:r>
      </w:ins>
      <w:r>
        <w:rPr>
          <w:w w:val="100"/>
        </w:rPr>
        <w:t xml:space="preserve">follow the rules defined in </w:t>
      </w:r>
      <w:r>
        <w:rPr>
          <w:w w:val="100"/>
        </w:rPr>
        <w:fldChar w:fldCharType="begin"/>
      </w:r>
      <w:r>
        <w:rPr>
          <w:w w:val="100"/>
        </w:rPr>
        <w:instrText xml:space="preserve"> REF  RTF31363634363a2048332c312e \h</w:instrText>
      </w:r>
      <w:r w:rsidR="00AE75B4">
        <w:rPr>
          <w:w w:val="100"/>
        </w:rPr>
        <w:instrText xml:space="preserve"> \* MERGEFORMAT </w:instrText>
      </w:r>
      <w:r>
        <w:rPr>
          <w:w w:val="100"/>
        </w:rPr>
      </w:r>
      <w:r>
        <w:rPr>
          <w:w w:val="100"/>
        </w:rPr>
        <w:fldChar w:fldCharType="separate"/>
      </w:r>
      <w:r>
        <w:rPr>
          <w:w w:val="100"/>
        </w:rPr>
        <w:t>26.17.2 (HE BSS operation in the 6 GHz band)</w:t>
      </w:r>
      <w:r>
        <w:rPr>
          <w:w w:val="100"/>
        </w:rPr>
        <w:fldChar w:fldCharType="end"/>
      </w:r>
      <w:r>
        <w:rPr>
          <w:w w:val="100"/>
        </w:rPr>
        <w:t xml:space="preserve"> for scanning</w:t>
      </w:r>
      <w:ins w:id="44" w:author="Alfred Asterjadhi" w:date="2019-03-01T13:13:00Z">
        <w:r w:rsidR="00872243">
          <w:rPr>
            <w:w w:val="100"/>
          </w:rPr>
          <w:t xml:space="preserve"> </w:t>
        </w:r>
      </w:ins>
      <w:ins w:id="45" w:author="Alfred Asterjadhi" w:date="2019-03-01T13:14:00Z">
        <w:r w:rsidR="00872243">
          <w:rPr>
            <w:w w:val="100"/>
          </w:rPr>
          <w:t xml:space="preserve">and operating in the 6 GHz </w:t>
        </w:r>
        <w:proofErr w:type="gramStart"/>
        <w:r w:rsidR="00872243">
          <w:rPr>
            <w:w w:val="100"/>
          </w:rPr>
          <w:t>band</w:t>
        </w:r>
      </w:ins>
      <w:r>
        <w:rPr>
          <w:w w:val="100"/>
        </w:rPr>
        <w:t>.</w:t>
      </w:r>
      <w:ins w:id="46" w:author="Alfred Asterjadhi" w:date="2019-03-01T13:16:00Z">
        <w:r w:rsidR="00AE75B4" w:rsidRPr="004B6035">
          <w:rPr>
            <w:i/>
            <w:w w:val="100"/>
            <w:highlight w:val="yellow"/>
          </w:rPr>
          <w:t>(</w:t>
        </w:r>
        <w:proofErr w:type="gramEnd"/>
        <w:r w:rsidR="00AE75B4" w:rsidRPr="004B6035">
          <w:rPr>
            <w:i/>
            <w:w w:val="100"/>
            <w:highlight w:val="yellow"/>
          </w:rPr>
          <w:t>#</w:t>
        </w:r>
      </w:ins>
      <w:ins w:id="47" w:author="Alfred Asterjadhi" w:date="2019-03-01T13:17:00Z">
        <w:r w:rsidR="004B6035">
          <w:rPr>
            <w:i/>
            <w:w w:val="100"/>
            <w:highlight w:val="yellow"/>
          </w:rPr>
          <w:t>21026</w:t>
        </w:r>
      </w:ins>
      <w:ins w:id="48" w:author="Alfred Asterjadhi" w:date="2019-03-01T17:05:00Z">
        <w:r w:rsidR="009C64A5">
          <w:rPr>
            <w:i/>
            <w:w w:val="100"/>
            <w:highlight w:val="yellow"/>
          </w:rPr>
          <w:t>, 21493</w:t>
        </w:r>
      </w:ins>
      <w:ins w:id="49" w:author="Alfred Asterjadhi" w:date="2019-03-01T13:16:00Z">
        <w:r w:rsidR="00AE75B4" w:rsidRPr="004B6035">
          <w:rPr>
            <w:i/>
            <w:w w:val="100"/>
            <w:highlight w:val="yellow"/>
          </w:rPr>
          <w:t>)</w:t>
        </w:r>
      </w:ins>
    </w:p>
    <w:p w14:paraId="5AA684DF" w14:textId="77777777" w:rsidR="003B6BEC" w:rsidRDefault="003B6BEC" w:rsidP="003B6BEC">
      <w:pPr>
        <w:pStyle w:val="T"/>
        <w:rPr>
          <w:w w:val="100"/>
        </w:rPr>
      </w:pPr>
      <w:r>
        <w:rPr>
          <w:w w:val="100"/>
        </w:rPr>
        <w:t xml:space="preserve">An HE STA shall follow the rules defined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0129A8E3" w14:textId="6FC4B8E6" w:rsidR="001D4565" w:rsidRPr="00FF61B5" w:rsidRDefault="001D4565" w:rsidP="001D45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21279</w:t>
      </w:r>
      <w:r w:rsidRPr="007258A6">
        <w:rPr>
          <w:rFonts w:eastAsia="Times New Roman"/>
          <w:b/>
          <w:i/>
          <w:color w:val="000000"/>
          <w:sz w:val="20"/>
          <w:highlight w:val="yellow"/>
          <w:lang w:val="en-US"/>
        </w:rPr>
        <w:t>):</w:t>
      </w:r>
    </w:p>
    <w:p w14:paraId="414438DA" w14:textId="5DA9C3E3" w:rsidR="003B6BEC" w:rsidRDefault="003B6BEC" w:rsidP="003B6BEC">
      <w:pPr>
        <w:pStyle w:val="T"/>
        <w:rPr>
          <w:w w:val="100"/>
        </w:rPr>
      </w:pPr>
      <w:r>
        <w:rPr>
          <w:w w:val="100"/>
        </w:rPr>
        <w:t xml:space="preserve">An HE AP corresponding to the ER BSS shall not respond </w:t>
      </w:r>
      <w:ins w:id="50" w:author="Alfred Asterjadhi" w:date="2019-03-03T21:08:00Z">
        <w:r w:rsidR="00486BB7">
          <w:rPr>
            <w:w w:val="100"/>
          </w:rPr>
          <w:t xml:space="preserve">with Probe Response or (Re-)Association Response frames </w:t>
        </w:r>
      </w:ins>
      <w:r>
        <w:rPr>
          <w:w w:val="100"/>
        </w:rPr>
        <w:t xml:space="preserve">to </w:t>
      </w:r>
      <w:del w:id="51" w:author="Alfred Asterjadhi" w:date="2019-03-03T21:08:00Z">
        <w:r w:rsidDel="00486BB7">
          <w:rPr>
            <w:w w:val="100"/>
          </w:rPr>
          <w:delText>the</w:delText>
        </w:r>
      </w:del>
      <w:r>
        <w:rPr>
          <w:w w:val="100"/>
        </w:rPr>
        <w:t xml:space="preserve"> Probe Request or (Re</w:t>
      </w:r>
      <w:ins w:id="52" w:author="Alfred Asterjadhi" w:date="2019-03-03T21:08:00Z">
        <w:r w:rsidR="00486BB7">
          <w:rPr>
            <w:w w:val="100"/>
          </w:rPr>
          <w:t>-</w:t>
        </w:r>
      </w:ins>
      <w:r>
        <w:rPr>
          <w:w w:val="100"/>
        </w:rPr>
        <w:t>)Association Request frames</w:t>
      </w:r>
      <w:ins w:id="53" w:author="Alfred Asterjadhi" w:date="2019-03-03T21:17:00Z">
        <w:r w:rsidR="00011B23">
          <w:rPr>
            <w:w w:val="100"/>
          </w:rPr>
          <w:t>, respectively,</w:t>
        </w:r>
      </w:ins>
      <w:r>
        <w:rPr>
          <w:w w:val="100"/>
        </w:rPr>
        <w:t xml:space="preserve"> sent from a non-HT STA, or an HE STA that does not support Partial Band Extended Range capability if the HE AP transmits ER Beacon </w:t>
      </w:r>
      <w:proofErr w:type="gramStart"/>
      <w:r>
        <w:rPr>
          <w:w w:val="100"/>
        </w:rPr>
        <w:t>in</w:t>
      </w:r>
      <w:proofErr w:type="gramEnd"/>
      <w:r>
        <w:rPr>
          <w:w w:val="100"/>
        </w:rPr>
        <w:t xml:space="preserve"> HE ER SU PPDU with 106-tone RU. An HE AP that is not operating an ER BSS may set the ER SU Disable subfield in the HE Operation element it transmits to </w:t>
      </w:r>
      <w:proofErr w:type="gramStart"/>
      <w:r>
        <w:rPr>
          <w:w w:val="100"/>
        </w:rPr>
        <w:t>1.</w:t>
      </w:r>
      <w:ins w:id="54" w:author="Alfred Asterjadhi" w:date="2019-03-01T13:16:00Z">
        <w:r w:rsidR="001D4565" w:rsidRPr="004B6035">
          <w:rPr>
            <w:i/>
            <w:w w:val="100"/>
            <w:highlight w:val="yellow"/>
          </w:rPr>
          <w:t>(</w:t>
        </w:r>
        <w:proofErr w:type="gramEnd"/>
        <w:r w:rsidR="001D4565" w:rsidRPr="004B6035">
          <w:rPr>
            <w:i/>
            <w:w w:val="100"/>
            <w:highlight w:val="yellow"/>
          </w:rPr>
          <w:t>#</w:t>
        </w:r>
      </w:ins>
      <w:ins w:id="55" w:author="Alfred Asterjadhi" w:date="2019-03-01T13:17:00Z">
        <w:r w:rsidR="001D4565">
          <w:rPr>
            <w:i/>
            <w:w w:val="100"/>
            <w:highlight w:val="yellow"/>
          </w:rPr>
          <w:t>2</w:t>
        </w:r>
      </w:ins>
      <w:ins w:id="56" w:author="Alfred Asterjadhi" w:date="2019-03-03T21:33:00Z">
        <w:r w:rsidR="001D4565">
          <w:rPr>
            <w:i/>
            <w:w w:val="100"/>
            <w:highlight w:val="yellow"/>
          </w:rPr>
          <w:t>1279</w:t>
        </w:r>
      </w:ins>
      <w:ins w:id="57" w:author="Alfred Asterjadhi" w:date="2019-03-01T13:16:00Z">
        <w:r w:rsidR="001D4565" w:rsidRPr="004B6035">
          <w:rPr>
            <w:i/>
            <w:w w:val="100"/>
            <w:highlight w:val="yellow"/>
          </w:rPr>
          <w:t>)</w:t>
        </w:r>
      </w:ins>
    </w:p>
    <w:p w14:paraId="7145D4DD" w14:textId="77777777" w:rsidR="003B6BEC" w:rsidRDefault="003B6BEC" w:rsidP="003B6BEC">
      <w:pPr>
        <w:pStyle w:val="T"/>
        <w:rPr>
          <w:w w:val="100"/>
        </w:rPr>
      </w:pPr>
      <w:r>
        <w:rPr>
          <w:w w:val="100"/>
        </w:rPr>
        <w:t xml:space="preserve">A STA shall have the same value of maximum VHT NSS defined by its Rx HE-MCS Map For </w:t>
      </w:r>
      <w:r>
        <w:rPr>
          <w:rFonts w:ascii="Symbol" w:hAnsi="Symbol" w:cs="Symbol"/>
          <w:w w:val="100"/>
        </w:rPr>
        <w:t></w:t>
      </w:r>
      <w:r>
        <w:rPr>
          <w:w w:val="100"/>
        </w:rPr>
        <w:t xml:space="preserve"> 80 MHz 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For 160 MHz 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1F04220A" w14:textId="77777777" w:rsidR="003B6BEC" w:rsidRDefault="003B6BEC" w:rsidP="003B6BEC">
      <w:pPr>
        <w:pStyle w:val="T"/>
        <w:rPr>
          <w:w w:val="100"/>
        </w:rPr>
      </w:pPr>
      <w:r>
        <w:rPr>
          <w:w w:val="100"/>
        </w:rPr>
        <w:t xml:space="preserve">If an HE STA supports 160 MHz, the maximum NSS defined by its Rx HE-MCS Map field for an HE-MCS in the HE Capabilities element at 160 MHz shall not be more than the maximum NSS defined by its Rx HE-MCS Map field for the HE-MCS in the HE Capabilities element at 80 </w:t>
      </w:r>
      <w:proofErr w:type="spellStart"/>
      <w:r>
        <w:rPr>
          <w:w w:val="100"/>
        </w:rPr>
        <w:t>MHz.</w:t>
      </w:r>
      <w:proofErr w:type="spellEnd"/>
    </w:p>
    <w:p w14:paraId="49064D53" w14:textId="069B9018" w:rsidR="0043717E" w:rsidRDefault="003B6BEC" w:rsidP="003B6BEC">
      <w:pPr>
        <w:pStyle w:val="T"/>
        <w:rPr>
          <w:w w:val="100"/>
        </w:rPr>
      </w:pPr>
      <w:r>
        <w:rPr>
          <w:w w:val="100"/>
        </w:rPr>
        <w:lastRenderedPageBreak/>
        <w:t xml:space="preserve">If an HE STA supports 80+80 MHz, the maximum NSS defined by its Rx HE-MCS Map field for an HE-MCS in the HE Capabilities element at 80+80 MHz shall not be more than the maximum NSS defined by its Rx HE-MCS Map field for the HE-MCS in the HE Capabilities element at 80 </w:t>
      </w:r>
      <w:proofErr w:type="spellStart"/>
      <w:r>
        <w:rPr>
          <w:w w:val="100"/>
        </w:rPr>
        <w:t>MHz.</w:t>
      </w:r>
      <w:proofErr w:type="spellEnd"/>
    </w:p>
    <w:p w14:paraId="71814FF3" w14:textId="77777777" w:rsidR="0043717E" w:rsidRDefault="0043717E" w:rsidP="003B6BEC">
      <w:pPr>
        <w:pStyle w:val="T"/>
        <w:rPr>
          <w:b/>
          <w:bCs/>
        </w:rPr>
      </w:pPr>
      <w:r>
        <w:rPr>
          <w:b/>
          <w:bCs/>
        </w:rPr>
        <w:t xml:space="preserve">26.17.2 HE BSS operation in the 6 GHz band </w:t>
      </w:r>
    </w:p>
    <w:p w14:paraId="271A5862" w14:textId="432773FF" w:rsidR="0043717E" w:rsidRDefault="0043717E" w:rsidP="003B6BEC">
      <w:pPr>
        <w:pStyle w:val="T"/>
        <w:rPr>
          <w:b/>
          <w:bCs/>
        </w:rPr>
      </w:pPr>
      <w:r>
        <w:rPr>
          <w:b/>
          <w:bCs/>
        </w:rPr>
        <w:t>26.17.2.1 General</w:t>
      </w:r>
    </w:p>
    <w:p w14:paraId="391CE749" w14:textId="20D18428" w:rsidR="0043717E" w:rsidRPr="00FF61B5" w:rsidRDefault="0043717E" w:rsidP="0043717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20348</w:t>
      </w:r>
      <w:r w:rsidRPr="007258A6">
        <w:rPr>
          <w:rFonts w:eastAsia="Times New Roman"/>
          <w:b/>
          <w:i/>
          <w:color w:val="000000"/>
          <w:sz w:val="20"/>
          <w:highlight w:val="yellow"/>
          <w:lang w:val="en-US"/>
        </w:rPr>
        <w:t>):</w:t>
      </w:r>
    </w:p>
    <w:p w14:paraId="55EE2252" w14:textId="15DB2349" w:rsidR="0043717E" w:rsidRDefault="0043717E" w:rsidP="003B6BEC">
      <w:pPr>
        <w:pStyle w:val="T"/>
        <w:rPr>
          <w:i/>
          <w:w w:val="100"/>
        </w:rPr>
      </w:pPr>
      <w:r>
        <w:t xml:space="preserve">A 6 GHz HE STA shall not transmit an HT Capabilities element, VHT Capabilities element, HT Operation element, VHT Operation element or </w:t>
      </w:r>
      <w:ins w:id="58" w:author="Alfred Asterjadhi" w:date="2019-03-01T16:35:00Z">
        <w:r>
          <w:t xml:space="preserve">an HE Operation element that contains a </w:t>
        </w:r>
      </w:ins>
      <w:r>
        <w:t xml:space="preserve">VHT Operation Information </w:t>
      </w:r>
      <w:proofErr w:type="gramStart"/>
      <w:r>
        <w:t>field.</w:t>
      </w:r>
      <w:ins w:id="59" w:author="Alfred Asterjadhi" w:date="2019-03-01T16:35:00Z">
        <w:r w:rsidRPr="004B6035">
          <w:rPr>
            <w:i/>
            <w:w w:val="100"/>
            <w:highlight w:val="yellow"/>
          </w:rPr>
          <w:t>(</w:t>
        </w:r>
        <w:proofErr w:type="gramEnd"/>
        <w:r w:rsidRPr="004B6035">
          <w:rPr>
            <w:i/>
            <w:w w:val="100"/>
            <w:highlight w:val="yellow"/>
          </w:rPr>
          <w:t>#</w:t>
        </w:r>
        <w:r>
          <w:rPr>
            <w:i/>
            <w:w w:val="100"/>
            <w:highlight w:val="yellow"/>
          </w:rPr>
          <w:t>20348</w:t>
        </w:r>
        <w:r w:rsidRPr="004B6035">
          <w:rPr>
            <w:i/>
            <w:w w:val="100"/>
            <w:highlight w:val="yellow"/>
          </w:rPr>
          <w:t>)</w:t>
        </w:r>
      </w:ins>
    </w:p>
    <w:p w14:paraId="6AFFD4AF" w14:textId="0F87AF56" w:rsidR="00885C3A" w:rsidRDefault="00885C3A" w:rsidP="003B6BEC">
      <w:pPr>
        <w:pStyle w:val="T"/>
        <w:rPr>
          <w:ins w:id="60" w:author="Alfred Asterjadhi" w:date="2019-03-03T11:06:00Z"/>
          <w:i/>
          <w:w w:val="100"/>
        </w:rPr>
      </w:pPr>
      <w:r>
        <w:rPr>
          <w:b/>
          <w:bCs/>
        </w:rPr>
        <w:t>26.15.3 MCS, NSS, BW and DCM selection</w:t>
      </w:r>
    </w:p>
    <w:p w14:paraId="05BFE40D" w14:textId="3E259695" w:rsidR="00885C3A" w:rsidRPr="00FF61B5" w:rsidRDefault="00885C3A" w:rsidP="00885C3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21275</w:t>
      </w:r>
      <w:r w:rsidRPr="007258A6">
        <w:rPr>
          <w:rFonts w:eastAsia="Times New Roman"/>
          <w:b/>
          <w:i/>
          <w:color w:val="000000"/>
          <w:sz w:val="20"/>
          <w:highlight w:val="yellow"/>
          <w:lang w:val="en-US"/>
        </w:rPr>
        <w:t>):</w:t>
      </w:r>
    </w:p>
    <w:p w14:paraId="440444AC" w14:textId="77777777" w:rsidR="00434566" w:rsidRDefault="00434566" w:rsidP="00434566">
      <w:pPr>
        <w:pStyle w:val="T"/>
      </w:pPr>
      <w:r>
        <w:t>An HE STA shall follow the rules defined in 10.7 (</w:t>
      </w:r>
      <w:proofErr w:type="spellStart"/>
      <w:r>
        <w:t>Multirate</w:t>
      </w:r>
      <w:proofErr w:type="spellEnd"/>
      <w: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 </w:t>
      </w:r>
    </w:p>
    <w:p w14:paraId="27DEA097" w14:textId="77777777" w:rsidR="00434566" w:rsidRDefault="00434566" w:rsidP="00434566">
      <w:pPr>
        <w:pStyle w:val="T"/>
        <w:numPr>
          <w:ilvl w:val="0"/>
          <w:numId w:val="34"/>
        </w:numPr>
      </w:pPr>
      <w:r>
        <w:t xml:space="preserve">MCS, NSS, and BW selection for an HE TB PPDU are defined in 26.5.3.3 (Non-AP STA behavior for UL MU operation). </w:t>
      </w:r>
    </w:p>
    <w:p w14:paraId="21F5F169" w14:textId="77777777" w:rsidR="00434566" w:rsidRDefault="00434566" w:rsidP="00434566">
      <w:pPr>
        <w:pStyle w:val="T"/>
        <w:numPr>
          <w:ilvl w:val="0"/>
          <w:numId w:val="34"/>
        </w:numPr>
      </w:pPr>
      <w:r>
        <w:t xml:space="preserve">Rate and BW selection for a CTS sent in response to </w:t>
      </w:r>
      <w:proofErr w:type="gramStart"/>
      <w:r>
        <w:t>an</w:t>
      </w:r>
      <w:proofErr w:type="gramEnd"/>
      <w:r>
        <w:t xml:space="preserve"> MU-RTS Trigger frame are defined in 26.2.6 (MU-RTS Trigger/CTS frame exchange procedure) </w:t>
      </w:r>
    </w:p>
    <w:p w14:paraId="5A7EB227" w14:textId="77777777" w:rsidR="00434566" w:rsidRDefault="00434566" w:rsidP="00434566">
      <w:pPr>
        <w:pStyle w:val="T"/>
        <w:numPr>
          <w:ilvl w:val="0"/>
          <w:numId w:val="34"/>
        </w:numPr>
      </w:pPr>
      <w:r>
        <w:t>A STA that transmits a Control frame carried in a non-HT PPDU that is a response to a frame received in an HE ER SU PPDU shall set the rate of the non-HT PPDU to 6 Mb/s.</w:t>
      </w:r>
    </w:p>
    <w:p w14:paraId="475C43C1" w14:textId="77777777" w:rsidR="00434566" w:rsidRDefault="00434566" w:rsidP="0068648F">
      <w:pPr>
        <w:pStyle w:val="T"/>
        <w:numPr>
          <w:ilvl w:val="0"/>
          <w:numId w:val="34"/>
        </w:numPr>
      </w:pPr>
      <w:r>
        <w:t xml:space="preserve"> A STA that transmits a Control frame that is an S-MPDU carried in an HE ER SU PPDU and that is a response to a frame received in an HE ER SU PPDU shall use the &lt;HE-MCS, NSS&gt; tuple &lt;MCS 0, 1&gt;.</w:t>
      </w:r>
      <w:r w:rsidRPr="00434566">
        <w:t xml:space="preserve"> </w:t>
      </w:r>
    </w:p>
    <w:p w14:paraId="56988BC4" w14:textId="76132EE7" w:rsidR="00885C3A" w:rsidRPr="00AB2F29" w:rsidRDefault="00434566" w:rsidP="00885C3A">
      <w:pPr>
        <w:pStyle w:val="T"/>
        <w:numPr>
          <w:ilvl w:val="0"/>
          <w:numId w:val="34"/>
        </w:numPr>
      </w:pPr>
      <w:r>
        <w:t>NSS and BW selection is further constrained as defined in 26.9 (Operating mode indication), 11.42 (Notification of operating mode changes)</w:t>
      </w:r>
      <w:ins w:id="61" w:author="Alfred Asterjadhi" w:date="2019-03-03T12:15:00Z">
        <w:r>
          <w:t>,</w:t>
        </w:r>
      </w:ins>
      <w:r>
        <w:t xml:space="preserve"> </w:t>
      </w:r>
      <w:del w:id="62" w:author="Alfred Asterjadhi" w:date="2019-03-03T12:15:00Z">
        <w:r w:rsidDel="00434566">
          <w:delText xml:space="preserve">and </w:delText>
        </w:r>
      </w:del>
      <w:r>
        <w:t>26.15.2 (PPDU format selection</w:t>
      </w:r>
      <w:ins w:id="63" w:author="Alfred Asterjadhi" w:date="2019-03-03T12:21:00Z">
        <w:r w:rsidR="00AB2F29">
          <w:t>), 26.17 (</w:t>
        </w:r>
      </w:ins>
      <w:ins w:id="64" w:author="Alfred Asterjadhi" w:date="2019-03-03T12:17:00Z">
        <w:r>
          <w:t xml:space="preserve">HE BSS </w:t>
        </w:r>
        <w:proofErr w:type="spellStart"/>
        <w:r>
          <w:t>operatoin</w:t>
        </w:r>
      </w:ins>
      <w:proofErr w:type="spellEnd"/>
      <w:r>
        <w:t>)</w:t>
      </w:r>
      <w:ins w:id="65" w:author="Alfred Asterjadhi" w:date="2019-03-03T12:15:00Z">
        <w:r>
          <w:t xml:space="preserve"> and</w:t>
        </w:r>
      </w:ins>
      <w:ins w:id="66" w:author="Alfred Asterjadhi" w:date="2019-03-03T12:17:00Z">
        <w:r>
          <w:t xml:space="preserve"> </w:t>
        </w:r>
      </w:ins>
      <w:ins w:id="67" w:author="Alfred Asterjadhi" w:date="2019-03-03T12:22:00Z">
        <w:r w:rsidR="00AB2F29">
          <w:t xml:space="preserve">as defined in the remaining subclauses of 26.15 (PPDU format, </w:t>
        </w:r>
        <w:r w:rsidR="00AB2F29" w:rsidRPr="00AB2F29">
          <w:t>BW, MCS, NSS, and DCM selection rules</w:t>
        </w:r>
        <w:r w:rsidR="00AB2F29">
          <w:t>)</w:t>
        </w:r>
      </w:ins>
      <w:r>
        <w:t xml:space="preserve">. </w:t>
      </w:r>
    </w:p>
    <w:sectPr w:rsidR="00885C3A" w:rsidRPr="00AB2F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A4EA" w14:textId="77777777" w:rsidR="009C3D5D" w:rsidRDefault="009C3D5D">
      <w:r>
        <w:separator/>
      </w:r>
    </w:p>
  </w:endnote>
  <w:endnote w:type="continuationSeparator" w:id="0">
    <w:p w14:paraId="71C9EBC3" w14:textId="77777777" w:rsidR="009C3D5D" w:rsidRDefault="009C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E799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D6A6" w14:textId="77777777" w:rsidR="009C3D5D" w:rsidRDefault="009C3D5D">
      <w:r>
        <w:separator/>
      </w:r>
    </w:p>
  </w:footnote>
  <w:footnote w:type="continuationSeparator" w:id="0">
    <w:p w14:paraId="38EF06D1" w14:textId="77777777" w:rsidR="009C3D5D" w:rsidRDefault="009C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F38843A"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872243">
        <w:rPr>
          <w:lang w:eastAsia="ko-KR"/>
        </w:rPr>
        <w:t>0302</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8A0"/>
    <w:multiLevelType w:val="hybridMultilevel"/>
    <w:tmpl w:val="1DA6F0B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B23"/>
    <w:rsid w:val="00013196"/>
    <w:rsid w:val="00013F87"/>
    <w:rsid w:val="00014031"/>
    <w:rsid w:val="000157CC"/>
    <w:rsid w:val="00016D9C"/>
    <w:rsid w:val="00017D25"/>
    <w:rsid w:val="00021A27"/>
    <w:rsid w:val="00023CD8"/>
    <w:rsid w:val="00024344"/>
    <w:rsid w:val="00024487"/>
    <w:rsid w:val="00026F6E"/>
    <w:rsid w:val="00027D05"/>
    <w:rsid w:val="00031E68"/>
    <w:rsid w:val="000328D1"/>
    <w:rsid w:val="00033B0A"/>
    <w:rsid w:val="000341CB"/>
    <w:rsid w:val="00034E6F"/>
    <w:rsid w:val="0003542F"/>
    <w:rsid w:val="000358B3"/>
    <w:rsid w:val="00040016"/>
    <w:rsid w:val="000405C4"/>
    <w:rsid w:val="00044DC0"/>
    <w:rsid w:val="00045E2A"/>
    <w:rsid w:val="000478EE"/>
    <w:rsid w:val="00047AA4"/>
    <w:rsid w:val="00052123"/>
    <w:rsid w:val="00053519"/>
    <w:rsid w:val="000567DA"/>
    <w:rsid w:val="00056E16"/>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0EA"/>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565"/>
    <w:rsid w:val="001D4A93"/>
    <w:rsid w:val="001D5F28"/>
    <w:rsid w:val="001D7529"/>
    <w:rsid w:val="001D7948"/>
    <w:rsid w:val="001E0946"/>
    <w:rsid w:val="001E0DC2"/>
    <w:rsid w:val="001E1001"/>
    <w:rsid w:val="001E13D1"/>
    <w:rsid w:val="001E15F8"/>
    <w:rsid w:val="001E349E"/>
    <w:rsid w:val="001E6267"/>
    <w:rsid w:val="001E6EE9"/>
    <w:rsid w:val="001E799E"/>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42"/>
    <w:rsid w:val="0023760F"/>
    <w:rsid w:val="00237985"/>
    <w:rsid w:val="002402C2"/>
    <w:rsid w:val="00240895"/>
    <w:rsid w:val="00241AD7"/>
    <w:rsid w:val="002470AC"/>
    <w:rsid w:val="0024720B"/>
    <w:rsid w:val="002515C7"/>
    <w:rsid w:val="00252D47"/>
    <w:rsid w:val="002539AB"/>
    <w:rsid w:val="002545F7"/>
    <w:rsid w:val="00255A8B"/>
    <w:rsid w:val="00261CD0"/>
    <w:rsid w:val="00262D56"/>
    <w:rsid w:val="00263092"/>
    <w:rsid w:val="002662A5"/>
    <w:rsid w:val="00266D63"/>
    <w:rsid w:val="002674D1"/>
    <w:rsid w:val="00270171"/>
    <w:rsid w:val="00270F98"/>
    <w:rsid w:val="00273257"/>
    <w:rsid w:val="00273FA9"/>
    <w:rsid w:val="00274A4A"/>
    <w:rsid w:val="00276480"/>
    <w:rsid w:val="00276B27"/>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EED"/>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7CE6"/>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8A8"/>
    <w:rsid w:val="003B4DAD"/>
    <w:rsid w:val="003B52F2"/>
    <w:rsid w:val="003B6084"/>
    <w:rsid w:val="003B6329"/>
    <w:rsid w:val="003B6BEC"/>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3C42"/>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4566"/>
    <w:rsid w:val="00435208"/>
    <w:rsid w:val="0043677F"/>
    <w:rsid w:val="0043717E"/>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BB7"/>
    <w:rsid w:val="00486EB3"/>
    <w:rsid w:val="00487778"/>
    <w:rsid w:val="00487AAD"/>
    <w:rsid w:val="00491CAF"/>
    <w:rsid w:val="00492A82"/>
    <w:rsid w:val="00492FC6"/>
    <w:rsid w:val="0049468A"/>
    <w:rsid w:val="00495DAB"/>
    <w:rsid w:val="004A0AF4"/>
    <w:rsid w:val="004A0FC9"/>
    <w:rsid w:val="004A5537"/>
    <w:rsid w:val="004A7935"/>
    <w:rsid w:val="004B05C9"/>
    <w:rsid w:val="004B2117"/>
    <w:rsid w:val="004B493F"/>
    <w:rsid w:val="004B50D6"/>
    <w:rsid w:val="004B603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59B"/>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41E"/>
    <w:rsid w:val="00575CF4"/>
    <w:rsid w:val="00582823"/>
    <w:rsid w:val="00583212"/>
    <w:rsid w:val="00585D8F"/>
    <w:rsid w:val="00586072"/>
    <w:rsid w:val="0058644C"/>
    <w:rsid w:val="005868C2"/>
    <w:rsid w:val="00587F10"/>
    <w:rsid w:val="00591351"/>
    <w:rsid w:val="00591B84"/>
    <w:rsid w:val="00594195"/>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3BC"/>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266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27F0"/>
    <w:rsid w:val="006548B7"/>
    <w:rsid w:val="00654B3B"/>
    <w:rsid w:val="00656882"/>
    <w:rsid w:val="006568BC"/>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0F0F"/>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4D"/>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1817"/>
    <w:rsid w:val="007E21DF"/>
    <w:rsid w:val="007E2501"/>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2243"/>
    <w:rsid w:val="0087408A"/>
    <w:rsid w:val="00875ABA"/>
    <w:rsid w:val="008771D6"/>
    <w:rsid w:val="008776B0"/>
    <w:rsid w:val="0088012D"/>
    <w:rsid w:val="00880858"/>
    <w:rsid w:val="00881C47"/>
    <w:rsid w:val="008831D9"/>
    <w:rsid w:val="00883E1F"/>
    <w:rsid w:val="00884237"/>
    <w:rsid w:val="00885C3A"/>
    <w:rsid w:val="00887583"/>
    <w:rsid w:val="00887B2A"/>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4B77"/>
    <w:rsid w:val="008F67B2"/>
    <w:rsid w:val="00903A59"/>
    <w:rsid w:val="00904D91"/>
    <w:rsid w:val="00905004"/>
    <w:rsid w:val="009057D2"/>
    <w:rsid w:val="00905A7F"/>
    <w:rsid w:val="00906247"/>
    <w:rsid w:val="009064A2"/>
    <w:rsid w:val="009072E8"/>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B04"/>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24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3D5D"/>
    <w:rsid w:val="009C43D1"/>
    <w:rsid w:val="009C5608"/>
    <w:rsid w:val="009C59A6"/>
    <w:rsid w:val="009C64A5"/>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168A"/>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391F"/>
    <w:rsid w:val="00A74E09"/>
    <w:rsid w:val="00A75655"/>
    <w:rsid w:val="00A809AC"/>
    <w:rsid w:val="00A80E2F"/>
    <w:rsid w:val="00A81018"/>
    <w:rsid w:val="00A841CC"/>
    <w:rsid w:val="00A844CE"/>
    <w:rsid w:val="00A84FE2"/>
    <w:rsid w:val="00A85DE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F29"/>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5B4"/>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89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DA1"/>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5D1"/>
    <w:rsid w:val="00B96C04"/>
    <w:rsid w:val="00BA06B3"/>
    <w:rsid w:val="00BA32BA"/>
    <w:rsid w:val="00BA32CA"/>
    <w:rsid w:val="00BA477A"/>
    <w:rsid w:val="00BA6C7C"/>
    <w:rsid w:val="00BA7016"/>
    <w:rsid w:val="00BA787B"/>
    <w:rsid w:val="00BB20F2"/>
    <w:rsid w:val="00BB319E"/>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D7F7C"/>
    <w:rsid w:val="00BE180E"/>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A2"/>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3FD"/>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343"/>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2530"/>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0FCC"/>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BD0"/>
    <w:rsid w:val="00E318FB"/>
    <w:rsid w:val="00E31C35"/>
    <w:rsid w:val="00E328D5"/>
    <w:rsid w:val="00E332E8"/>
    <w:rsid w:val="00E33B8F"/>
    <w:rsid w:val="00E34CFD"/>
    <w:rsid w:val="00E37786"/>
    <w:rsid w:val="00E40373"/>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88"/>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A8A"/>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E7E93"/>
    <w:rsid w:val="00EF214A"/>
    <w:rsid w:val="00EF34D3"/>
    <w:rsid w:val="00EF38CF"/>
    <w:rsid w:val="00EF3C89"/>
    <w:rsid w:val="00EF6B9E"/>
    <w:rsid w:val="00F02F18"/>
    <w:rsid w:val="00F0308F"/>
    <w:rsid w:val="00F047A1"/>
    <w:rsid w:val="00F04926"/>
    <w:rsid w:val="00F04FF6"/>
    <w:rsid w:val="00F0504C"/>
    <w:rsid w:val="00F100D0"/>
    <w:rsid w:val="00F109FC"/>
    <w:rsid w:val="00F1204F"/>
    <w:rsid w:val="00F13775"/>
    <w:rsid w:val="00F13905"/>
    <w:rsid w:val="00F13D95"/>
    <w:rsid w:val="00F154AA"/>
    <w:rsid w:val="00F158D5"/>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7F2F"/>
    <w:rsid w:val="00FC11FE"/>
    <w:rsid w:val="00FC18E0"/>
    <w:rsid w:val="00FC19AE"/>
    <w:rsid w:val="00FC20C3"/>
    <w:rsid w:val="00FC29BA"/>
    <w:rsid w:val="00FC3B63"/>
    <w:rsid w:val="00FC3E02"/>
    <w:rsid w:val="00FC5CFA"/>
    <w:rsid w:val="00FC64E4"/>
    <w:rsid w:val="00FD2E4B"/>
    <w:rsid w:val="00FD50C9"/>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5B4"/>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880D-C582-42D3-B9EE-1F17E925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10757</TotalTime>
  <Pages>8</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30677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120</cp:revision>
  <cp:lastPrinted>2010-05-04T03:47:00Z</cp:lastPrinted>
  <dcterms:created xsi:type="dcterms:W3CDTF">2018-07-11T18:28:00Z</dcterms:created>
  <dcterms:modified xsi:type="dcterms:W3CDTF">2019-03-08T17:25:00Z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