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B97AB0" w:rsidRDefault="00B97AB0" w:rsidP="00B97AB0">
            <w:pPr>
              <w:pStyle w:val="T2"/>
              <w:spacing w:after="120"/>
            </w:pPr>
            <w:r>
              <w:t xml:space="preserve">Additional </w:t>
            </w:r>
            <w:r w:rsidR="00947D4B" w:rsidRPr="00947D4B">
              <w:t xml:space="preserve">REVmd LB236 </w:t>
            </w:r>
          </w:p>
          <w:p w:rsidR="00CA09B2" w:rsidRDefault="00947D4B" w:rsidP="00B97AB0">
            <w:pPr>
              <w:pStyle w:val="T2"/>
              <w:spacing w:after="120"/>
            </w:pPr>
            <w:r w:rsidRPr="00947D4B">
              <w:t>EDITOR2 ad-hoc related comment resolutions</w:t>
            </w:r>
          </w:p>
        </w:tc>
      </w:tr>
      <w:tr w:rsidR="00CA09B2" w:rsidTr="00A525F0">
        <w:trPr>
          <w:trHeight w:val="359"/>
          <w:jc w:val="center"/>
        </w:trPr>
        <w:tc>
          <w:tcPr>
            <w:tcW w:w="9576" w:type="dxa"/>
            <w:gridSpan w:val="5"/>
            <w:vAlign w:val="center"/>
          </w:tcPr>
          <w:p w:rsidR="00CA09B2" w:rsidRPr="00977061" w:rsidRDefault="00CA09B2" w:rsidP="00602B07">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602B07">
              <w:rPr>
                <w:b w:val="0"/>
                <w:sz w:val="24"/>
                <w:szCs w:val="24"/>
              </w:rPr>
              <w:t>22</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543D4C"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B97AB0">
        <w:rPr>
          <w:rFonts w:ascii="Times New Roman" w:hAnsi="Times New Roman"/>
          <w:b w:val="0"/>
          <w:i w:val="0"/>
          <w:sz w:val="24"/>
          <w:szCs w:val="24"/>
        </w:rPr>
        <w:t xml:space="preserve"> </w:t>
      </w:r>
      <w:r w:rsidR="007847D4" w:rsidRPr="004C536A">
        <w:rPr>
          <w:rFonts w:ascii="Times New Roman" w:hAnsi="Times New Roman"/>
          <w:b w:val="0"/>
          <w:i w:val="0"/>
          <w:sz w:val="24"/>
          <w:szCs w:val="24"/>
          <w:highlight w:val="green"/>
        </w:rPr>
        <w:t xml:space="preserve">2095, 2096, </w:t>
      </w:r>
      <w:r w:rsidR="002A6E4D" w:rsidRPr="004C536A">
        <w:rPr>
          <w:rFonts w:ascii="Times New Roman" w:hAnsi="Times New Roman"/>
          <w:b w:val="0"/>
          <w:i w:val="0"/>
          <w:sz w:val="24"/>
          <w:szCs w:val="24"/>
          <w:highlight w:val="green"/>
        </w:rPr>
        <w:t>2659</w:t>
      </w:r>
      <w:r w:rsidR="007847D4">
        <w:rPr>
          <w:rFonts w:ascii="Times New Roman" w:hAnsi="Times New Roman"/>
          <w:b w:val="0"/>
          <w:i w:val="0"/>
          <w:sz w:val="24"/>
          <w:szCs w:val="24"/>
        </w:rPr>
        <w:t>, and 2222</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Default="00EA5ED4" w:rsidP="002152A4">
      <w:pPr>
        <w:rPr>
          <w:sz w:val="24"/>
          <w:szCs w:val="24"/>
        </w:rPr>
      </w:pPr>
      <w:r>
        <w:rPr>
          <w:sz w:val="24"/>
          <w:szCs w:val="24"/>
        </w:rPr>
        <w:t>R1 – CID 2013 is pulled out for further discussion.</w:t>
      </w:r>
    </w:p>
    <w:p w:rsidR="004C536A" w:rsidRPr="00892346" w:rsidRDefault="004C536A" w:rsidP="002152A4">
      <w:pPr>
        <w:rPr>
          <w:sz w:val="24"/>
          <w:szCs w:val="24"/>
        </w:rPr>
      </w:pPr>
      <w:r>
        <w:rPr>
          <w:sz w:val="24"/>
          <w:szCs w:val="24"/>
        </w:rPr>
        <w:t>R2 – CIDs 2041 and 2042 are pulled out and transferred to PHY.  Resolution for CID 2095 is updated.</w:t>
      </w: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97E"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sz w:val="24"/>
                <w:szCs w:val="24"/>
                <w:lang w:val="en-US"/>
              </w:rPr>
            </w:pPr>
            <w:r w:rsidRPr="001E491B">
              <w:rPr>
                <w:sz w:val="24"/>
                <w:szCs w:val="24"/>
                <w:lang w:val="en-US"/>
              </w:rPr>
              <w:t>Proposed Change</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2095</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10.43.6.4.4</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2028</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17</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Change the following instances of "that has received" to "that receives": 10.43.6.4.4 (P2028L17 and P2028L40), 11.2.7.3.3 (P2187L29).</w:t>
            </w:r>
          </w:p>
        </w:tc>
        <w:tc>
          <w:tcPr>
            <w:tcW w:w="1745" w:type="pct"/>
            <w:shd w:val="clear" w:color="auto" w:fill="auto"/>
          </w:tcPr>
          <w:p w:rsidR="00C8497E" w:rsidRPr="00C8497E" w:rsidRDefault="00C8497E" w:rsidP="00C8497E">
            <w:pPr>
              <w:rPr>
                <w:sz w:val="24"/>
                <w:szCs w:val="24"/>
                <w:lang w:val="en-US"/>
              </w:rPr>
            </w:pPr>
            <w:r w:rsidRPr="00C8497E">
              <w:rPr>
                <w:sz w:val="24"/>
                <w:szCs w:val="24"/>
                <w:lang w:val="en-US"/>
              </w:rPr>
              <w:t>As suggested, first one listed only.</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Note we have many instances of "that has received", which are correctly used to indicate reception is a first-stage condition before another condition (often another reception) that the sentence is describing next (often in the format "that has received x and that receives y"), e.g.,</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"A STA that has received a PSMP frame and that receives a QoS Data frame with the Ack Policy field equal to PSMP Ack or that receives a Basic BlockAckReq or Multi-TID BlockAckReq frame shall transmit a Basic BlockAck frame or Multi-TID BlockAck frame..."</w:t>
            </w:r>
          </w:p>
          <w:p w:rsidR="00C8497E" w:rsidRPr="00C8497E" w:rsidRDefault="00C8497E" w:rsidP="00C8497E">
            <w:pPr>
              <w:rPr>
                <w:sz w:val="24"/>
                <w:szCs w:val="24"/>
                <w:lang w:val="en-US"/>
              </w:rPr>
            </w:pPr>
          </w:p>
          <w:p w:rsidR="00C8497E" w:rsidRPr="001E491B" w:rsidRDefault="00C8497E" w:rsidP="00C8497E">
            <w:pPr>
              <w:rPr>
                <w:sz w:val="24"/>
                <w:szCs w:val="24"/>
                <w:lang w:val="en-US"/>
              </w:rPr>
            </w:pPr>
            <w:r w:rsidRPr="00C8497E">
              <w:rPr>
                <w:sz w:val="24"/>
                <w:szCs w:val="24"/>
                <w:lang w:val="en-US"/>
              </w:rPr>
              <w:t>When reception is stated not as a first-stage condition to a second reception or similar, "that receives" is preferred.</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2096</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11.22.7.3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2353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29</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Normative language; change "that has received" to "that receives"</w:t>
            </w:r>
          </w:p>
        </w:tc>
        <w:tc>
          <w:tcPr>
            <w:tcW w:w="1745" w:type="pct"/>
            <w:shd w:val="clear" w:color="auto" w:fill="auto"/>
          </w:tcPr>
          <w:p w:rsidR="00C8497E" w:rsidRPr="001E491B" w:rsidRDefault="00C8497E" w:rsidP="005111DB">
            <w:pPr>
              <w:rPr>
                <w:sz w:val="24"/>
                <w:szCs w:val="24"/>
                <w:lang w:val="en-US"/>
              </w:rPr>
            </w:pPr>
            <w:r w:rsidRPr="00C8497E">
              <w:rPr>
                <w:sz w:val="24"/>
                <w:szCs w:val="24"/>
                <w:lang w:val="en-US"/>
              </w:rPr>
              <w:t>Change "A non-AP STA's SME that has received an MLME-BTM.indication primitive forwards the MLME-BTM.indication parameters to ..." to "A non-AP STA's SME that receives an MLME-BTM.indication primitive shall forward the MLME-BTM.indication parameters to ..."</w:t>
            </w:r>
          </w:p>
        </w:tc>
      </w:tr>
    </w:tbl>
    <w:p w:rsidR="00733D2E" w:rsidRDefault="00733D2E" w:rsidP="00733D2E">
      <w:pPr>
        <w:spacing w:after="240"/>
        <w:jc w:val="both"/>
        <w:rPr>
          <w:sz w:val="24"/>
          <w:szCs w:val="24"/>
        </w:rPr>
      </w:pPr>
    </w:p>
    <w:p w:rsidR="00C8497E" w:rsidRDefault="00C8497E">
      <w:pPr>
        <w:rPr>
          <w:b/>
          <w:i/>
          <w:sz w:val="24"/>
          <w:szCs w:val="24"/>
        </w:rPr>
      </w:pPr>
      <w:r>
        <w:rPr>
          <w:b/>
          <w:i/>
          <w:sz w:val="24"/>
          <w:szCs w:val="24"/>
        </w:rPr>
        <w:br w:type="page"/>
      </w:r>
    </w:p>
    <w:p w:rsidR="00C8497E" w:rsidRPr="00C8497E" w:rsidRDefault="00C8497E" w:rsidP="00C8497E">
      <w:pPr>
        <w:spacing w:after="240"/>
        <w:jc w:val="both"/>
        <w:rPr>
          <w:b/>
          <w:i/>
          <w:sz w:val="24"/>
          <w:szCs w:val="24"/>
        </w:rPr>
      </w:pPr>
      <w:r w:rsidRPr="00C8497E">
        <w:rPr>
          <w:b/>
          <w:i/>
          <w:sz w:val="24"/>
          <w:szCs w:val="24"/>
        </w:rPr>
        <w:lastRenderedPageBreak/>
        <w:t>Discussion:</w:t>
      </w:r>
    </w:p>
    <w:p w:rsidR="00733D2E" w:rsidRPr="00C8497E" w:rsidRDefault="00C8497E" w:rsidP="00113C94">
      <w:pPr>
        <w:jc w:val="both"/>
        <w:rPr>
          <w:sz w:val="24"/>
          <w:szCs w:val="24"/>
        </w:rPr>
      </w:pPr>
      <w:r w:rsidRPr="00C8497E">
        <w:rPr>
          <w:sz w:val="24"/>
          <w:szCs w:val="24"/>
        </w:rPr>
        <w:t>Per the note as provided by the commenter in his proposed change:</w:t>
      </w:r>
    </w:p>
    <w:p w:rsidR="00C8497E" w:rsidRPr="00C8497E" w:rsidRDefault="00C8497E" w:rsidP="00113C94">
      <w:pPr>
        <w:jc w:val="both"/>
        <w:rPr>
          <w:sz w:val="24"/>
          <w:szCs w:val="24"/>
        </w:rPr>
      </w:pPr>
    </w:p>
    <w:p w:rsidR="00C8497E" w:rsidRPr="004209E8" w:rsidRDefault="00C8497E" w:rsidP="00113C94">
      <w:pPr>
        <w:jc w:val="both"/>
        <w:rPr>
          <w:i/>
          <w:sz w:val="24"/>
          <w:szCs w:val="24"/>
          <w:lang w:val="en-US"/>
        </w:rPr>
      </w:pPr>
      <w:r w:rsidRPr="004209E8">
        <w:rPr>
          <w:i/>
          <w:sz w:val="24"/>
          <w:szCs w:val="24"/>
          <w:lang w:val="en-US"/>
        </w:rPr>
        <w:t xml:space="preserve">Note we have many instances of </w:t>
      </w:r>
      <w:r w:rsidR="00113C94" w:rsidRPr="004209E8">
        <w:rPr>
          <w:i/>
          <w:sz w:val="24"/>
          <w:szCs w:val="24"/>
          <w:lang w:val="en-US"/>
        </w:rPr>
        <w:t>“that has received”</w:t>
      </w:r>
      <w:r w:rsidRPr="004209E8">
        <w:rPr>
          <w:i/>
          <w:sz w:val="24"/>
          <w:szCs w:val="24"/>
          <w:lang w:val="en-US"/>
        </w:rPr>
        <w:t>, which are correctly used to indicate reception is a first-stage condition before another condition (often another reception) that the sentence is describing next (oft</w:t>
      </w:r>
      <w:r w:rsidR="00113C94" w:rsidRPr="004209E8">
        <w:rPr>
          <w:i/>
          <w:sz w:val="24"/>
          <w:szCs w:val="24"/>
          <w:lang w:val="en-US"/>
        </w:rPr>
        <w:t>en in the format “</w:t>
      </w:r>
      <w:r w:rsidRPr="004209E8">
        <w:rPr>
          <w:i/>
          <w:sz w:val="24"/>
          <w:szCs w:val="24"/>
          <w:lang w:val="en-US"/>
        </w:rPr>
        <w:t>that has</w:t>
      </w:r>
      <w:r w:rsidR="00113C94" w:rsidRPr="004209E8">
        <w:rPr>
          <w:i/>
          <w:sz w:val="24"/>
          <w:szCs w:val="24"/>
          <w:lang w:val="en-US"/>
        </w:rPr>
        <w:t xml:space="preserve"> received x and that receives y”</w:t>
      </w:r>
      <w:r w:rsidRPr="004209E8">
        <w:rPr>
          <w:i/>
          <w:sz w:val="24"/>
          <w:szCs w:val="24"/>
          <w:lang w:val="en-US"/>
        </w:rPr>
        <w:t>), e.g.,</w:t>
      </w:r>
    </w:p>
    <w:p w:rsidR="00C8497E" w:rsidRPr="004209E8" w:rsidRDefault="00C8497E" w:rsidP="00113C94">
      <w:pPr>
        <w:jc w:val="both"/>
        <w:rPr>
          <w:i/>
          <w:sz w:val="24"/>
          <w:szCs w:val="24"/>
          <w:lang w:val="en-US"/>
        </w:rPr>
      </w:pPr>
    </w:p>
    <w:p w:rsidR="00C8497E" w:rsidRPr="004209E8" w:rsidRDefault="00113C94" w:rsidP="00113C94">
      <w:pPr>
        <w:jc w:val="both"/>
        <w:rPr>
          <w:i/>
          <w:sz w:val="24"/>
          <w:szCs w:val="24"/>
          <w:lang w:val="en-US"/>
        </w:rPr>
      </w:pPr>
      <w:r w:rsidRPr="004209E8">
        <w:rPr>
          <w:i/>
          <w:sz w:val="24"/>
          <w:szCs w:val="24"/>
          <w:lang w:val="en-US"/>
        </w:rPr>
        <w:t>“</w:t>
      </w:r>
      <w:r w:rsidR="00C8497E" w:rsidRPr="004209E8">
        <w:rPr>
          <w:i/>
          <w:sz w:val="24"/>
          <w:szCs w:val="24"/>
          <w:lang w:val="en-US"/>
        </w:rPr>
        <w:t>A STA that has received a PSMP frame and that receives a QoS Data frame with the Ack Policy field equal to PSMP Ack or that receives a Basic BlockAckReq or Multi-TID BlockAckReq frame shall transmit a Basic BlockAck frame</w:t>
      </w:r>
      <w:r w:rsidRPr="004209E8">
        <w:rPr>
          <w:i/>
          <w:sz w:val="24"/>
          <w:szCs w:val="24"/>
          <w:lang w:val="en-US"/>
        </w:rPr>
        <w:t xml:space="preserve"> or Multi-TID BlockAck frame...”</w:t>
      </w:r>
    </w:p>
    <w:p w:rsidR="00C8497E" w:rsidRPr="004209E8" w:rsidRDefault="00C8497E" w:rsidP="00113C94">
      <w:pPr>
        <w:jc w:val="both"/>
        <w:rPr>
          <w:i/>
          <w:sz w:val="24"/>
          <w:szCs w:val="24"/>
          <w:lang w:val="en-US"/>
        </w:rPr>
      </w:pPr>
    </w:p>
    <w:p w:rsidR="00C8497E" w:rsidRPr="004209E8" w:rsidRDefault="00C8497E" w:rsidP="00113C94">
      <w:pPr>
        <w:jc w:val="both"/>
        <w:rPr>
          <w:i/>
          <w:sz w:val="24"/>
          <w:szCs w:val="24"/>
          <w:lang w:val="en-US"/>
        </w:rPr>
      </w:pPr>
      <w:r w:rsidRPr="004209E8">
        <w:rPr>
          <w:i/>
          <w:sz w:val="24"/>
          <w:szCs w:val="24"/>
          <w:lang w:val="en-US"/>
        </w:rPr>
        <w:t xml:space="preserve">When reception is stated not as a first-stage condition to </w:t>
      </w:r>
      <w:r w:rsidR="00113C94" w:rsidRPr="004209E8">
        <w:rPr>
          <w:i/>
          <w:sz w:val="24"/>
          <w:szCs w:val="24"/>
          <w:lang w:val="en-US"/>
        </w:rPr>
        <w:t>a second reception or similar, “that receives”</w:t>
      </w:r>
      <w:r w:rsidRPr="004209E8">
        <w:rPr>
          <w:i/>
          <w:sz w:val="24"/>
          <w:szCs w:val="24"/>
          <w:lang w:val="en-US"/>
        </w:rPr>
        <w:t xml:space="preserve"> is preferred.</w:t>
      </w:r>
    </w:p>
    <w:p w:rsidR="00C8497E" w:rsidRPr="004209E8" w:rsidRDefault="00C8497E" w:rsidP="00113C94">
      <w:pPr>
        <w:jc w:val="both"/>
        <w:rPr>
          <w:i/>
          <w:sz w:val="24"/>
          <w:szCs w:val="24"/>
          <w:lang w:val="en-US"/>
        </w:rPr>
      </w:pPr>
    </w:p>
    <w:p w:rsidR="00C8497E" w:rsidRDefault="00B915FA" w:rsidP="00C8497E">
      <w:pPr>
        <w:spacing w:after="240"/>
        <w:jc w:val="both"/>
        <w:rPr>
          <w:sz w:val="24"/>
          <w:szCs w:val="24"/>
        </w:rPr>
      </w:pPr>
      <w:r>
        <w:rPr>
          <w:sz w:val="24"/>
          <w:szCs w:val="24"/>
        </w:rPr>
        <w:t>There are 9 instances of “that has received” in D2.1.</w:t>
      </w:r>
    </w:p>
    <w:p w:rsidR="00B915FA" w:rsidRDefault="004209E8" w:rsidP="00C8497E">
      <w:pPr>
        <w:spacing w:after="240"/>
        <w:jc w:val="both"/>
        <w:rPr>
          <w:sz w:val="24"/>
          <w:szCs w:val="24"/>
        </w:rPr>
      </w:pPr>
      <w:r>
        <w:rPr>
          <w:sz w:val="24"/>
          <w:szCs w:val="24"/>
        </w:rPr>
        <w:t>[1]  773.50 in clause 9.2.2 (Conventions)</w:t>
      </w:r>
    </w:p>
    <w:p w:rsidR="004209E8" w:rsidRPr="00FF27E2" w:rsidRDefault="004209E8" w:rsidP="00C8497E">
      <w:pPr>
        <w:spacing w:after="240"/>
        <w:jc w:val="both"/>
        <w:rPr>
          <w:sz w:val="24"/>
          <w:szCs w:val="24"/>
        </w:rPr>
      </w:pPr>
      <w:r w:rsidRPr="004209E8">
        <w:rPr>
          <w:noProof/>
          <w:sz w:val="24"/>
          <w:szCs w:val="24"/>
          <w:lang w:val="en-US" w:eastAsia="zh-CN"/>
        </w:rPr>
        <w:drawing>
          <wp:inline distT="0" distB="0" distL="0" distR="0">
            <wp:extent cx="6400800" cy="9762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76277"/>
                    </a:xfrm>
                    <a:prstGeom prst="rect">
                      <a:avLst/>
                    </a:prstGeom>
                    <a:noFill/>
                    <a:ln>
                      <a:noFill/>
                    </a:ln>
                  </pic:spPr>
                </pic:pic>
              </a:graphicData>
            </a:graphic>
          </wp:inline>
        </w:drawing>
      </w:r>
    </w:p>
    <w:p w:rsidR="00C8497E" w:rsidRDefault="004209E8" w:rsidP="00C8497E">
      <w:pPr>
        <w:rPr>
          <w:sz w:val="24"/>
          <w:szCs w:val="24"/>
        </w:rPr>
      </w:pPr>
      <w:r>
        <w:rPr>
          <w:sz w:val="24"/>
          <w:szCs w:val="24"/>
        </w:rPr>
        <w:t xml:space="preserve">This is a </w:t>
      </w:r>
      <w:r w:rsidR="00293EA8">
        <w:rPr>
          <w:sz w:val="24"/>
          <w:szCs w:val="24"/>
        </w:rPr>
        <w:t xml:space="preserve">declarative </w:t>
      </w:r>
      <w:r>
        <w:rPr>
          <w:sz w:val="24"/>
          <w:szCs w:val="24"/>
        </w:rPr>
        <w:t>description about the convention being used in the standards.  No change is needed.</w:t>
      </w:r>
    </w:p>
    <w:p w:rsidR="004209E8" w:rsidRDefault="004209E8" w:rsidP="00C8497E">
      <w:pPr>
        <w:rPr>
          <w:sz w:val="24"/>
          <w:szCs w:val="24"/>
        </w:rPr>
      </w:pPr>
    </w:p>
    <w:p w:rsidR="004209E8" w:rsidRDefault="004209E8" w:rsidP="00C8497E">
      <w:pPr>
        <w:rPr>
          <w:sz w:val="24"/>
          <w:szCs w:val="24"/>
        </w:rPr>
      </w:pPr>
      <w:r>
        <w:rPr>
          <w:sz w:val="24"/>
          <w:szCs w:val="24"/>
        </w:rPr>
        <w:t xml:space="preserve">[2]  </w:t>
      </w:r>
      <w:r w:rsidR="004A1769">
        <w:rPr>
          <w:sz w:val="24"/>
          <w:szCs w:val="24"/>
        </w:rPr>
        <w:t>1710.30, clause 10.3.2.9 (CTS and DMS CTS procedure)</w:t>
      </w:r>
    </w:p>
    <w:p w:rsidR="004A1769" w:rsidRDefault="004A1769" w:rsidP="00C8497E">
      <w:pPr>
        <w:rPr>
          <w:sz w:val="24"/>
          <w:szCs w:val="24"/>
        </w:rPr>
      </w:pPr>
    </w:p>
    <w:p w:rsidR="004A1769" w:rsidRDefault="004A1769" w:rsidP="00C8497E">
      <w:pPr>
        <w:rPr>
          <w:sz w:val="24"/>
          <w:szCs w:val="24"/>
        </w:rPr>
      </w:pPr>
      <w:r w:rsidRPr="004A1769">
        <w:rPr>
          <w:noProof/>
          <w:sz w:val="24"/>
          <w:szCs w:val="24"/>
          <w:lang w:val="en-US" w:eastAsia="zh-CN"/>
        </w:rPr>
        <w:drawing>
          <wp:inline distT="0" distB="0" distL="0" distR="0">
            <wp:extent cx="6400800" cy="16018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601897"/>
                    </a:xfrm>
                    <a:prstGeom prst="rect">
                      <a:avLst/>
                    </a:prstGeom>
                    <a:noFill/>
                    <a:ln>
                      <a:noFill/>
                    </a:ln>
                  </pic:spPr>
                </pic:pic>
              </a:graphicData>
            </a:graphic>
          </wp:inline>
        </w:drawing>
      </w:r>
    </w:p>
    <w:p w:rsidR="00F64DEA" w:rsidRDefault="00F64DEA" w:rsidP="00C8497E">
      <w:pPr>
        <w:rPr>
          <w:sz w:val="24"/>
          <w:szCs w:val="24"/>
          <w:lang w:val="en-US"/>
        </w:rPr>
      </w:pPr>
    </w:p>
    <w:p w:rsidR="00F64DEA" w:rsidRDefault="00F64DEA" w:rsidP="00C8497E">
      <w:pPr>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RTS frame</w:t>
      </w:r>
      <w:r w:rsidRPr="00F64DEA">
        <w:rPr>
          <w:sz w:val="24"/>
          <w:szCs w:val="24"/>
          <w:lang w:val="en-US"/>
        </w:rPr>
        <w:t xml:space="preserve"> is stated as a condition</w:t>
      </w:r>
      <w:r w:rsidR="008322E1">
        <w:rPr>
          <w:sz w:val="24"/>
          <w:szCs w:val="24"/>
          <w:lang w:val="en-US"/>
        </w:rPr>
        <w:t xml:space="preserve"> before another condition (i.e., the status of NAV and CCA)</w:t>
      </w:r>
      <w:r>
        <w:rPr>
          <w:sz w:val="24"/>
          <w:szCs w:val="24"/>
          <w:lang w:val="en-US"/>
        </w:rPr>
        <w:t>.  No change is needed.</w:t>
      </w:r>
    </w:p>
    <w:p w:rsidR="00F64DEA" w:rsidRDefault="00F64DEA" w:rsidP="00C8497E">
      <w:pPr>
        <w:rPr>
          <w:sz w:val="24"/>
          <w:szCs w:val="24"/>
          <w:lang w:val="en-US"/>
        </w:rPr>
      </w:pPr>
    </w:p>
    <w:p w:rsidR="00D825C7" w:rsidRDefault="00D825C7">
      <w:pPr>
        <w:rPr>
          <w:sz w:val="24"/>
          <w:szCs w:val="24"/>
          <w:lang w:val="en-US"/>
        </w:rPr>
      </w:pPr>
      <w:r>
        <w:rPr>
          <w:sz w:val="24"/>
          <w:szCs w:val="24"/>
          <w:lang w:val="en-US"/>
        </w:rPr>
        <w:br w:type="page"/>
      </w:r>
    </w:p>
    <w:p w:rsidR="00F64DEA" w:rsidRDefault="00F64DEA" w:rsidP="00C8497E">
      <w:pPr>
        <w:rPr>
          <w:sz w:val="24"/>
          <w:szCs w:val="24"/>
          <w:lang w:val="en-US"/>
        </w:rPr>
      </w:pPr>
      <w:r>
        <w:rPr>
          <w:sz w:val="24"/>
          <w:szCs w:val="24"/>
          <w:lang w:val="en-US"/>
        </w:rPr>
        <w:lastRenderedPageBreak/>
        <w:t xml:space="preserve">[3]  </w:t>
      </w:r>
      <w:r w:rsidR="00D825C7">
        <w:rPr>
          <w:sz w:val="24"/>
          <w:szCs w:val="24"/>
          <w:lang w:val="en-US"/>
        </w:rPr>
        <w:t>1888.16, clause 10.31.2.7 (PSMP acknowledgment rules)</w:t>
      </w:r>
    </w:p>
    <w:p w:rsidR="00D825C7" w:rsidRDefault="00D825C7" w:rsidP="00C8497E">
      <w:pPr>
        <w:rPr>
          <w:sz w:val="24"/>
          <w:szCs w:val="24"/>
          <w:lang w:val="en-US"/>
        </w:rPr>
      </w:pPr>
    </w:p>
    <w:p w:rsidR="00D825C7" w:rsidRDefault="00D825C7" w:rsidP="00C8497E">
      <w:pPr>
        <w:rPr>
          <w:sz w:val="24"/>
          <w:szCs w:val="24"/>
        </w:rPr>
      </w:pPr>
      <w:r w:rsidRPr="00D825C7">
        <w:rPr>
          <w:noProof/>
          <w:sz w:val="24"/>
          <w:szCs w:val="24"/>
          <w:lang w:val="en-US" w:eastAsia="zh-CN"/>
        </w:rPr>
        <w:drawing>
          <wp:inline distT="0" distB="0" distL="0" distR="0">
            <wp:extent cx="6400800" cy="149922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99225"/>
                    </a:xfrm>
                    <a:prstGeom prst="rect">
                      <a:avLst/>
                    </a:prstGeom>
                    <a:noFill/>
                    <a:ln>
                      <a:noFill/>
                    </a:ln>
                  </pic:spPr>
                </pic:pic>
              </a:graphicData>
            </a:graphic>
          </wp:inline>
        </w:drawing>
      </w:r>
    </w:p>
    <w:p w:rsidR="00D825C7" w:rsidRDefault="00D825C7" w:rsidP="00D825C7">
      <w:pPr>
        <w:rPr>
          <w:sz w:val="24"/>
          <w:szCs w:val="24"/>
          <w:lang w:val="en-US"/>
        </w:rPr>
      </w:pPr>
    </w:p>
    <w:p w:rsidR="00D825C7" w:rsidRDefault="00D825C7"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PSMP frame</w:t>
      </w:r>
      <w:r w:rsidRPr="00F64DEA">
        <w:rPr>
          <w:sz w:val="24"/>
          <w:szCs w:val="24"/>
          <w:lang w:val="en-US"/>
        </w:rPr>
        <w:t xml:space="preserve"> is stated as a first-stage condition</w:t>
      </w:r>
      <w:r w:rsidR="00135866">
        <w:rPr>
          <w:sz w:val="24"/>
          <w:szCs w:val="24"/>
          <w:lang w:val="en-US"/>
        </w:rPr>
        <w:t xml:space="preserve"> before the second condition (i.e., the STA receives a QoS Data frame)</w:t>
      </w:r>
      <w:r>
        <w:rPr>
          <w:sz w:val="24"/>
          <w:szCs w:val="24"/>
          <w:lang w:val="en-US"/>
        </w:rPr>
        <w:t>.  No change is needed.</w:t>
      </w:r>
    </w:p>
    <w:p w:rsidR="00D825C7" w:rsidRDefault="00D825C7" w:rsidP="00C8497E">
      <w:pPr>
        <w:rPr>
          <w:sz w:val="24"/>
          <w:szCs w:val="24"/>
        </w:rPr>
      </w:pPr>
    </w:p>
    <w:p w:rsidR="00563F92" w:rsidRDefault="00563F92" w:rsidP="00C8497E">
      <w:pPr>
        <w:rPr>
          <w:sz w:val="24"/>
          <w:szCs w:val="24"/>
        </w:rPr>
      </w:pPr>
      <w:r>
        <w:rPr>
          <w:sz w:val="24"/>
          <w:szCs w:val="24"/>
        </w:rPr>
        <w:t xml:space="preserve">[4]  </w:t>
      </w:r>
      <w:r w:rsidR="00DA71EB">
        <w:rPr>
          <w:sz w:val="24"/>
          <w:szCs w:val="24"/>
        </w:rPr>
        <w:t>1922.18, clause 10.37.1 (HT NDP sounding protocol)</w:t>
      </w:r>
    </w:p>
    <w:p w:rsidR="00DA71EB" w:rsidRDefault="00DA71EB" w:rsidP="00C8497E">
      <w:pPr>
        <w:rPr>
          <w:sz w:val="24"/>
          <w:szCs w:val="24"/>
        </w:rPr>
      </w:pPr>
    </w:p>
    <w:p w:rsidR="00DA71EB" w:rsidRDefault="0094175C" w:rsidP="00C8497E">
      <w:pPr>
        <w:rPr>
          <w:sz w:val="24"/>
          <w:szCs w:val="24"/>
        </w:rPr>
      </w:pPr>
      <w:r w:rsidRPr="0094175C">
        <w:rPr>
          <w:noProof/>
          <w:sz w:val="24"/>
          <w:szCs w:val="24"/>
          <w:lang w:val="en-US" w:eastAsia="zh-CN"/>
        </w:rPr>
        <w:drawing>
          <wp:inline distT="0" distB="0" distL="0" distR="0">
            <wp:extent cx="6400800" cy="71949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19496"/>
                    </a:xfrm>
                    <a:prstGeom prst="rect">
                      <a:avLst/>
                    </a:prstGeom>
                    <a:noFill/>
                    <a:ln>
                      <a:noFill/>
                    </a:ln>
                  </pic:spPr>
                </pic:pic>
              </a:graphicData>
            </a:graphic>
          </wp:inline>
        </w:drawing>
      </w:r>
    </w:p>
    <w:p w:rsidR="0094175C" w:rsidRDefault="0094175C" w:rsidP="00C8497E">
      <w:pPr>
        <w:rPr>
          <w:sz w:val="24"/>
          <w:szCs w:val="24"/>
        </w:rPr>
      </w:pPr>
    </w:p>
    <w:p w:rsidR="0094175C" w:rsidRDefault="0094175C"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HT NDP announcement frame</w:t>
      </w:r>
      <w:r w:rsidRPr="00F64DEA">
        <w:rPr>
          <w:sz w:val="24"/>
          <w:szCs w:val="24"/>
          <w:lang w:val="en-US"/>
        </w:rPr>
        <w:t xml:space="preserve"> is stated as a first-stage condition</w:t>
      </w:r>
      <w:r w:rsidR="00135866">
        <w:rPr>
          <w:sz w:val="24"/>
          <w:szCs w:val="24"/>
          <w:lang w:val="en-US"/>
        </w:rPr>
        <w:t xml:space="preserve"> before the second condition (i.e., the STA does not receive the HT NDP)</w:t>
      </w:r>
      <w:r>
        <w:rPr>
          <w:sz w:val="24"/>
          <w:szCs w:val="24"/>
          <w:lang w:val="en-US"/>
        </w:rPr>
        <w:t>.  No change is needed.</w:t>
      </w:r>
    </w:p>
    <w:p w:rsidR="0094175C" w:rsidRDefault="0094175C" w:rsidP="00C8497E">
      <w:pPr>
        <w:rPr>
          <w:sz w:val="24"/>
          <w:szCs w:val="24"/>
          <w:lang w:val="en-US"/>
        </w:rPr>
      </w:pPr>
    </w:p>
    <w:p w:rsidR="0094175C" w:rsidRDefault="0094175C" w:rsidP="00C8497E">
      <w:pPr>
        <w:rPr>
          <w:sz w:val="24"/>
          <w:szCs w:val="24"/>
          <w:lang w:val="en-US"/>
        </w:rPr>
      </w:pPr>
      <w:r>
        <w:rPr>
          <w:sz w:val="24"/>
          <w:szCs w:val="24"/>
          <w:lang w:val="en-US"/>
        </w:rPr>
        <w:t xml:space="preserve">[5]  </w:t>
      </w:r>
      <w:r w:rsidR="008322E1">
        <w:rPr>
          <w:sz w:val="24"/>
          <w:szCs w:val="24"/>
          <w:lang w:val="en-US"/>
        </w:rPr>
        <w:t xml:space="preserve">2028.17, clause </w:t>
      </w:r>
      <w:r w:rsidR="008322E1" w:rsidRPr="008322E1">
        <w:rPr>
          <w:sz w:val="24"/>
          <w:szCs w:val="24"/>
          <w:lang w:val="en-US"/>
        </w:rPr>
        <w:t xml:space="preserve">10.43.6.4.4 </w:t>
      </w:r>
      <w:r w:rsidR="00293EA8">
        <w:rPr>
          <w:sz w:val="24"/>
          <w:szCs w:val="24"/>
          <w:lang w:val="en-US"/>
        </w:rPr>
        <w:t>(</w:t>
      </w:r>
      <w:r w:rsidR="008322E1" w:rsidRPr="008322E1">
        <w:rPr>
          <w:sz w:val="24"/>
          <w:szCs w:val="24"/>
          <w:lang w:val="en-US"/>
        </w:rPr>
        <w:t>Antenna configuration setting during a beam refinement transaction</w:t>
      </w:r>
      <w:r w:rsidR="00293EA8">
        <w:rPr>
          <w:sz w:val="24"/>
          <w:szCs w:val="24"/>
          <w:lang w:val="en-US"/>
        </w:rPr>
        <w:t>)</w:t>
      </w:r>
    </w:p>
    <w:p w:rsidR="008322E1" w:rsidRDefault="008322E1" w:rsidP="00C8497E">
      <w:pPr>
        <w:rPr>
          <w:sz w:val="24"/>
          <w:szCs w:val="24"/>
          <w:lang w:val="en-US"/>
        </w:rPr>
      </w:pPr>
    </w:p>
    <w:p w:rsidR="008322E1" w:rsidRDefault="008322E1" w:rsidP="00C8497E">
      <w:pPr>
        <w:rPr>
          <w:sz w:val="24"/>
          <w:szCs w:val="24"/>
          <w:lang w:val="en-US"/>
        </w:rPr>
      </w:pPr>
      <w:r w:rsidRPr="008322E1">
        <w:rPr>
          <w:noProof/>
          <w:sz w:val="24"/>
          <w:szCs w:val="24"/>
          <w:lang w:val="en-US" w:eastAsia="zh-CN"/>
        </w:rPr>
        <w:drawing>
          <wp:inline distT="0" distB="0" distL="0" distR="0">
            <wp:extent cx="6400800" cy="15882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588271"/>
                    </a:xfrm>
                    <a:prstGeom prst="rect">
                      <a:avLst/>
                    </a:prstGeom>
                    <a:noFill/>
                    <a:ln>
                      <a:noFill/>
                    </a:ln>
                  </pic:spPr>
                </pic:pic>
              </a:graphicData>
            </a:graphic>
          </wp:inline>
        </w:drawing>
      </w:r>
    </w:p>
    <w:p w:rsidR="008322E1" w:rsidRDefault="008322E1" w:rsidP="00C8497E">
      <w:pPr>
        <w:rPr>
          <w:sz w:val="24"/>
          <w:szCs w:val="24"/>
          <w:lang w:val="en-US"/>
        </w:rPr>
      </w:pPr>
    </w:p>
    <w:p w:rsidR="008322E1" w:rsidRDefault="00277CEB" w:rsidP="00293EA8">
      <w:pPr>
        <w:jc w:val="both"/>
        <w:rPr>
          <w:sz w:val="24"/>
          <w:szCs w:val="24"/>
          <w:lang w:val="en-US"/>
        </w:rPr>
      </w:pPr>
      <w:r>
        <w:rPr>
          <w:sz w:val="24"/>
          <w:szCs w:val="24"/>
          <w:lang w:val="en-US"/>
        </w:rPr>
        <w:t xml:space="preserve">There is no second condition for the first condition (i.e., the STA receives a beam refinement transmit training request).   </w:t>
      </w:r>
      <w:r w:rsidR="002C7F32">
        <w:rPr>
          <w:sz w:val="24"/>
          <w:szCs w:val="24"/>
          <w:lang w:val="en-US"/>
        </w:rPr>
        <w:t>Change is required per CID 2095.</w:t>
      </w:r>
    </w:p>
    <w:p w:rsidR="002C7F32" w:rsidRDefault="002C7F32" w:rsidP="00C8497E">
      <w:pPr>
        <w:rPr>
          <w:sz w:val="24"/>
          <w:szCs w:val="24"/>
          <w:lang w:val="en-US"/>
        </w:rPr>
      </w:pPr>
    </w:p>
    <w:p w:rsidR="002C7F32" w:rsidRDefault="002C7F32">
      <w:pPr>
        <w:rPr>
          <w:sz w:val="24"/>
          <w:szCs w:val="24"/>
          <w:lang w:val="en-US"/>
        </w:rPr>
      </w:pPr>
      <w:r>
        <w:rPr>
          <w:sz w:val="24"/>
          <w:szCs w:val="24"/>
          <w:lang w:val="en-US"/>
        </w:rPr>
        <w:br w:type="page"/>
      </w:r>
    </w:p>
    <w:p w:rsidR="002C7F32" w:rsidRDefault="002C7F32" w:rsidP="00C8497E">
      <w:pPr>
        <w:rPr>
          <w:sz w:val="24"/>
          <w:szCs w:val="24"/>
          <w:lang w:val="en-US"/>
        </w:rPr>
      </w:pPr>
      <w:r>
        <w:rPr>
          <w:sz w:val="24"/>
          <w:szCs w:val="24"/>
          <w:lang w:val="en-US"/>
        </w:rPr>
        <w:lastRenderedPageBreak/>
        <w:t xml:space="preserve">[6]  2028.40, clause </w:t>
      </w:r>
      <w:r w:rsidRPr="008322E1">
        <w:rPr>
          <w:sz w:val="24"/>
          <w:szCs w:val="24"/>
          <w:lang w:val="en-US"/>
        </w:rPr>
        <w:t xml:space="preserve">10.43.6.4.4 </w:t>
      </w:r>
      <w:r w:rsidR="00293EA8">
        <w:rPr>
          <w:sz w:val="24"/>
          <w:szCs w:val="24"/>
          <w:lang w:val="en-US"/>
        </w:rPr>
        <w:t>(</w:t>
      </w:r>
      <w:r w:rsidRPr="008322E1">
        <w:rPr>
          <w:sz w:val="24"/>
          <w:szCs w:val="24"/>
          <w:lang w:val="en-US"/>
        </w:rPr>
        <w:t>Antenna configuration setting during a beam refinement transaction</w:t>
      </w:r>
      <w:r w:rsidR="00293EA8">
        <w:rPr>
          <w:sz w:val="24"/>
          <w:szCs w:val="24"/>
          <w:lang w:val="en-US"/>
        </w:rPr>
        <w:t>)</w:t>
      </w:r>
    </w:p>
    <w:p w:rsidR="002C7F32" w:rsidRDefault="002C7F32" w:rsidP="00C8497E">
      <w:pPr>
        <w:rPr>
          <w:sz w:val="24"/>
          <w:szCs w:val="24"/>
          <w:lang w:val="en-US"/>
        </w:rPr>
      </w:pPr>
    </w:p>
    <w:p w:rsidR="002C7F32" w:rsidRDefault="002C7F32" w:rsidP="00C8497E">
      <w:pPr>
        <w:rPr>
          <w:sz w:val="24"/>
          <w:szCs w:val="24"/>
          <w:lang w:val="en-US"/>
        </w:rPr>
      </w:pPr>
      <w:r w:rsidRPr="002C7F32">
        <w:rPr>
          <w:noProof/>
          <w:sz w:val="24"/>
          <w:szCs w:val="24"/>
          <w:lang w:val="en-US" w:eastAsia="zh-CN"/>
        </w:rPr>
        <w:drawing>
          <wp:inline distT="0" distB="0" distL="0" distR="0">
            <wp:extent cx="6400800" cy="12237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223783"/>
                    </a:xfrm>
                    <a:prstGeom prst="rect">
                      <a:avLst/>
                    </a:prstGeom>
                    <a:noFill/>
                    <a:ln>
                      <a:noFill/>
                    </a:ln>
                  </pic:spPr>
                </pic:pic>
              </a:graphicData>
            </a:graphic>
          </wp:inline>
        </w:drawing>
      </w:r>
    </w:p>
    <w:p w:rsidR="00137DA0" w:rsidRDefault="00137DA0" w:rsidP="00C8497E">
      <w:pPr>
        <w:rPr>
          <w:sz w:val="24"/>
          <w:szCs w:val="24"/>
          <w:lang w:val="en-US"/>
        </w:rPr>
      </w:pPr>
    </w:p>
    <w:p w:rsidR="002C7F32" w:rsidRDefault="002C7F32" w:rsidP="00293EA8">
      <w:pPr>
        <w:jc w:val="both"/>
        <w:rPr>
          <w:sz w:val="24"/>
          <w:szCs w:val="24"/>
          <w:lang w:val="en-US"/>
        </w:rPr>
      </w:pPr>
      <w:r>
        <w:rPr>
          <w:sz w:val="24"/>
          <w:szCs w:val="24"/>
          <w:lang w:val="en-US"/>
        </w:rPr>
        <w:t>There is no second condition for the first condition (i.e., the STA receives a BRP-RX PPDU from a peer STA).   Change is required per CID 2095.</w:t>
      </w:r>
    </w:p>
    <w:p w:rsidR="002C7F32" w:rsidRDefault="002C7F32" w:rsidP="00C8497E">
      <w:pPr>
        <w:rPr>
          <w:sz w:val="24"/>
          <w:szCs w:val="24"/>
          <w:lang w:val="en-US"/>
        </w:rPr>
      </w:pPr>
    </w:p>
    <w:p w:rsidR="00E56CFB" w:rsidRDefault="00E56CFB" w:rsidP="00C8497E">
      <w:pPr>
        <w:rPr>
          <w:sz w:val="24"/>
          <w:szCs w:val="24"/>
          <w:lang w:val="en-US"/>
        </w:rPr>
      </w:pPr>
      <w:r>
        <w:rPr>
          <w:sz w:val="24"/>
          <w:szCs w:val="24"/>
          <w:lang w:val="en-US"/>
        </w:rPr>
        <w:t>[7]</w:t>
      </w:r>
      <w:r w:rsidR="00293EA8">
        <w:rPr>
          <w:sz w:val="24"/>
          <w:szCs w:val="24"/>
          <w:lang w:val="en-US"/>
        </w:rPr>
        <w:t xml:space="preserve"> </w:t>
      </w:r>
      <w:r>
        <w:rPr>
          <w:sz w:val="24"/>
          <w:szCs w:val="24"/>
          <w:lang w:val="en-US"/>
        </w:rPr>
        <w:t xml:space="preserve"> 2188.14, clause </w:t>
      </w:r>
      <w:r w:rsidRPr="00E56CFB">
        <w:rPr>
          <w:sz w:val="24"/>
          <w:szCs w:val="24"/>
          <w:lang w:val="en-US"/>
        </w:rPr>
        <w:t xml:space="preserve">11.2.7.3.3 </w:t>
      </w:r>
      <w:r w:rsidR="00293EA8">
        <w:rPr>
          <w:sz w:val="24"/>
          <w:szCs w:val="24"/>
          <w:lang w:val="en-US"/>
        </w:rPr>
        <w:t>(</w:t>
      </w:r>
      <w:r w:rsidRPr="00E56CFB">
        <w:rPr>
          <w:sz w:val="24"/>
          <w:szCs w:val="24"/>
          <w:lang w:val="en-US"/>
        </w:rPr>
        <w:t>PCP operation with a wakeup schedule</w:t>
      </w:r>
      <w:r w:rsidR="00293EA8">
        <w:rPr>
          <w:sz w:val="24"/>
          <w:szCs w:val="24"/>
          <w:lang w:val="en-US"/>
        </w:rPr>
        <w:t>)</w:t>
      </w:r>
    </w:p>
    <w:p w:rsidR="00E56CFB" w:rsidRDefault="00E56CFB" w:rsidP="00C8497E">
      <w:pPr>
        <w:rPr>
          <w:sz w:val="24"/>
          <w:szCs w:val="24"/>
          <w:lang w:val="en-US"/>
        </w:rPr>
      </w:pPr>
    </w:p>
    <w:p w:rsidR="00E56CFB" w:rsidRDefault="00E56CFB" w:rsidP="00C8497E">
      <w:pPr>
        <w:rPr>
          <w:sz w:val="24"/>
          <w:szCs w:val="24"/>
          <w:lang w:val="en-US"/>
        </w:rPr>
      </w:pPr>
      <w:r w:rsidRPr="00E56CFB">
        <w:rPr>
          <w:noProof/>
          <w:sz w:val="24"/>
          <w:szCs w:val="24"/>
          <w:lang w:val="en-US" w:eastAsia="zh-CN"/>
        </w:rPr>
        <w:drawing>
          <wp:inline distT="0" distB="0" distL="0" distR="0">
            <wp:extent cx="6400800" cy="7142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14282"/>
                    </a:xfrm>
                    <a:prstGeom prst="rect">
                      <a:avLst/>
                    </a:prstGeom>
                    <a:noFill/>
                    <a:ln>
                      <a:noFill/>
                    </a:ln>
                  </pic:spPr>
                </pic:pic>
              </a:graphicData>
            </a:graphic>
          </wp:inline>
        </w:drawing>
      </w:r>
    </w:p>
    <w:p w:rsidR="00E56CFB" w:rsidRDefault="00E56CFB"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the STA receives a PCP WS).   Change is required per CID 2095.</w:t>
      </w:r>
    </w:p>
    <w:p w:rsidR="00E56CFB" w:rsidRDefault="00E56CFB" w:rsidP="00C8497E">
      <w:pPr>
        <w:rPr>
          <w:sz w:val="24"/>
          <w:szCs w:val="24"/>
          <w:lang w:val="en-US"/>
        </w:rPr>
      </w:pPr>
    </w:p>
    <w:p w:rsidR="00293EA8" w:rsidRDefault="00293EA8" w:rsidP="00C8497E">
      <w:pPr>
        <w:rPr>
          <w:sz w:val="24"/>
          <w:szCs w:val="24"/>
          <w:lang w:val="en-US"/>
        </w:rPr>
      </w:pPr>
      <w:r>
        <w:rPr>
          <w:sz w:val="24"/>
          <w:szCs w:val="24"/>
          <w:lang w:val="en-US"/>
        </w:rPr>
        <w:t xml:space="preserve">[8]  2354.29, clause </w:t>
      </w:r>
      <w:r w:rsidRPr="00293EA8">
        <w:rPr>
          <w:sz w:val="24"/>
          <w:szCs w:val="24"/>
          <w:lang w:val="en-US"/>
        </w:rPr>
        <w:t xml:space="preserve">11.22.7.3 </w:t>
      </w:r>
      <w:r>
        <w:rPr>
          <w:sz w:val="24"/>
          <w:szCs w:val="24"/>
          <w:lang w:val="en-US"/>
        </w:rPr>
        <w:t>(</w:t>
      </w:r>
      <w:r w:rsidRPr="00293EA8">
        <w:rPr>
          <w:sz w:val="24"/>
          <w:szCs w:val="24"/>
          <w:lang w:val="en-US"/>
        </w:rPr>
        <w:t>BSS transition management request</w:t>
      </w:r>
      <w:r>
        <w:rPr>
          <w:sz w:val="24"/>
          <w:szCs w:val="24"/>
          <w:lang w:val="en-US"/>
        </w:rPr>
        <w:t>)</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84418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844184"/>
                    </a:xfrm>
                    <a:prstGeom prst="rect">
                      <a:avLst/>
                    </a:prstGeom>
                    <a:noFill/>
                    <a:ln>
                      <a:noFill/>
                    </a:ln>
                  </pic:spPr>
                </pic:pic>
              </a:graphicData>
            </a:graphic>
          </wp:inline>
        </w:drawing>
      </w:r>
    </w:p>
    <w:p w:rsidR="002C7F32" w:rsidRDefault="002C7F32"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the STA receives an MLME-BTM.indication primitive).   Change is required per CID 2096.</w:t>
      </w:r>
    </w:p>
    <w:p w:rsidR="00293EA8" w:rsidRDefault="00293EA8" w:rsidP="00C8497E">
      <w:pPr>
        <w:rPr>
          <w:sz w:val="24"/>
          <w:szCs w:val="24"/>
          <w:lang w:val="en-US"/>
        </w:rPr>
      </w:pPr>
    </w:p>
    <w:p w:rsidR="00293EA8" w:rsidRDefault="00293EA8">
      <w:pPr>
        <w:rPr>
          <w:sz w:val="24"/>
          <w:szCs w:val="24"/>
          <w:lang w:val="en-US"/>
        </w:rPr>
      </w:pPr>
      <w:r>
        <w:rPr>
          <w:sz w:val="24"/>
          <w:szCs w:val="24"/>
          <w:lang w:val="en-US"/>
        </w:rPr>
        <w:br w:type="page"/>
      </w:r>
    </w:p>
    <w:p w:rsidR="00293EA8" w:rsidRDefault="00293EA8" w:rsidP="00293EA8">
      <w:pPr>
        <w:rPr>
          <w:sz w:val="24"/>
          <w:szCs w:val="24"/>
          <w:lang w:val="en-US"/>
        </w:rPr>
      </w:pPr>
      <w:r>
        <w:rPr>
          <w:sz w:val="24"/>
          <w:szCs w:val="24"/>
          <w:lang w:val="en-US"/>
        </w:rPr>
        <w:lastRenderedPageBreak/>
        <w:t>[9]  2480.7, clause 11.43.1 (General)</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19634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196348"/>
                    </a:xfrm>
                    <a:prstGeom prst="rect">
                      <a:avLst/>
                    </a:prstGeom>
                    <a:noFill/>
                    <a:ln>
                      <a:noFill/>
                    </a:ln>
                  </pic:spPr>
                </pic:pic>
              </a:graphicData>
            </a:graphic>
          </wp:inline>
        </w:drawing>
      </w:r>
    </w:p>
    <w:p w:rsidR="00293EA8" w:rsidRDefault="00293EA8" w:rsidP="00C8497E">
      <w:pPr>
        <w:rPr>
          <w:sz w:val="24"/>
          <w:szCs w:val="24"/>
          <w:lang w:val="en-US"/>
        </w:rPr>
      </w:pPr>
    </w:p>
    <w:p w:rsidR="00293EA8" w:rsidRDefault="00293EA8" w:rsidP="00C8497E">
      <w:pPr>
        <w:rPr>
          <w:sz w:val="24"/>
          <w:szCs w:val="24"/>
          <w:lang w:val="en-US"/>
        </w:rPr>
      </w:pPr>
      <w:r>
        <w:rPr>
          <w:sz w:val="24"/>
          <w:szCs w:val="24"/>
          <w:lang w:val="en-US"/>
        </w:rPr>
        <w:t>It is a declarative text.  No change is needed.</w:t>
      </w:r>
    </w:p>
    <w:p w:rsidR="00293EA8" w:rsidRDefault="00293EA8" w:rsidP="00C8497E">
      <w:pPr>
        <w:rPr>
          <w:sz w:val="24"/>
          <w:szCs w:val="24"/>
          <w:lang w:val="en-US"/>
        </w:rPr>
      </w:pPr>
    </w:p>
    <w:p w:rsidR="00293EA8" w:rsidRDefault="00293EA8" w:rsidP="00C8497E">
      <w:pPr>
        <w:rPr>
          <w:sz w:val="24"/>
          <w:szCs w:val="24"/>
          <w:lang w:val="en-US"/>
        </w:rPr>
      </w:pPr>
    </w:p>
    <w:p w:rsidR="00137DA0" w:rsidRDefault="00137DA0" w:rsidP="00137DA0">
      <w:pPr>
        <w:spacing w:after="240"/>
        <w:jc w:val="both"/>
        <w:rPr>
          <w:b/>
          <w:i/>
          <w:sz w:val="24"/>
          <w:szCs w:val="24"/>
        </w:rPr>
      </w:pPr>
      <w:r>
        <w:rPr>
          <w:b/>
          <w:i/>
          <w:sz w:val="24"/>
          <w:szCs w:val="24"/>
        </w:rPr>
        <w:t>Proposed resolution for CID 2095:</w:t>
      </w:r>
    </w:p>
    <w:p w:rsidR="00137DA0" w:rsidRDefault="00F71325" w:rsidP="00137DA0">
      <w:pPr>
        <w:spacing w:after="240"/>
        <w:jc w:val="both"/>
        <w:rPr>
          <w:sz w:val="24"/>
          <w:szCs w:val="24"/>
        </w:rPr>
      </w:pPr>
      <w:r>
        <w:rPr>
          <w:sz w:val="24"/>
          <w:szCs w:val="24"/>
          <w:highlight w:val="green"/>
        </w:rPr>
        <w:t>Revised</w:t>
      </w:r>
    </w:p>
    <w:p w:rsidR="00F71325" w:rsidRPr="00FF27E2" w:rsidRDefault="00F71325" w:rsidP="00137DA0">
      <w:pPr>
        <w:spacing w:after="240"/>
        <w:jc w:val="both"/>
        <w:rPr>
          <w:sz w:val="24"/>
          <w:szCs w:val="24"/>
        </w:rPr>
      </w:pPr>
      <w:r w:rsidRPr="00C8497E">
        <w:rPr>
          <w:sz w:val="24"/>
          <w:szCs w:val="24"/>
          <w:lang w:val="en-US"/>
        </w:rPr>
        <w:t>Change the following instances of "that has received" to "that receives": 10.43.6.4.4 (P2028L17 and P2028L40), 11.2.7.3.3 (P2187L29).</w:t>
      </w:r>
    </w:p>
    <w:p w:rsidR="00137DA0" w:rsidRDefault="00137DA0" w:rsidP="00137DA0">
      <w:pPr>
        <w:spacing w:after="240"/>
        <w:jc w:val="both"/>
        <w:rPr>
          <w:b/>
          <w:i/>
          <w:sz w:val="24"/>
          <w:szCs w:val="24"/>
        </w:rPr>
      </w:pPr>
      <w:r>
        <w:rPr>
          <w:b/>
          <w:i/>
          <w:sz w:val="24"/>
          <w:szCs w:val="24"/>
        </w:rPr>
        <w:t>Proposed resolution for CID 2096:</w:t>
      </w:r>
    </w:p>
    <w:p w:rsidR="00137DA0" w:rsidRPr="00FF27E2" w:rsidRDefault="00137DA0" w:rsidP="00137DA0">
      <w:pPr>
        <w:spacing w:after="240"/>
        <w:jc w:val="both"/>
        <w:rPr>
          <w:sz w:val="24"/>
          <w:szCs w:val="24"/>
        </w:rPr>
      </w:pPr>
      <w:r w:rsidRPr="00F71325">
        <w:rPr>
          <w:sz w:val="24"/>
          <w:szCs w:val="24"/>
          <w:highlight w:val="green"/>
        </w:rPr>
        <w:t>Accepted</w:t>
      </w:r>
    </w:p>
    <w:p w:rsidR="00AD2E51" w:rsidRDefault="00AD2E5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D2E51"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sz w:val="24"/>
                <w:szCs w:val="24"/>
                <w:lang w:val="en-US"/>
              </w:rPr>
            </w:pPr>
            <w:r w:rsidRPr="001E491B">
              <w:rPr>
                <w:sz w:val="24"/>
                <w:szCs w:val="24"/>
                <w:lang w:val="en-US"/>
              </w:rPr>
              <w:t>Proposed Change</w:t>
            </w:r>
          </w:p>
        </w:tc>
      </w:tr>
      <w:tr w:rsidR="00AD2E51" w:rsidRPr="001E491B" w:rsidTr="005111DB">
        <w:trPr>
          <w:trHeight w:val="1223"/>
          <w:jc w:val="center"/>
        </w:trPr>
        <w:tc>
          <w:tcPr>
            <w:tcW w:w="364" w:type="pct"/>
            <w:shd w:val="clear" w:color="auto" w:fill="auto"/>
          </w:tcPr>
          <w:p w:rsidR="00AD2E51" w:rsidRPr="001E491B" w:rsidRDefault="00AD2E51" w:rsidP="005111DB">
            <w:pPr>
              <w:jc w:val="center"/>
              <w:rPr>
                <w:sz w:val="24"/>
                <w:szCs w:val="24"/>
                <w:lang w:val="en-US"/>
              </w:rPr>
            </w:pPr>
            <w:r>
              <w:rPr>
                <w:sz w:val="24"/>
                <w:szCs w:val="24"/>
                <w:lang w:val="en-US"/>
              </w:rPr>
              <w:t>2659</w:t>
            </w:r>
          </w:p>
        </w:tc>
        <w:tc>
          <w:tcPr>
            <w:tcW w:w="686" w:type="pct"/>
            <w:shd w:val="clear" w:color="auto" w:fill="auto"/>
          </w:tcPr>
          <w:p w:rsidR="00AD2E51" w:rsidRPr="001E491B" w:rsidRDefault="00AD2E51" w:rsidP="005111DB">
            <w:pPr>
              <w:jc w:val="center"/>
              <w:rPr>
                <w:sz w:val="24"/>
                <w:szCs w:val="24"/>
                <w:lang w:val="en-US"/>
              </w:rPr>
            </w:pPr>
            <w:r>
              <w:rPr>
                <w:sz w:val="24"/>
                <w:szCs w:val="24"/>
                <w:lang w:val="en-US"/>
              </w:rPr>
              <w:t>11.1.4.5</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2141</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33</w:t>
            </w:r>
          </w:p>
        </w:tc>
        <w:tc>
          <w:tcPr>
            <w:tcW w:w="1381" w:type="pct"/>
            <w:shd w:val="clear" w:color="auto" w:fill="auto"/>
          </w:tcPr>
          <w:p w:rsidR="00AD2E51" w:rsidRPr="001E491B" w:rsidRDefault="00AD2E51" w:rsidP="005111DB">
            <w:pPr>
              <w:rPr>
                <w:sz w:val="24"/>
                <w:szCs w:val="24"/>
                <w:lang w:val="en-US"/>
              </w:rPr>
            </w:pPr>
            <w:r w:rsidRPr="00AD2E51">
              <w:rPr>
                <w:sz w:val="24"/>
                <w:szCs w:val="24"/>
                <w:lang w:val="en-US"/>
              </w:rPr>
              <w:t>MIB variables in normative text sometimes cause strange effects in sentences, because they are long and typically non-breaking. See examples on 2267.25, 2363.32, 2373.19, 2374.25, 2404.34, 2422.60, 2475.53, etc. Worse yet, sometimes MIB variables are broken up with a hyphen added (like at 2307.46), which makes them invisible in a search for the MIB variable.</w:t>
            </w:r>
          </w:p>
        </w:tc>
        <w:tc>
          <w:tcPr>
            <w:tcW w:w="1745" w:type="pct"/>
            <w:shd w:val="clear" w:color="auto" w:fill="auto"/>
          </w:tcPr>
          <w:p w:rsidR="00AD2E51" w:rsidRPr="001E491B" w:rsidRDefault="00AD2E51" w:rsidP="005111DB">
            <w:pPr>
              <w:rPr>
                <w:sz w:val="24"/>
                <w:szCs w:val="24"/>
                <w:lang w:val="en-US"/>
              </w:rPr>
            </w:pPr>
            <w:r w:rsidRPr="00AD2E51">
              <w:rPr>
                <w:sz w:val="24"/>
                <w:szCs w:val="24"/>
                <w:lang w:val="en-US"/>
              </w:rPr>
              <w:t>Find a way for MIB variables in normative text to be broken up while still searched for easily. Maybe, in normative text, write MIB variables with spaces between the parts that they are comprised of, similar to element and field names. But certainly re-unite MIB variables that are currently broken up.</w:t>
            </w:r>
          </w:p>
        </w:tc>
      </w:tr>
    </w:tbl>
    <w:p w:rsidR="00AD2E51" w:rsidRDefault="00AD2E51" w:rsidP="00AD2E51">
      <w:pPr>
        <w:spacing w:after="240"/>
        <w:jc w:val="both"/>
        <w:rPr>
          <w:b/>
          <w:i/>
          <w:sz w:val="24"/>
          <w:szCs w:val="24"/>
        </w:rPr>
      </w:pPr>
    </w:p>
    <w:p w:rsidR="00AD2E51" w:rsidRPr="00C8497E" w:rsidRDefault="00AD2E51" w:rsidP="00AD2E51">
      <w:pPr>
        <w:spacing w:after="240"/>
        <w:jc w:val="both"/>
        <w:rPr>
          <w:b/>
          <w:i/>
          <w:sz w:val="24"/>
          <w:szCs w:val="24"/>
        </w:rPr>
      </w:pPr>
      <w:r w:rsidRPr="00C8497E">
        <w:rPr>
          <w:b/>
          <w:i/>
          <w:sz w:val="24"/>
          <w:szCs w:val="24"/>
        </w:rPr>
        <w:t>Discussion:</w:t>
      </w:r>
    </w:p>
    <w:p w:rsidR="00AD2E51" w:rsidRDefault="00AD2E51" w:rsidP="00AD2E51">
      <w:pPr>
        <w:jc w:val="both"/>
        <w:rPr>
          <w:sz w:val="24"/>
          <w:szCs w:val="24"/>
        </w:rPr>
      </w:pPr>
      <w:r>
        <w:rPr>
          <w:sz w:val="24"/>
          <w:szCs w:val="24"/>
        </w:rPr>
        <w:t>Per our Editor (Emily Qi)’s comment that I agree:</w:t>
      </w:r>
    </w:p>
    <w:p w:rsidR="00AD2E51" w:rsidRDefault="00AD2E51" w:rsidP="00AD2E51">
      <w:pPr>
        <w:jc w:val="both"/>
        <w:rPr>
          <w:sz w:val="24"/>
          <w:szCs w:val="24"/>
        </w:rPr>
      </w:pPr>
    </w:p>
    <w:p w:rsidR="00AD2E51" w:rsidRPr="00AD2E51" w:rsidRDefault="00AD2E51" w:rsidP="00AD2E51">
      <w:pPr>
        <w:jc w:val="both"/>
        <w:rPr>
          <w:i/>
          <w:sz w:val="24"/>
          <w:szCs w:val="24"/>
        </w:rPr>
      </w:pPr>
      <w:r w:rsidRPr="00AD2E51">
        <w:rPr>
          <w:i/>
          <w:sz w:val="24"/>
          <w:szCs w:val="24"/>
        </w:rPr>
        <w:t>In a table or figure, since it is predictable, we added a space in the MIB variable to make it looks good when it need to be break.</w:t>
      </w:r>
    </w:p>
    <w:p w:rsidR="00AD2E51" w:rsidRPr="00AD2E51" w:rsidRDefault="00AD2E51" w:rsidP="00AD2E51">
      <w:pPr>
        <w:jc w:val="both"/>
        <w:rPr>
          <w:i/>
          <w:sz w:val="24"/>
          <w:szCs w:val="24"/>
        </w:rPr>
      </w:pPr>
    </w:p>
    <w:p w:rsidR="00AD2E51" w:rsidRPr="00AD2E51" w:rsidRDefault="00AD2E51" w:rsidP="00AD2E51">
      <w:pPr>
        <w:jc w:val="both"/>
        <w:rPr>
          <w:i/>
          <w:sz w:val="24"/>
          <w:szCs w:val="24"/>
        </w:rPr>
      </w:pPr>
      <w:r w:rsidRPr="00AD2E51">
        <w:rPr>
          <w:i/>
          <w:sz w:val="24"/>
          <w:szCs w:val="24"/>
        </w:rPr>
        <w:t>For a MIB variable in the text, it is unpredictable on where it will be. If we added a space in this revision, it may look okay in D2.1. However, in D2.2, it may look very bad (terrible) when it shows in the middle of line with a space.</w:t>
      </w:r>
    </w:p>
    <w:p w:rsidR="00137DA0" w:rsidRDefault="00137DA0" w:rsidP="00C8497E">
      <w:pPr>
        <w:rPr>
          <w:sz w:val="24"/>
          <w:szCs w:val="24"/>
        </w:rPr>
      </w:pPr>
    </w:p>
    <w:p w:rsidR="00AD2E51" w:rsidRDefault="00AD2E51" w:rsidP="00C8497E">
      <w:pPr>
        <w:rPr>
          <w:sz w:val="24"/>
          <w:szCs w:val="24"/>
        </w:rPr>
      </w:pPr>
      <w:r>
        <w:rPr>
          <w:sz w:val="24"/>
          <w:szCs w:val="24"/>
        </w:rPr>
        <w:t>Per the commenter (Menzo)’s offline comment:</w:t>
      </w:r>
    </w:p>
    <w:p w:rsidR="00AD2E51" w:rsidRDefault="00AD2E51" w:rsidP="00C8497E">
      <w:pPr>
        <w:rPr>
          <w:sz w:val="24"/>
          <w:szCs w:val="24"/>
        </w:rPr>
      </w:pPr>
    </w:p>
    <w:p w:rsidR="005F4A55" w:rsidRPr="005F4A55" w:rsidRDefault="005F4A55" w:rsidP="005F4A55">
      <w:pPr>
        <w:jc w:val="both"/>
        <w:rPr>
          <w:i/>
          <w:sz w:val="24"/>
          <w:szCs w:val="24"/>
        </w:rPr>
      </w:pPr>
      <w:r w:rsidRPr="005F4A55">
        <w:rPr>
          <w:i/>
          <w:sz w:val="24"/>
          <w:szCs w:val="24"/>
        </w:rPr>
        <w:t>MIB variables in figures and tables are an issue indeed, because fitting them would require extensive reformatting. This might be a fundamental problem with using MIB variables in normative text.</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For the ones in text, there are some that Acrobat does find and some that it does not. The first ones are presumably automatically generated, and the latter ones handmade (hardcoded). I think we should fix at least the hardcoded ones. I'm listing those below (14 total).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As for a solution for future amendments, is it possible to make less use of MIB variables? Or not at all?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Another option might be to include a unique number in the MIB variable name. Which would not improve readability much though.</w:t>
      </w:r>
    </w:p>
    <w:p w:rsidR="00AD2E51" w:rsidRDefault="00AD2E51" w:rsidP="00C8497E">
      <w:pPr>
        <w:rPr>
          <w:sz w:val="24"/>
          <w:szCs w:val="24"/>
        </w:rPr>
      </w:pPr>
    </w:p>
    <w:p w:rsidR="005F4A55" w:rsidRDefault="005F4A55" w:rsidP="00C8497E">
      <w:pPr>
        <w:rPr>
          <w:sz w:val="24"/>
          <w:szCs w:val="24"/>
        </w:rPr>
      </w:pPr>
      <w:r>
        <w:rPr>
          <w:sz w:val="24"/>
          <w:szCs w:val="24"/>
        </w:rPr>
        <w:t>It is the best that the editors can do (i.e., fixing the 14 instances provided by Menzo) because the others are most probably generated by the framemaker and out of the editors’ control.</w:t>
      </w:r>
    </w:p>
    <w:p w:rsidR="005F4A55" w:rsidRDefault="005F4A55" w:rsidP="00C8497E">
      <w:pPr>
        <w:rPr>
          <w:sz w:val="24"/>
          <w:szCs w:val="24"/>
        </w:rPr>
      </w:pPr>
    </w:p>
    <w:p w:rsidR="005F4A55" w:rsidRDefault="005F4A55">
      <w:pPr>
        <w:rPr>
          <w:b/>
          <w:i/>
          <w:sz w:val="24"/>
          <w:szCs w:val="24"/>
        </w:rPr>
      </w:pPr>
      <w:r>
        <w:rPr>
          <w:b/>
          <w:i/>
          <w:sz w:val="24"/>
          <w:szCs w:val="24"/>
        </w:rPr>
        <w:br w:type="page"/>
      </w:r>
    </w:p>
    <w:p w:rsidR="005F4A55" w:rsidRDefault="005F4A55" w:rsidP="005F4A55">
      <w:pPr>
        <w:spacing w:after="240"/>
        <w:jc w:val="both"/>
        <w:rPr>
          <w:b/>
          <w:i/>
          <w:sz w:val="24"/>
          <w:szCs w:val="24"/>
        </w:rPr>
      </w:pPr>
      <w:r>
        <w:rPr>
          <w:b/>
          <w:i/>
          <w:sz w:val="24"/>
          <w:szCs w:val="24"/>
        </w:rPr>
        <w:lastRenderedPageBreak/>
        <w:t>Proposed resolution:</w:t>
      </w:r>
    </w:p>
    <w:p w:rsidR="005F4A55" w:rsidRDefault="005F4A55" w:rsidP="005F4A55">
      <w:pPr>
        <w:spacing w:after="240"/>
        <w:jc w:val="both"/>
        <w:rPr>
          <w:sz w:val="24"/>
          <w:szCs w:val="24"/>
        </w:rPr>
      </w:pPr>
      <w:r w:rsidRPr="00222AE3">
        <w:rPr>
          <w:sz w:val="24"/>
          <w:szCs w:val="24"/>
          <w:highlight w:val="green"/>
        </w:rPr>
        <w:t>Revised</w:t>
      </w:r>
    </w:p>
    <w:p w:rsidR="005F4A55" w:rsidRDefault="005F4A55" w:rsidP="005F4A55">
      <w:pPr>
        <w:pStyle w:val="ListParagraph"/>
        <w:numPr>
          <w:ilvl w:val="0"/>
          <w:numId w:val="42"/>
        </w:numPr>
        <w:spacing w:after="240"/>
        <w:ind w:left="360"/>
      </w:pPr>
      <w:r w:rsidRPr="005F4A55">
        <w:t>At 310.9, replace “dot11NonAPStationBestEffort-MSDUCount” with “dot11NonAPStationBestEffortMSDUCount”</w:t>
      </w:r>
      <w:r>
        <w:t>.</w:t>
      </w:r>
    </w:p>
    <w:p w:rsidR="005F4A55" w:rsidRDefault="005F4A55" w:rsidP="005F4A55">
      <w:pPr>
        <w:pStyle w:val="ListParagraph"/>
        <w:spacing w:after="240"/>
        <w:ind w:left="360" w:hanging="360"/>
      </w:pPr>
    </w:p>
    <w:p w:rsidR="005F4A55" w:rsidRDefault="005F4A55" w:rsidP="005F4A55">
      <w:pPr>
        <w:pStyle w:val="ListParagraph"/>
        <w:numPr>
          <w:ilvl w:val="0"/>
          <w:numId w:val="42"/>
        </w:numPr>
        <w:spacing w:after="240"/>
        <w:ind w:left="360"/>
      </w:pPr>
      <w:r>
        <w:t xml:space="preserve">At </w:t>
      </w:r>
      <w:r w:rsidRPr="005F4A55">
        <w:t>310.13</w:t>
      </w:r>
      <w:r>
        <w:t>, replace</w:t>
      </w:r>
      <w:r w:rsidRPr="005F4A55">
        <w:t xml:space="preserve"> </w:t>
      </w:r>
      <w:r>
        <w:t>“</w:t>
      </w:r>
      <w:r w:rsidRPr="005F4A55">
        <w:t>dot11NonAPStationD</w:t>
      </w:r>
      <w:r>
        <w:t>roppedBestEffort-MSDUCount” with “</w:t>
      </w:r>
      <w:r w:rsidRPr="005F4A55">
        <w:t>dot11NonAPStationD</w:t>
      </w:r>
      <w:r>
        <w:t>roppedBestEffortMSDUCount”.</w:t>
      </w:r>
    </w:p>
    <w:p w:rsidR="005F4A55" w:rsidRDefault="005F4A55" w:rsidP="005F4A55">
      <w:pPr>
        <w:pStyle w:val="ListParagraph"/>
      </w:pPr>
    </w:p>
    <w:p w:rsidR="005F4A55" w:rsidRDefault="005F4A55" w:rsidP="005F4A55">
      <w:pPr>
        <w:pStyle w:val="ListParagraph"/>
        <w:numPr>
          <w:ilvl w:val="0"/>
          <w:numId w:val="42"/>
        </w:numPr>
        <w:spacing w:after="240"/>
        <w:ind w:left="360"/>
      </w:pPr>
      <w:r>
        <w:t xml:space="preserve">At </w:t>
      </w:r>
      <w:r w:rsidRPr="005F4A55">
        <w:t>312.46</w:t>
      </w:r>
      <w:r>
        <w:t>, replace “</w:t>
      </w:r>
      <w:r w:rsidRPr="005F4A55">
        <w:t>dot11NonAPStationMulticast-MSDUCount</w:t>
      </w:r>
      <w:r>
        <w:t>” with “dot11NonAPStationMulticast</w:t>
      </w:r>
      <w:r w:rsidRPr="005F4A55">
        <w:t>MSDUCount</w:t>
      </w:r>
      <w:r>
        <w:t>”.</w:t>
      </w:r>
    </w:p>
    <w:p w:rsidR="005F4A55" w:rsidRDefault="005F4A55" w:rsidP="005F4A55">
      <w:pPr>
        <w:pStyle w:val="ListParagraph"/>
      </w:pPr>
    </w:p>
    <w:p w:rsidR="00207117" w:rsidRDefault="005F4A55" w:rsidP="00207117">
      <w:pPr>
        <w:pStyle w:val="ListParagraph"/>
        <w:numPr>
          <w:ilvl w:val="0"/>
          <w:numId w:val="42"/>
        </w:numPr>
        <w:spacing w:after="240"/>
        <w:ind w:left="360"/>
      </w:pPr>
      <w:r>
        <w:t>At 312.51, replace “</w:t>
      </w:r>
      <w:r w:rsidRPr="005F4A55">
        <w:t>dot11NonAPStationDroppedMulticast-MSDUCount</w:t>
      </w:r>
      <w:r>
        <w:t>” with “</w:t>
      </w:r>
      <w:r w:rsidRPr="005F4A55">
        <w:t>do</w:t>
      </w:r>
      <w:r>
        <w:t>t11NonAPStationDroppedMulticast</w:t>
      </w:r>
      <w:r w:rsidRPr="005F4A55">
        <w:t>MSDUCount</w:t>
      </w:r>
      <w:r>
        <w:t>”.</w:t>
      </w:r>
    </w:p>
    <w:p w:rsidR="00207117" w:rsidRDefault="00207117" w:rsidP="00207117">
      <w:pPr>
        <w:pStyle w:val="ListParagraph"/>
      </w:pPr>
    </w:p>
    <w:p w:rsidR="00207117" w:rsidRDefault="00207117" w:rsidP="00207117">
      <w:pPr>
        <w:pStyle w:val="ListParagraph"/>
        <w:numPr>
          <w:ilvl w:val="0"/>
          <w:numId w:val="42"/>
        </w:numPr>
        <w:spacing w:after="240"/>
        <w:ind w:left="360"/>
      </w:pPr>
      <w:r>
        <w:t xml:space="preserve">At </w:t>
      </w:r>
      <w:r w:rsidR="005F4A55" w:rsidRPr="00207117">
        <w:t>312.61</w:t>
      </w:r>
      <w:r>
        <w:t>, replace</w:t>
      </w:r>
      <w:r w:rsidR="005F4A55" w:rsidRPr="00207117">
        <w:t xml:space="preserve"> </w:t>
      </w:r>
      <w:r>
        <w:t>“</w:t>
      </w:r>
      <w:r w:rsidR="005F4A55" w:rsidRPr="00207117">
        <w:t>dot11NonAPStationBestEffort-MSDUCount</w:t>
      </w:r>
      <w:r>
        <w:t>” with “dot11NonAPStationBestEffort</w:t>
      </w:r>
      <w:r w:rsidRPr="00207117">
        <w:t>MSDUCount</w:t>
      </w:r>
      <w:r>
        <w:t>”.</w:t>
      </w:r>
    </w:p>
    <w:p w:rsidR="00207117" w:rsidRDefault="00207117" w:rsidP="00207117">
      <w:pPr>
        <w:pStyle w:val="ListParagraph"/>
      </w:pPr>
    </w:p>
    <w:p w:rsidR="00095109" w:rsidRDefault="00207117" w:rsidP="00095109">
      <w:pPr>
        <w:pStyle w:val="ListParagraph"/>
        <w:numPr>
          <w:ilvl w:val="0"/>
          <w:numId w:val="42"/>
        </w:numPr>
        <w:spacing w:after="240"/>
        <w:ind w:left="360"/>
      </w:pPr>
      <w:r>
        <w:t xml:space="preserve">At </w:t>
      </w:r>
      <w:r w:rsidR="005F4A55" w:rsidRPr="00207117">
        <w:t>313.1</w:t>
      </w:r>
      <w:r>
        <w:t>, replace</w:t>
      </w:r>
      <w:r w:rsidR="005F4A55" w:rsidRPr="00207117">
        <w:t xml:space="preserve"> </w:t>
      </w:r>
      <w:r>
        <w:t>“</w:t>
      </w:r>
      <w:r w:rsidR="005F4A55" w:rsidRPr="00207117">
        <w:t>dot11NonAPStationDroppedBestEffort-MSDUCount</w:t>
      </w:r>
      <w:r>
        <w:t>” with “</w:t>
      </w:r>
      <w:r w:rsidRPr="00207117">
        <w:t>dot</w:t>
      </w:r>
      <w:r>
        <w:t>11NonAPStationDroppedBestEffort</w:t>
      </w:r>
      <w:r w:rsidRPr="00207117">
        <w:t>MSDUCount</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848.41</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w:t>
      </w:r>
      <w:r>
        <w:t>45,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868.16</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005F4A55" w:rsidRPr="00095109">
        <w:t>882.33</w:t>
      </w:r>
      <w:r>
        <w:t>, replace</w:t>
      </w:r>
      <w:r w:rsidR="005F4A55" w:rsidRPr="00095109">
        <w:t xml:space="preserve"> </w:t>
      </w:r>
      <w:r>
        <w:t>“</w:t>
      </w:r>
      <w:r w:rsidR="005F4A55" w:rsidRPr="00095109">
        <w:t>dot11CMMG OptionImplemented</w:t>
      </w:r>
      <w:r>
        <w:t>” with “dot11CMMG</w:t>
      </w:r>
      <w:r w:rsidRPr="00095109">
        <w:t>OptionImplemented</w:t>
      </w:r>
      <w:r>
        <w:t>”.</w:t>
      </w:r>
    </w:p>
    <w:p w:rsidR="00095109" w:rsidRDefault="00095109" w:rsidP="00095109">
      <w:pPr>
        <w:pStyle w:val="ListParagraph"/>
      </w:pPr>
    </w:p>
    <w:p w:rsidR="0098574E" w:rsidRDefault="00095109" w:rsidP="0098574E">
      <w:pPr>
        <w:pStyle w:val="ListParagraph"/>
        <w:numPr>
          <w:ilvl w:val="0"/>
          <w:numId w:val="42"/>
        </w:numPr>
        <w:spacing w:after="240"/>
        <w:ind w:left="360"/>
      </w:pPr>
      <w:r>
        <w:t xml:space="preserve">At </w:t>
      </w:r>
      <w:r w:rsidR="005F4A55" w:rsidRPr="00095109">
        <w:t>1052.40</w:t>
      </w:r>
      <w:r>
        <w:t>, replace</w:t>
      </w:r>
      <w:r w:rsidR="005F4A55" w:rsidRPr="00095109">
        <w:t xml:space="preserve"> </w:t>
      </w:r>
      <w:r>
        <w:t>“</w:t>
      </w:r>
      <w:r w:rsidR="005F4A55" w:rsidRPr="00095109">
        <w:t>dot11STAStatisticsAverageAccessDelay-Voice</w:t>
      </w:r>
      <w:r w:rsidR="0098574E">
        <w:t>” with “</w:t>
      </w:r>
      <w:r w:rsidR="0098574E" w:rsidRPr="00095109">
        <w:t>dot11</w:t>
      </w:r>
      <w:r w:rsidR="0098574E">
        <w:t>STAStatisticsAverageAccessDelay</w:t>
      </w:r>
      <w:r w:rsidR="0098574E" w:rsidRPr="00095109">
        <w:t>Voice</w:t>
      </w:r>
      <w:r w:rsidR="0098574E">
        <w:t>”.</w:t>
      </w:r>
    </w:p>
    <w:p w:rsidR="0098574E" w:rsidRDefault="0098574E" w:rsidP="0098574E">
      <w:pPr>
        <w:pStyle w:val="ListParagraph"/>
      </w:pPr>
    </w:p>
    <w:p w:rsidR="0098574E" w:rsidRDefault="0098574E" w:rsidP="0098574E">
      <w:pPr>
        <w:pStyle w:val="ListParagraph"/>
        <w:numPr>
          <w:ilvl w:val="0"/>
          <w:numId w:val="42"/>
        </w:numPr>
        <w:spacing w:after="240"/>
        <w:ind w:left="360"/>
      </w:pPr>
      <w:r>
        <w:t xml:space="preserve">At </w:t>
      </w:r>
      <w:r w:rsidR="005F4A55" w:rsidRPr="0098574E">
        <w:t>1052.41</w:t>
      </w:r>
      <w:r>
        <w:t>, replace</w:t>
      </w:r>
      <w:r w:rsidR="005F4A55" w:rsidRPr="0098574E">
        <w:t xml:space="preserve"> </w:t>
      </w:r>
      <w:r>
        <w:t>“</w:t>
      </w:r>
      <w:r w:rsidR="005F4A55" w:rsidRPr="0098574E">
        <w:t>dot11STAStatisticsAverageAccessDelay-Voice</w:t>
      </w:r>
      <w:r>
        <w:t>” with “</w:t>
      </w:r>
      <w:r w:rsidRPr="00095109">
        <w:t>dot11</w:t>
      </w:r>
      <w:r>
        <w:t>STAStatisticsAverageAccessDelay</w:t>
      </w:r>
      <w:r w:rsidRPr="00095109">
        <w:t>Voice</w:t>
      </w:r>
      <w:r>
        <w:t>”.</w:t>
      </w:r>
    </w:p>
    <w:p w:rsidR="0098574E" w:rsidRDefault="0098574E" w:rsidP="0098574E">
      <w:pPr>
        <w:pStyle w:val="ListParagraph"/>
      </w:pPr>
    </w:p>
    <w:p w:rsidR="0098574E" w:rsidRDefault="00DE25C9" w:rsidP="0098574E">
      <w:pPr>
        <w:pStyle w:val="ListParagraph"/>
        <w:numPr>
          <w:ilvl w:val="0"/>
          <w:numId w:val="42"/>
        </w:numPr>
        <w:spacing w:after="240"/>
        <w:ind w:left="360"/>
      </w:pPr>
      <w:r>
        <w:t>At 2296</w:t>
      </w:r>
      <w:r w:rsidR="005F4A55" w:rsidRPr="0098574E">
        <w:t>.28</w:t>
      </w:r>
      <w:r w:rsidR="0098574E">
        <w:t>, replace</w:t>
      </w:r>
      <w:r w:rsidR="005F4A55" w:rsidRPr="0098574E">
        <w:t xml:space="preserve"> </w:t>
      </w:r>
      <w:r w:rsidR="0098574E">
        <w:t>“</w:t>
      </w:r>
      <w:r w:rsidR="005F4A55" w:rsidRPr="0098574E">
        <w:t>dot11DSEEnablement-TimeLimit</w:t>
      </w:r>
      <w:r w:rsidR="0098574E">
        <w:t>” with “dot11DSEEnablement</w:t>
      </w:r>
      <w:r w:rsidR="0098574E" w:rsidRPr="0098574E">
        <w:t>TimeLimit</w:t>
      </w:r>
      <w:r w:rsidR="0098574E">
        <w:t>”.</w:t>
      </w:r>
    </w:p>
    <w:p w:rsidR="0098574E" w:rsidRDefault="0098574E" w:rsidP="0098574E">
      <w:pPr>
        <w:pStyle w:val="ListParagraph"/>
      </w:pPr>
    </w:p>
    <w:p w:rsidR="005F4A55" w:rsidRPr="0098574E" w:rsidRDefault="0098574E" w:rsidP="0098574E">
      <w:pPr>
        <w:pStyle w:val="ListParagraph"/>
        <w:numPr>
          <w:ilvl w:val="0"/>
          <w:numId w:val="42"/>
        </w:numPr>
        <w:spacing w:after="240"/>
        <w:ind w:left="360"/>
      </w:pPr>
      <w:r>
        <w:t xml:space="preserve">At </w:t>
      </w:r>
      <w:r w:rsidR="005F4A55" w:rsidRPr="0098574E">
        <w:t>230</w:t>
      </w:r>
      <w:r w:rsidR="00DE25C9">
        <w:t>7</w:t>
      </w:r>
      <w:r w:rsidR="005F4A55" w:rsidRPr="0098574E">
        <w:t>.47</w:t>
      </w:r>
      <w:r>
        <w:t>, replace</w:t>
      </w:r>
      <w:r w:rsidR="005F4A55" w:rsidRPr="0098574E">
        <w:t xml:space="preserve"> </w:t>
      </w:r>
      <w:r>
        <w:t>“</w:t>
      </w:r>
      <w:r w:rsidR="005F4A55" w:rsidRPr="0098574E">
        <w:t>dot11BSSWidthTriggerScan-Interval</w:t>
      </w:r>
      <w:r>
        <w:t>” with          “</w:t>
      </w:r>
      <w:r w:rsidRPr="0098574E">
        <w:t>dot11BSSWidthTriggerScanInterval</w:t>
      </w:r>
      <w:r>
        <w:t>”.</w:t>
      </w:r>
    </w:p>
    <w:p w:rsidR="005F4A55" w:rsidRPr="0098574E" w:rsidRDefault="005F4A55" w:rsidP="005F4A55">
      <w:pPr>
        <w:spacing w:after="240"/>
        <w:jc w:val="both"/>
        <w:rPr>
          <w:sz w:val="24"/>
          <w:szCs w:val="24"/>
          <w:lang w:val="en-US"/>
        </w:rPr>
      </w:pPr>
    </w:p>
    <w:p w:rsidR="00072F38" w:rsidRDefault="00072F38">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72F38"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rPr>
                <w:sz w:val="24"/>
                <w:szCs w:val="24"/>
                <w:lang w:val="en-US"/>
              </w:rPr>
            </w:pPr>
            <w:r w:rsidRPr="001E491B">
              <w:rPr>
                <w:sz w:val="24"/>
                <w:szCs w:val="24"/>
                <w:lang w:val="en-US"/>
              </w:rPr>
              <w:t>Proposed Change</w:t>
            </w:r>
          </w:p>
        </w:tc>
      </w:tr>
      <w:tr w:rsidR="00072F38" w:rsidRPr="001E491B" w:rsidTr="005111DB">
        <w:trPr>
          <w:trHeight w:val="1223"/>
          <w:jc w:val="center"/>
        </w:trPr>
        <w:tc>
          <w:tcPr>
            <w:tcW w:w="364" w:type="pct"/>
            <w:shd w:val="clear" w:color="auto" w:fill="auto"/>
          </w:tcPr>
          <w:p w:rsidR="00072F38" w:rsidRPr="001E491B" w:rsidRDefault="00072F38" w:rsidP="00072F38">
            <w:pPr>
              <w:jc w:val="center"/>
              <w:rPr>
                <w:sz w:val="24"/>
                <w:szCs w:val="24"/>
                <w:lang w:val="en-US"/>
              </w:rPr>
            </w:pPr>
            <w:r>
              <w:rPr>
                <w:sz w:val="24"/>
                <w:szCs w:val="24"/>
                <w:lang w:val="en-US"/>
              </w:rPr>
              <w:t>2222</w:t>
            </w:r>
          </w:p>
        </w:tc>
        <w:tc>
          <w:tcPr>
            <w:tcW w:w="686" w:type="pct"/>
            <w:shd w:val="clear" w:color="auto" w:fill="auto"/>
          </w:tcPr>
          <w:p w:rsidR="00072F38" w:rsidRPr="001E491B" w:rsidRDefault="00072F38" w:rsidP="005111DB">
            <w:pPr>
              <w:jc w:val="center"/>
              <w:rPr>
                <w:sz w:val="24"/>
                <w:szCs w:val="24"/>
                <w:lang w:val="en-US"/>
              </w:rPr>
            </w:pPr>
            <w:r>
              <w:rPr>
                <w:sz w:val="24"/>
                <w:szCs w:val="24"/>
                <w:lang w:val="en-US"/>
              </w:rPr>
              <w:t>11.4.8</w:t>
            </w:r>
          </w:p>
        </w:tc>
        <w:tc>
          <w:tcPr>
            <w:tcW w:w="412" w:type="pct"/>
            <w:shd w:val="clear" w:color="auto" w:fill="auto"/>
          </w:tcPr>
          <w:p w:rsidR="00072F38" w:rsidRPr="001E491B" w:rsidRDefault="00072F38" w:rsidP="005111DB">
            <w:pPr>
              <w:jc w:val="center"/>
              <w:rPr>
                <w:sz w:val="24"/>
                <w:szCs w:val="24"/>
                <w:lang w:val="en-US"/>
              </w:rPr>
            </w:pPr>
            <w:r>
              <w:rPr>
                <w:sz w:val="24"/>
                <w:szCs w:val="24"/>
                <w:lang w:val="en-US"/>
              </w:rPr>
              <w:t>2225</w:t>
            </w:r>
          </w:p>
        </w:tc>
        <w:tc>
          <w:tcPr>
            <w:tcW w:w="412" w:type="pct"/>
            <w:shd w:val="clear" w:color="auto" w:fill="auto"/>
          </w:tcPr>
          <w:p w:rsidR="00072F38" w:rsidRPr="001E491B" w:rsidRDefault="00072F38" w:rsidP="005111DB">
            <w:pPr>
              <w:jc w:val="center"/>
              <w:rPr>
                <w:sz w:val="24"/>
                <w:szCs w:val="24"/>
                <w:lang w:val="en-US"/>
              </w:rPr>
            </w:pPr>
            <w:r>
              <w:rPr>
                <w:sz w:val="24"/>
                <w:szCs w:val="24"/>
                <w:lang w:val="en-US"/>
              </w:rPr>
              <w:t>1</w:t>
            </w:r>
          </w:p>
        </w:tc>
        <w:tc>
          <w:tcPr>
            <w:tcW w:w="1381" w:type="pct"/>
            <w:shd w:val="clear" w:color="auto" w:fill="auto"/>
          </w:tcPr>
          <w:p w:rsidR="00072F38" w:rsidRPr="001E491B" w:rsidRDefault="00072F38" w:rsidP="005111DB">
            <w:pPr>
              <w:rPr>
                <w:sz w:val="24"/>
                <w:szCs w:val="24"/>
                <w:lang w:val="en-US"/>
              </w:rPr>
            </w:pPr>
            <w:r w:rsidRPr="00072F38">
              <w:rPr>
                <w:sz w:val="24"/>
                <w:szCs w:val="24"/>
                <w:lang w:val="en-US"/>
              </w:rPr>
              <w:t xml:space="preserve">In Figure 11-20, what does "HC/non-AP STA" mean?  ("or"?  "and"?  something else?)  </w:t>
            </w:r>
            <w:r w:rsidRPr="0014109D">
              <w:rPr>
                <w:sz w:val="24"/>
                <w:szCs w:val="24"/>
                <w:lang w:val="en-US"/>
              </w:rPr>
              <w:t>Similarly, globally, for all "HC/non-AP" or "HC/AP"?  "AP/STA"?  "AP/HC"? "STA/Supplicant"  "AP/Authenticator"</w:t>
            </w:r>
          </w:p>
        </w:tc>
        <w:tc>
          <w:tcPr>
            <w:tcW w:w="1745" w:type="pct"/>
            <w:shd w:val="clear" w:color="auto" w:fill="auto"/>
          </w:tcPr>
          <w:p w:rsidR="00072F38" w:rsidRPr="0014109D" w:rsidRDefault="00072F38" w:rsidP="00072F38">
            <w:pPr>
              <w:rPr>
                <w:sz w:val="24"/>
                <w:szCs w:val="24"/>
                <w:lang w:val="en-US"/>
              </w:rPr>
            </w:pPr>
            <w:r w:rsidRPr="0014109D">
              <w:rPr>
                <w:sz w:val="24"/>
                <w:szCs w:val="24"/>
                <w:lang w:val="en-US"/>
              </w:rPr>
              <w:t>Change the definition of association from "The service used to establish access point/station (AP/STA) mapping ..." to "The service used to establish a mapping between an access point (AP) and a station (STA) ...".</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At P2150.55, change "AP/HC" to "AP or HC".</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In Figure 12-54, change "AP/Authenticator" to "AP and Authenticator", and "STA/Supllicant" to "STA and Supplicant"</w:t>
            </w:r>
          </w:p>
          <w:p w:rsidR="00C060A7" w:rsidRPr="0014109D" w:rsidRDefault="00C060A7" w:rsidP="00072F38">
            <w:pPr>
              <w:rPr>
                <w:sz w:val="24"/>
                <w:szCs w:val="24"/>
                <w:lang w:val="en-US"/>
              </w:rPr>
            </w:pPr>
          </w:p>
          <w:p w:rsidR="00C060A7" w:rsidRPr="0014109D" w:rsidRDefault="00072F38" w:rsidP="00072F38">
            <w:pPr>
              <w:rPr>
                <w:sz w:val="24"/>
                <w:szCs w:val="24"/>
                <w:lang w:val="en-US"/>
              </w:rPr>
            </w:pPr>
            <w:r w:rsidRPr="0014109D">
              <w:rPr>
                <w:sz w:val="24"/>
                <w:szCs w:val="24"/>
                <w:lang w:val="en-US"/>
              </w:rPr>
              <w:t xml:space="preserve">At 1126.3, change "HC/AP" to "HC".  </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In Figures 11-18 and 11-20, and at P2220.12, P2220.17, P2220.21, P2221.21, P2224.22 and P2229.17, change "HC/non-AP" to "HC"</w:t>
            </w:r>
          </w:p>
          <w:p w:rsidR="00C060A7" w:rsidRPr="0014109D" w:rsidRDefault="00C060A7" w:rsidP="00072F38">
            <w:pPr>
              <w:rPr>
                <w:sz w:val="24"/>
                <w:szCs w:val="24"/>
                <w:lang w:val="en-US"/>
              </w:rPr>
            </w:pPr>
          </w:p>
          <w:p w:rsidR="00072F38" w:rsidRPr="001E491B" w:rsidRDefault="00072F38" w:rsidP="00072F38">
            <w:pPr>
              <w:rPr>
                <w:sz w:val="24"/>
                <w:szCs w:val="24"/>
                <w:lang w:val="en-US"/>
              </w:rPr>
            </w:pPr>
            <w:r w:rsidRPr="0014109D">
              <w:rPr>
                <w:sz w:val="24"/>
                <w:szCs w:val="24"/>
                <w:lang w:val="en-US"/>
              </w:rPr>
              <w:t>In 12.7.6.6, second paragraph, change "the STA" to "the Supplicant", and change "AP/STA" to "AP or peer STA".</w:t>
            </w:r>
          </w:p>
        </w:tc>
      </w:tr>
    </w:tbl>
    <w:p w:rsidR="005F4A55" w:rsidRDefault="005F4A55" w:rsidP="00C8497E">
      <w:pPr>
        <w:rPr>
          <w:sz w:val="24"/>
          <w:szCs w:val="24"/>
        </w:rPr>
      </w:pPr>
    </w:p>
    <w:p w:rsidR="00C060A7" w:rsidRDefault="00C060A7">
      <w:pPr>
        <w:rPr>
          <w:b/>
          <w:i/>
          <w:sz w:val="24"/>
          <w:szCs w:val="24"/>
        </w:rPr>
      </w:pPr>
      <w:r>
        <w:rPr>
          <w:b/>
          <w:i/>
          <w:sz w:val="24"/>
          <w:szCs w:val="24"/>
        </w:rPr>
        <w:br w:type="page"/>
      </w:r>
    </w:p>
    <w:p w:rsidR="00072F38" w:rsidRDefault="00072F38" w:rsidP="00C060A7">
      <w:pPr>
        <w:spacing w:after="240"/>
        <w:jc w:val="both"/>
        <w:rPr>
          <w:b/>
          <w:i/>
          <w:sz w:val="24"/>
          <w:szCs w:val="24"/>
        </w:rPr>
      </w:pPr>
      <w:r>
        <w:rPr>
          <w:b/>
          <w:i/>
          <w:sz w:val="24"/>
          <w:szCs w:val="24"/>
        </w:rPr>
        <w:lastRenderedPageBreak/>
        <w:t>Discussion:</w:t>
      </w:r>
    </w:p>
    <w:p w:rsidR="00072F38" w:rsidRDefault="00072F38" w:rsidP="00C060A7">
      <w:pPr>
        <w:tabs>
          <w:tab w:val="left" w:pos="1080"/>
        </w:tabs>
        <w:spacing w:after="240"/>
        <w:jc w:val="both"/>
        <w:rPr>
          <w:sz w:val="24"/>
          <w:szCs w:val="24"/>
        </w:rPr>
      </w:pPr>
      <w:r>
        <w:rPr>
          <w:sz w:val="24"/>
          <w:szCs w:val="24"/>
        </w:rPr>
        <w:t>The figure of interest is shown below.</w:t>
      </w:r>
    </w:p>
    <w:p w:rsidR="00072F38" w:rsidRDefault="00796E27" w:rsidP="00072F38">
      <w:pPr>
        <w:tabs>
          <w:tab w:val="left" w:pos="1080"/>
        </w:tabs>
        <w:spacing w:after="240"/>
        <w:jc w:val="both"/>
        <w:rPr>
          <w:sz w:val="24"/>
          <w:szCs w:val="24"/>
        </w:rPr>
      </w:pPr>
      <w:r w:rsidRPr="00796E27">
        <w:rPr>
          <w:noProof/>
          <w:sz w:val="24"/>
          <w:szCs w:val="24"/>
          <w:lang w:val="en-US" w:eastAsia="zh-CN"/>
        </w:rPr>
        <w:drawing>
          <wp:inline distT="0" distB="0" distL="0" distR="0">
            <wp:extent cx="5612765" cy="526542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8092" cy="5279798"/>
                    </a:xfrm>
                    <a:prstGeom prst="rect">
                      <a:avLst/>
                    </a:prstGeom>
                    <a:noFill/>
                    <a:ln>
                      <a:noFill/>
                    </a:ln>
                  </pic:spPr>
                </pic:pic>
              </a:graphicData>
            </a:graphic>
          </wp:inline>
        </w:drawing>
      </w:r>
    </w:p>
    <w:p w:rsidR="00C060A7" w:rsidRDefault="00C060A7" w:rsidP="00072F38">
      <w:pPr>
        <w:tabs>
          <w:tab w:val="left" w:pos="1080"/>
        </w:tabs>
        <w:spacing w:after="240"/>
        <w:jc w:val="both"/>
        <w:rPr>
          <w:sz w:val="24"/>
          <w:szCs w:val="24"/>
        </w:rPr>
      </w:pPr>
      <w:r>
        <w:rPr>
          <w:sz w:val="24"/>
          <w:szCs w:val="24"/>
        </w:rPr>
        <w:t>In clause 3.1 (Definition):</w:t>
      </w:r>
    </w:p>
    <w:p w:rsidR="00C060A7" w:rsidRDefault="00C060A7" w:rsidP="00072F38">
      <w:pPr>
        <w:tabs>
          <w:tab w:val="left" w:pos="1080"/>
        </w:tabs>
        <w:spacing w:after="240"/>
        <w:jc w:val="both"/>
        <w:rPr>
          <w:sz w:val="24"/>
          <w:szCs w:val="24"/>
        </w:rPr>
      </w:pPr>
      <w:r w:rsidRPr="00C060A7">
        <w:rPr>
          <w:noProof/>
          <w:sz w:val="24"/>
          <w:szCs w:val="24"/>
          <w:lang w:val="en-US" w:eastAsia="zh-CN"/>
        </w:rPr>
        <w:drawing>
          <wp:inline distT="0" distB="0" distL="0" distR="0">
            <wp:extent cx="6400800" cy="41608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416087"/>
                    </a:xfrm>
                    <a:prstGeom prst="rect">
                      <a:avLst/>
                    </a:prstGeom>
                    <a:noFill/>
                    <a:ln>
                      <a:noFill/>
                    </a:ln>
                  </pic:spPr>
                </pic:pic>
              </a:graphicData>
            </a:graphic>
          </wp:inline>
        </w:drawing>
      </w:r>
    </w:p>
    <w:p w:rsidR="00072F38" w:rsidRDefault="00072F38" w:rsidP="00072F38">
      <w:pPr>
        <w:tabs>
          <w:tab w:val="left" w:pos="1080"/>
        </w:tabs>
        <w:spacing w:after="240"/>
        <w:jc w:val="both"/>
        <w:rPr>
          <w:sz w:val="24"/>
          <w:szCs w:val="24"/>
        </w:rPr>
      </w:pPr>
    </w:p>
    <w:p w:rsidR="00630FBE" w:rsidRDefault="00630FBE">
      <w:pPr>
        <w:rPr>
          <w:sz w:val="24"/>
          <w:szCs w:val="24"/>
        </w:rPr>
      </w:pPr>
      <w:r>
        <w:rPr>
          <w:sz w:val="24"/>
          <w:szCs w:val="24"/>
        </w:rPr>
        <w:br w:type="page"/>
      </w:r>
    </w:p>
    <w:p w:rsidR="00072F38" w:rsidRDefault="00072F38" w:rsidP="00C8497E">
      <w:pPr>
        <w:rPr>
          <w:sz w:val="24"/>
          <w:szCs w:val="24"/>
        </w:rPr>
      </w:pPr>
    </w:p>
    <w:p w:rsidR="00630FBE" w:rsidRDefault="00630FBE" w:rsidP="00630FBE">
      <w:pPr>
        <w:spacing w:after="240"/>
        <w:jc w:val="both"/>
        <w:rPr>
          <w:b/>
          <w:i/>
          <w:sz w:val="24"/>
          <w:szCs w:val="24"/>
        </w:rPr>
      </w:pPr>
      <w:r>
        <w:rPr>
          <w:b/>
          <w:i/>
          <w:sz w:val="24"/>
          <w:szCs w:val="24"/>
        </w:rPr>
        <w:t>Proposed resolution:</w:t>
      </w:r>
    </w:p>
    <w:p w:rsidR="00630FBE" w:rsidRDefault="00630FBE" w:rsidP="00630FBE">
      <w:pPr>
        <w:spacing w:after="240"/>
        <w:jc w:val="both"/>
        <w:rPr>
          <w:sz w:val="24"/>
          <w:szCs w:val="24"/>
        </w:rPr>
      </w:pPr>
      <w:r>
        <w:rPr>
          <w:sz w:val="24"/>
          <w:szCs w:val="24"/>
        </w:rPr>
        <w:t>Revised</w:t>
      </w:r>
    </w:p>
    <w:p w:rsidR="00630FBE" w:rsidRPr="0014109D" w:rsidRDefault="00630FBE" w:rsidP="00630FBE">
      <w:pPr>
        <w:rPr>
          <w:sz w:val="24"/>
          <w:szCs w:val="24"/>
          <w:lang w:val="en-US"/>
        </w:rPr>
      </w:pPr>
      <w:r w:rsidRPr="0014109D">
        <w:rPr>
          <w:sz w:val="24"/>
          <w:szCs w:val="24"/>
          <w:lang w:val="en-US"/>
        </w:rPr>
        <w:t>Change the definition of association from "The service used to establish access point/station (AP/STA) mapping ..." to "The service used to establish a mapping between an access point (AP) and a station (STA) ...".</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At P2150.55, change "AP/HC" to "AP or HC".</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In Figure 12-54, change "AP/Authenticator" to "AP and Authenticator", and "STA/Supllicant" to "STA and Supplicant"</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 xml:space="preserve">At 1126.3, change "HC/AP" to "HC".  </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In Figures 11-18 and 11-20, and at P2220.12, P2220.17, P2220.21, P2221.21, P2224.22 and P2229.17, change "HC/non-AP" to "HC"</w:t>
      </w:r>
    </w:p>
    <w:p w:rsidR="00630FBE" w:rsidRPr="0014109D" w:rsidRDefault="00630FBE" w:rsidP="00630FBE">
      <w:pPr>
        <w:rPr>
          <w:sz w:val="24"/>
          <w:szCs w:val="24"/>
          <w:lang w:val="en-US"/>
        </w:rPr>
      </w:pPr>
    </w:p>
    <w:p w:rsidR="00630FBE" w:rsidRDefault="00630FBE" w:rsidP="00630FBE">
      <w:pPr>
        <w:rPr>
          <w:sz w:val="24"/>
          <w:szCs w:val="24"/>
          <w:lang w:val="en-US"/>
        </w:rPr>
      </w:pPr>
      <w:r w:rsidRPr="0014109D">
        <w:rPr>
          <w:sz w:val="24"/>
          <w:szCs w:val="24"/>
          <w:lang w:val="en-US"/>
        </w:rPr>
        <w:t>In 12.7.6.6, second paragraph, change "the STA" to "the Supplicant", and change "AP/STA" to "AP or peer STA".</w:t>
      </w:r>
    </w:p>
    <w:p w:rsidR="00630FBE" w:rsidRDefault="00630FBE" w:rsidP="00630FBE">
      <w:pPr>
        <w:rPr>
          <w:sz w:val="24"/>
          <w:szCs w:val="24"/>
          <w:lang w:val="en-US"/>
        </w:rPr>
      </w:pPr>
    </w:p>
    <w:p w:rsidR="00630FBE" w:rsidRDefault="008C219A" w:rsidP="00630FBE">
      <w:pPr>
        <w:rPr>
          <w:sz w:val="24"/>
          <w:szCs w:val="24"/>
          <w:lang w:val="en-US"/>
        </w:rPr>
      </w:pPr>
      <w:r>
        <w:rPr>
          <w:sz w:val="24"/>
          <w:szCs w:val="24"/>
          <w:lang w:val="en-US"/>
        </w:rPr>
        <w:t>At 1892.57 in D2.1, change “STA/AP” with “STA or AP”.</w:t>
      </w:r>
    </w:p>
    <w:p w:rsidR="00A85537" w:rsidRDefault="00A85537" w:rsidP="00630FBE">
      <w:pPr>
        <w:rPr>
          <w:sz w:val="24"/>
          <w:szCs w:val="24"/>
          <w:lang w:val="en-US"/>
        </w:rPr>
      </w:pPr>
    </w:p>
    <w:p w:rsidR="00A85537" w:rsidRPr="00630FBE" w:rsidRDefault="00A85537" w:rsidP="00630FBE">
      <w:pPr>
        <w:rPr>
          <w:sz w:val="24"/>
          <w:szCs w:val="24"/>
          <w:lang w:val="en-US"/>
        </w:rPr>
      </w:pPr>
      <w:r>
        <w:rPr>
          <w:sz w:val="24"/>
          <w:szCs w:val="24"/>
          <w:lang w:val="en-US"/>
        </w:rPr>
        <w:t>At 2227.18 in D2.1, change “non-PCP / non-AP STA” with “</w:t>
      </w:r>
      <w:r w:rsidR="00610BA1">
        <w:rPr>
          <w:sz w:val="24"/>
          <w:szCs w:val="24"/>
          <w:lang w:val="en-US"/>
        </w:rPr>
        <w:t>non-PCP and</w:t>
      </w:r>
      <w:r>
        <w:rPr>
          <w:sz w:val="24"/>
          <w:szCs w:val="24"/>
          <w:lang w:val="en-US"/>
        </w:rPr>
        <w:t xml:space="preserve"> non-AP STA”.</w:t>
      </w:r>
    </w:p>
    <w:sectPr w:rsidR="00A85537" w:rsidRPr="00630FBE" w:rsidSect="00620EB6">
      <w:headerReference w:type="default" r:id="rId20"/>
      <w:footerReference w:type="default" r:id="rId2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4C" w:rsidRDefault="00543D4C">
      <w:r>
        <w:separator/>
      </w:r>
    </w:p>
  </w:endnote>
  <w:endnote w:type="continuationSeparator" w:id="0">
    <w:p w:rsidR="00543D4C" w:rsidRDefault="0054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43D4C"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602B07">
      <w:rPr>
        <w:noProof/>
      </w:rPr>
      <w:t>6</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4C" w:rsidRDefault="00543D4C">
      <w:r>
        <w:separator/>
      </w:r>
    </w:p>
  </w:footnote>
  <w:footnote w:type="continuationSeparator" w:id="0">
    <w:p w:rsidR="00543D4C" w:rsidRDefault="0054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45D6F" w:rsidP="00A525F0">
    <w:pPr>
      <w:pStyle w:val="Header"/>
      <w:tabs>
        <w:tab w:val="clear" w:pos="6480"/>
        <w:tab w:val="center" w:pos="4680"/>
        <w:tab w:val="right" w:pos="9781"/>
      </w:tabs>
    </w:pPr>
    <w:r>
      <w:t>February 2019</w:t>
    </w:r>
    <w:r>
      <w:tab/>
    </w:r>
    <w:r>
      <w:tab/>
      <w:t xml:space="preserve">  </w:t>
    </w:r>
    <w:r w:rsidR="00543D4C">
      <w:fldChar w:fldCharType="begin"/>
    </w:r>
    <w:r w:rsidR="00543D4C">
      <w:instrText xml:space="preserve"> TITLE  \* MERGEFORMAT </w:instrText>
    </w:r>
    <w:r w:rsidR="00543D4C">
      <w:fldChar w:fldCharType="separate"/>
    </w:r>
    <w:r w:rsidR="00B97AB0">
      <w:t>doc.: IEEE 802.11-19/0262</w:t>
    </w:r>
    <w:r>
      <w:t>r</w:t>
    </w:r>
    <w:r w:rsidR="00917799">
      <w:t>2</w:t>
    </w:r>
    <w:r w:rsidR="00543D4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4"/>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0"/>
  </w:num>
  <w:num w:numId="21">
    <w:abstractNumId w:val="22"/>
  </w:num>
  <w:num w:numId="22">
    <w:abstractNumId w:val="32"/>
  </w:num>
  <w:num w:numId="23">
    <w:abstractNumId w:val="33"/>
  </w:num>
  <w:num w:numId="24">
    <w:abstractNumId w:val="17"/>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3"/>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3C94"/>
    <w:rsid w:val="0011562A"/>
    <w:rsid w:val="00116B5C"/>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2AE3"/>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A08"/>
    <w:rsid w:val="002A6E4D"/>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F1500"/>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3A7E"/>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36A"/>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3D4C"/>
    <w:rsid w:val="0054424E"/>
    <w:rsid w:val="005446E1"/>
    <w:rsid w:val="00544D55"/>
    <w:rsid w:val="00546C62"/>
    <w:rsid w:val="00546E94"/>
    <w:rsid w:val="00547CEA"/>
    <w:rsid w:val="00547E86"/>
    <w:rsid w:val="00551C53"/>
    <w:rsid w:val="00557380"/>
    <w:rsid w:val="00557BB0"/>
    <w:rsid w:val="005628F2"/>
    <w:rsid w:val="0056309E"/>
    <w:rsid w:val="00563483"/>
    <w:rsid w:val="00563F92"/>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2B07"/>
    <w:rsid w:val="00603CDD"/>
    <w:rsid w:val="006044C9"/>
    <w:rsid w:val="00605301"/>
    <w:rsid w:val="00605973"/>
    <w:rsid w:val="00607296"/>
    <w:rsid w:val="006077D3"/>
    <w:rsid w:val="0061059A"/>
    <w:rsid w:val="00610707"/>
    <w:rsid w:val="00610BA1"/>
    <w:rsid w:val="00612457"/>
    <w:rsid w:val="0061270D"/>
    <w:rsid w:val="00617236"/>
    <w:rsid w:val="00620EB6"/>
    <w:rsid w:val="006214E7"/>
    <w:rsid w:val="0062440B"/>
    <w:rsid w:val="00625717"/>
    <w:rsid w:val="006276CE"/>
    <w:rsid w:val="00630FB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47D4"/>
    <w:rsid w:val="00785022"/>
    <w:rsid w:val="00786734"/>
    <w:rsid w:val="00787F34"/>
    <w:rsid w:val="007918BA"/>
    <w:rsid w:val="0079345F"/>
    <w:rsid w:val="00794A74"/>
    <w:rsid w:val="00795974"/>
    <w:rsid w:val="00796E27"/>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7F725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17799"/>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175C"/>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D8E"/>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A7"/>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203D"/>
    <w:rsid w:val="00DB3C29"/>
    <w:rsid w:val="00DB40AD"/>
    <w:rsid w:val="00DB7797"/>
    <w:rsid w:val="00DC0D9E"/>
    <w:rsid w:val="00DC15F1"/>
    <w:rsid w:val="00DC2326"/>
    <w:rsid w:val="00DC27D2"/>
    <w:rsid w:val="00DC3B85"/>
    <w:rsid w:val="00DC505E"/>
    <w:rsid w:val="00DC5A7B"/>
    <w:rsid w:val="00DC6DEB"/>
    <w:rsid w:val="00DD2CA0"/>
    <w:rsid w:val="00DD5436"/>
    <w:rsid w:val="00DD7696"/>
    <w:rsid w:val="00DE0766"/>
    <w:rsid w:val="00DE19EE"/>
    <w:rsid w:val="00DE1E86"/>
    <w:rsid w:val="00DE25C9"/>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A5ED4"/>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4DEA"/>
    <w:rsid w:val="00F6578F"/>
    <w:rsid w:val="00F657A8"/>
    <w:rsid w:val="00F666C7"/>
    <w:rsid w:val="00F67DFB"/>
    <w:rsid w:val="00F7074B"/>
    <w:rsid w:val="00F71076"/>
    <w:rsid w:val="00F71325"/>
    <w:rsid w:val="00F71B39"/>
    <w:rsid w:val="00F738C2"/>
    <w:rsid w:val="00F76570"/>
    <w:rsid w:val="00F77FD0"/>
    <w:rsid w:val="00F83458"/>
    <w:rsid w:val="00F84BF6"/>
    <w:rsid w:val="00F85C46"/>
    <w:rsid w:val="00F868F3"/>
    <w:rsid w:val="00F91E5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79F3-BFFC-4B3B-87EF-724306C6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11</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19/0262r1</vt:lpstr>
    </vt:vector>
  </TitlesOfParts>
  <Company>Huawei Technologies</Company>
  <LinksUpToDate>false</LinksUpToDate>
  <CharactersWithSpaces>10119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19/0262r2</dc:title>
  <dc:subject>Comment Resolution for CID1014</dc:subject>
  <dc:creator>Edward Au</dc:creator>
  <cp:keywords>Submission</cp:keywords>
  <dc:description>Additional REVmd LB236 EDITOR2 ad-hoc related comment resolutions</dc:description>
  <cp:lastModifiedBy>Edward Au</cp:lastModifiedBy>
  <cp:revision>156</cp:revision>
  <cp:lastPrinted>2011-03-31T18:31:00Z</cp:lastPrinted>
  <dcterms:created xsi:type="dcterms:W3CDTF">2017-12-15T16:00:00Z</dcterms:created>
  <dcterms:modified xsi:type="dcterms:W3CDTF">2019-02-22T16:18:00Z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