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42C9704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="00A56F59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6D0AB30" w14:textId="37A137AF" w:rsidR="00AF61E5" w:rsidRDefault="00AF61E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2: update to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2312,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2313,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2270 and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2323</w:t>
                            </w:r>
                          </w:p>
                          <w:p w14:paraId="3EE20173" w14:textId="3754C7D7" w:rsidR="0038275C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3: update to fix editorials</w:t>
                            </w:r>
                          </w:p>
                          <w:p w14:paraId="4A835CA5" w14:textId="126F272F" w:rsidR="0038275C" w:rsidRPr="00914204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4: update remaining </w:t>
                            </w:r>
                            <w:r w:rsidRPr="00914204">
                              <w:rPr>
                                <w:sz w:val="20"/>
                                <w:lang w:eastAsia="ko-KR"/>
                              </w:rPr>
                              <w:t>CIDs -</w:t>
                            </w:r>
                            <w:r w:rsidRPr="00914204">
                              <w:rPr>
                                <w:sz w:val="20"/>
                              </w:rPr>
                              <w:t xml:space="preserve"> 2313, 2312, 2270</w:t>
                            </w:r>
                          </w:p>
                          <w:p w14:paraId="42218FB5" w14:textId="01480EEB" w:rsidR="003D0132" w:rsidRDefault="009A0821" w:rsidP="003D013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Resolution to </w:t>
                            </w:r>
                            <w:r w:rsidR="003D0132">
                              <w:rPr>
                                <w:sz w:val="20"/>
                              </w:rPr>
                              <w:t>CID</w:t>
                            </w:r>
                            <w:r w:rsidR="00BF7B08">
                              <w:rPr>
                                <w:sz w:val="20"/>
                              </w:rPr>
                              <w:t xml:space="preserve">s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2627</w:t>
                            </w:r>
                            <w:r w:rsidR="003D0132">
                              <w:rPr>
                                <w:sz w:val="20"/>
                              </w:rPr>
                              <w:t xml:space="preserve">, 2323,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2261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and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2311</w:t>
                            </w:r>
                            <w:r w:rsidR="00E07AC4">
                              <w:rPr>
                                <w:sz w:val="20"/>
                              </w:rPr>
                              <w:t xml:space="preserve"> (Comment Group PHY Motion B)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accepted on March</w:t>
                            </w:r>
                          </w:p>
                          <w:p w14:paraId="4470F4EF" w14:textId="68C9A850" w:rsidR="00C463FC" w:rsidRPr="002B6AA7" w:rsidRDefault="00C463FC" w:rsidP="00C46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Rev 5: update </w:t>
                            </w:r>
                            <w:r w:rsidR="00EB057A">
                              <w:rPr>
                                <w:sz w:val="20"/>
                              </w:rPr>
                              <w:t xml:space="preserve">to </w:t>
                            </w:r>
                            <w:r w:rsidRPr="00914204">
                              <w:rPr>
                                <w:sz w:val="20"/>
                                <w:highlight w:val="magenta"/>
                              </w:rPr>
                              <w:t>CIDs 2312 and 2313</w:t>
                            </w: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42C9704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="00A56F59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46D0AB30" w14:textId="37A137AF" w:rsidR="00AF61E5" w:rsidRDefault="00AF61E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2: update to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2312,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2313,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2270 and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2323</w:t>
                      </w:r>
                    </w:p>
                    <w:p w14:paraId="3EE20173" w14:textId="3754C7D7" w:rsidR="0038275C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3: update to fix editorials</w:t>
                      </w:r>
                    </w:p>
                    <w:p w14:paraId="4A835CA5" w14:textId="126F272F" w:rsidR="0038275C" w:rsidRPr="00914204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4: update remaining </w:t>
                      </w:r>
                      <w:r w:rsidRPr="00914204">
                        <w:rPr>
                          <w:sz w:val="20"/>
                          <w:lang w:eastAsia="ko-KR"/>
                        </w:rPr>
                        <w:t>CIDs -</w:t>
                      </w:r>
                      <w:r w:rsidRPr="00914204">
                        <w:rPr>
                          <w:sz w:val="20"/>
                        </w:rPr>
                        <w:t xml:space="preserve"> 2313, 2312, 2270</w:t>
                      </w:r>
                    </w:p>
                    <w:p w14:paraId="42218FB5" w14:textId="01480EEB" w:rsidR="003D0132" w:rsidRDefault="009A0821" w:rsidP="003D013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Resolution to </w:t>
                      </w:r>
                      <w:r w:rsidR="003D0132">
                        <w:rPr>
                          <w:sz w:val="20"/>
                        </w:rPr>
                        <w:t>CID</w:t>
                      </w:r>
                      <w:r w:rsidR="00BF7B08">
                        <w:rPr>
                          <w:sz w:val="20"/>
                        </w:rPr>
                        <w:t xml:space="preserve">s </w:t>
                      </w:r>
                      <w:r w:rsidR="003D0132" w:rsidRPr="00EE1B18">
                        <w:rPr>
                          <w:sz w:val="20"/>
                        </w:rPr>
                        <w:t>2627</w:t>
                      </w:r>
                      <w:r w:rsidR="003D0132">
                        <w:rPr>
                          <w:sz w:val="20"/>
                        </w:rPr>
                        <w:t xml:space="preserve">, 2323, </w:t>
                      </w:r>
                      <w:r w:rsidR="003D0132" w:rsidRPr="00EE1B18">
                        <w:rPr>
                          <w:sz w:val="20"/>
                        </w:rPr>
                        <w:t>2261</w:t>
                      </w:r>
                      <w:r w:rsidR="003D0132">
                        <w:rPr>
                          <w:sz w:val="20"/>
                        </w:rPr>
                        <w:t xml:space="preserve"> and </w:t>
                      </w:r>
                      <w:r w:rsidR="003D0132" w:rsidRPr="00EE1B18">
                        <w:rPr>
                          <w:sz w:val="20"/>
                        </w:rPr>
                        <w:t>2311</w:t>
                      </w:r>
                      <w:r w:rsidR="00E07AC4">
                        <w:rPr>
                          <w:sz w:val="20"/>
                        </w:rPr>
                        <w:t xml:space="preserve"> (Comment Group PHY Motion B)</w:t>
                      </w:r>
                      <w:r w:rsidR="003D0132">
                        <w:rPr>
                          <w:sz w:val="20"/>
                        </w:rPr>
                        <w:t xml:space="preserve"> accepted on March</w:t>
                      </w:r>
                    </w:p>
                    <w:p w14:paraId="4470F4EF" w14:textId="68C9A850" w:rsidR="00C463FC" w:rsidRPr="002B6AA7" w:rsidRDefault="00C463FC" w:rsidP="00C46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Rev 5: update </w:t>
                      </w:r>
                      <w:r w:rsidR="00EB057A">
                        <w:rPr>
                          <w:sz w:val="20"/>
                        </w:rPr>
                        <w:t xml:space="preserve">to </w:t>
                      </w:r>
                      <w:r w:rsidRPr="00914204">
                        <w:rPr>
                          <w:sz w:val="20"/>
                          <w:highlight w:val="magenta"/>
                        </w:rPr>
                        <w:t>CIDs 2312 and 2313</w:t>
                      </w: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</w:t>
            </w:r>
            <w:proofErr w:type="gramStart"/>
            <w:r w:rsidRPr="00677652">
              <w:rPr>
                <w:sz w:val="20"/>
              </w:rPr>
              <w:t>anyway</w:t>
            </w:r>
            <w:proofErr w:type="gramEnd"/>
            <w:r w:rsidRPr="00677652">
              <w:rPr>
                <w:sz w:val="20"/>
              </w:rPr>
              <w:t xml:space="preserve">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</w:t>
            </w:r>
            <w:proofErr w:type="gramStart"/>
            <w:r w:rsidRPr="00677652">
              <w:rPr>
                <w:sz w:val="20"/>
              </w:rPr>
              <w:t>The  PREAMBLE</w:t>
            </w:r>
            <w:proofErr w:type="gramEnd"/>
            <w:r w:rsidRPr="00677652">
              <w:rPr>
                <w:sz w:val="20"/>
              </w:rPr>
              <w:t>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03C1AC5C" w14:textId="77777777" w:rsidR="00007B46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787071B" w14:textId="77777777" w:rsidR="00007B46" w:rsidRDefault="00007B46" w:rsidP="00E1190A">
            <w:pPr>
              <w:rPr>
                <w:sz w:val="20"/>
              </w:rPr>
            </w:pPr>
          </w:p>
          <w:p w14:paraId="544C6BA3" w14:textId="1C370173" w:rsidR="0094341D" w:rsidRDefault="00007B46" w:rsidP="00E1190A">
            <w:pPr>
              <w:rPr>
                <w:sz w:val="20"/>
              </w:rPr>
            </w:pPr>
            <w:r w:rsidRPr="00007B46">
              <w:rPr>
                <w:sz w:val="20"/>
              </w:rPr>
              <w:t>These changes make the change on page 3293, and other related changes, but do not delete the referenced row</w:t>
            </w:r>
            <w:r w:rsidR="00E1190A" w:rsidRPr="00677652">
              <w:rPr>
                <w:sz w:val="20"/>
              </w:rPr>
              <w:br/>
            </w:r>
          </w:p>
          <w:p w14:paraId="757F194A" w14:textId="6284458A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0" w:name="RTF32353530313a205461626c65"/>
            <w:r w:rsidRPr="00677652">
              <w:rPr>
                <w:w w:val="100"/>
              </w:rPr>
              <w:t>TXVECTOR and RXVECTOR parameters</w:t>
            </w:r>
            <w:bookmarkEnd w:id="0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HT-mixed format in Clause 19 (High-throughput (HT) PHY specification). Support for S1G_LONG is optional if a STA supports only 1 MHz and 2 </w:t>
      </w:r>
      <w:proofErr w:type="gramStart"/>
      <w:r w:rsidRPr="0094341D">
        <w:rPr>
          <w:sz w:val="20"/>
        </w:rPr>
        <w:t>MHz PPDUs, and</w:t>
      </w:r>
      <w:proofErr w:type="gramEnd"/>
      <w:r w:rsidRPr="0094341D">
        <w:rPr>
          <w:sz w:val="20"/>
        </w:rPr>
        <w:t xml:space="preserve">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32C9B652" w14:textId="7F643BDB" w:rsidR="00A57B09" w:rsidRPr="00677652" w:rsidRDefault="00A57B09" w:rsidP="00CC6ACC">
      <w:pPr>
        <w:jc w:val="center"/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3C122B40" w14:textId="77777777" w:rsidR="00E94767" w:rsidRDefault="00134BDF" w:rsidP="006D170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E94767" w:rsidRPr="00677652">
              <w:rPr>
                <w:sz w:val="20"/>
              </w:rPr>
              <w:br/>
            </w:r>
          </w:p>
          <w:p w14:paraId="7577AC21" w14:textId="65BDFD62" w:rsidR="00145E7C" w:rsidRPr="00677652" w:rsidRDefault="00145E7C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>19-0261-0</w:t>
            </w:r>
            <w:r w:rsidR="00655B40">
              <w:rPr>
                <w:sz w:val="20"/>
              </w:rPr>
              <w:t>5</w:t>
            </w:r>
            <w:r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</w:r>
            <w:proofErr w:type="gramStart"/>
            <w:r w:rsidRPr="00677652">
              <w:rPr>
                <w:sz w:val="20"/>
              </w:rPr>
              <w:t>frame(</w:t>
            </w:r>
            <w:proofErr w:type="gramEnd"/>
            <w:r w:rsidRPr="00677652">
              <w:rPr>
                <w:sz w:val="20"/>
              </w:rPr>
              <w:t>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642CDD35" w14:textId="751E1710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>19-0261-0</w:t>
            </w:r>
            <w:r w:rsidR="00655B40">
              <w:rPr>
                <w:sz w:val="20"/>
              </w:rPr>
              <w:t>5</w:t>
            </w:r>
            <w:r w:rsidR="004025FC"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  <w:r w:rsidRPr="00677652">
              <w:rPr>
                <w:sz w:val="20"/>
              </w:rPr>
              <w:br/>
            </w:r>
          </w:p>
        </w:tc>
      </w:tr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7BC6D85" w14:textId="77777777" w:rsidR="00A67439" w:rsidRDefault="00A67439" w:rsidP="00F91160">
      <w:pPr>
        <w:jc w:val="both"/>
        <w:rPr>
          <w:sz w:val="20"/>
        </w:rPr>
      </w:pPr>
    </w:p>
    <w:p w14:paraId="7327CEF4" w14:textId="03AFF464" w:rsidR="00A67439" w:rsidRDefault="00DC31BC" w:rsidP="00A67439">
      <w:pPr>
        <w:jc w:val="both"/>
        <w:rPr>
          <w:sz w:val="20"/>
        </w:rPr>
      </w:pPr>
      <w:r>
        <w:rPr>
          <w:sz w:val="20"/>
        </w:rPr>
        <w:t>As for CID</w:t>
      </w:r>
      <w:r w:rsidR="00017DE4">
        <w:rPr>
          <w:sz w:val="20"/>
        </w:rPr>
        <w:t xml:space="preserve"> </w:t>
      </w:r>
      <w:r>
        <w:rPr>
          <w:sz w:val="20"/>
        </w:rPr>
        <w:t>2313</w:t>
      </w:r>
      <w:r w:rsidR="00017DE4">
        <w:rPr>
          <w:sz w:val="20"/>
        </w:rPr>
        <w:t xml:space="preserve">, </w:t>
      </w:r>
      <w:r w:rsidR="00A67439" w:rsidRPr="00A67439">
        <w:rPr>
          <w:sz w:val="20"/>
        </w:rPr>
        <w:t>NDP for sounding is defined only using the S1G_SHORT, and NDP for sounding is not allowed for 1 MHz</w:t>
      </w:r>
      <w:r w:rsidR="00907127">
        <w:rPr>
          <w:sz w:val="20"/>
        </w:rPr>
        <w:t xml:space="preserve"> </w:t>
      </w:r>
      <w:r w:rsidR="00A67439" w:rsidRPr="00A67439">
        <w:rPr>
          <w:sz w:val="20"/>
        </w:rPr>
        <w:t>transmissions</w:t>
      </w:r>
      <w:r w:rsidR="00017DE4">
        <w:rPr>
          <w:sz w:val="20"/>
        </w:rPr>
        <w:t xml:space="preserve"> at 3374.46</w:t>
      </w:r>
      <w:r w:rsidR="00A67439" w:rsidRPr="00A67439">
        <w:rPr>
          <w:sz w:val="20"/>
        </w:rPr>
        <w:t>. NDP CMAC frames may either use an S1G_SHORT, or an S1G_1M.</w:t>
      </w:r>
    </w:p>
    <w:p w14:paraId="0F3C9758" w14:textId="77777777" w:rsidR="00C27783" w:rsidRDefault="00C27783" w:rsidP="00F91160">
      <w:pPr>
        <w:jc w:val="both"/>
        <w:rPr>
          <w:sz w:val="20"/>
        </w:rPr>
      </w:pPr>
    </w:p>
    <w:p w14:paraId="19E14A78" w14:textId="2C31D81D" w:rsidR="00F91160" w:rsidRDefault="00017DE4" w:rsidP="00F91160">
      <w:pPr>
        <w:jc w:val="both"/>
        <w:rPr>
          <w:sz w:val="20"/>
        </w:rPr>
      </w:pPr>
      <w:r>
        <w:rPr>
          <w:sz w:val="20"/>
        </w:rPr>
        <w:t>As for CID 2312, i</w:t>
      </w:r>
      <w:r w:rsidR="00F91160">
        <w:rPr>
          <w:sz w:val="20"/>
        </w:rPr>
        <w:t xml:space="preserve">n case a value of </w:t>
      </w:r>
      <w:r w:rsidR="00B95E5D">
        <w:rPr>
          <w:sz w:val="20"/>
        </w:rPr>
        <w:t>an</w:t>
      </w:r>
      <w:r w:rsidR="00F91160">
        <w:rPr>
          <w:sz w:val="20"/>
        </w:rPr>
        <w:t xml:space="preserve"> NDP </w:t>
      </w:r>
      <w:proofErr w:type="spellStart"/>
      <w:r w:rsidR="00F91160">
        <w:rPr>
          <w:sz w:val="20"/>
        </w:rPr>
        <w:t>Indicaton</w:t>
      </w:r>
      <w:proofErr w:type="spellEnd"/>
      <w:r w:rsidR="00F91160">
        <w:rPr>
          <w:sz w:val="20"/>
        </w:rPr>
        <w:t xml:space="preserve"> field </w:t>
      </w:r>
      <w:r w:rsidR="009369D8">
        <w:rPr>
          <w:sz w:val="20"/>
        </w:rPr>
        <w:t xml:space="preserve">in S1G_SHORT preamble </w:t>
      </w:r>
      <w:r w:rsidR="00F91160">
        <w:rPr>
          <w:sz w:val="20"/>
        </w:rPr>
        <w:t>is set to 0, specific settings in SIG field are described at 3375.02 as below</w:t>
      </w: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12957886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506D3032" w14:textId="3CC3896E" w:rsidR="00460E1B" w:rsidRDefault="00460E1B" w:rsidP="00460E1B">
      <w:pPr>
        <w:rPr>
          <w:b/>
          <w:i/>
          <w:sz w:val="20"/>
        </w:rPr>
      </w:pPr>
    </w:p>
    <w:p w14:paraId="347C0FA3" w14:textId="2388AED8" w:rsidR="0041619A" w:rsidRPr="0041619A" w:rsidRDefault="0041619A" w:rsidP="0041619A">
      <w:pPr>
        <w:jc w:val="center"/>
        <w:rPr>
          <w:b/>
          <w:sz w:val="20"/>
        </w:rPr>
      </w:pPr>
      <w:r w:rsidRPr="0041619A">
        <w:rPr>
          <w:b/>
          <w:sz w:val="20"/>
        </w:rPr>
        <w:t>Table 23-11—Fields in the SIG field of short preamble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565581" w14:textId="44E4D58D" w:rsidR="005162C5" w:rsidRDefault="005162C5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Differentiate an S1G NDP CMAC frame and an </w:t>
            </w: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S1G NDP </w:t>
            </w:r>
            <w:r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PPDU </w:t>
            </w: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for </w:t>
            </w:r>
            <w:r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</w:t>
            </w: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ounding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:</w:t>
            </w:r>
          </w:p>
          <w:p w14:paraId="0DBBA8B0" w14:textId="77777777" w:rsidR="005162C5" w:rsidRDefault="005162C5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7AD9761E" w14:textId="6FBE0558" w:rsidR="009F12ED" w:rsidRPr="009369D8" w:rsidRDefault="00DB1AFB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Set to 1 for an S1G NDP CMAC frame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E71B9A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(see Figure 23-21 (SIG field format for ≥ 2 MHz NDP CMAC frame(11ah)))</w:t>
            </w:r>
            <w:r w:rsidR="00D1205C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. 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I</w:t>
            </w:r>
            <w:r w:rsidR="005226B1" w:rsidRPr="000E0164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gnore 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the SIG field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and f</w:t>
            </w:r>
            <w:r w:rsidR="00D1205C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ollo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w the description in </w:t>
            </w:r>
            <w:r w:rsidR="005226B1" w:rsidRP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9.9 (NDP CMAC frames(11ah))</w:t>
            </w:r>
          </w:p>
          <w:p w14:paraId="6BABBDC2" w14:textId="301E1F20" w:rsidR="00DB1AFB" w:rsidRPr="009369D8" w:rsidRDefault="00DB1AFB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Set to 0 for an S1G NDP </w:t>
            </w:r>
            <w:r w:rsidR="00E71B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PPDU 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for </w:t>
            </w:r>
            <w:r w:rsidR="00E71B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ounding</w:t>
            </w:r>
            <w:r w:rsidR="00E71B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E71B9A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(see Figure 23-17 (S1G NDP for Sounding Format))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. F</w:t>
            </w:r>
            <w:r w:rsidR="000E0164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ollow</w:t>
            </w:r>
            <w:r w:rsidR="008157B2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the setting in the SIG field in </w:t>
            </w:r>
            <w:r w:rsidR="008157B2" w:rsidRPr="008157B2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23.3.11 </w:t>
            </w:r>
            <w:r w:rsidR="008157B2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</w:t>
            </w:r>
            <w:r w:rsidR="008157B2" w:rsidRPr="008157B2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S1G preamble format for NDPs</w:t>
            </w:r>
            <w:r w:rsidR="008157B2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)</w:t>
            </w:r>
          </w:p>
          <w:p w14:paraId="58C92635" w14:textId="77777777" w:rsidR="00DB1AFB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146BC86D" w14:textId="78589E1D" w:rsidR="00EB4E34" w:rsidRDefault="00EB4E34" w:rsidP="00792DC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 frame. If set to 1, then the SIG field format is shown in</w:t>
            </w:r>
            <w:r w:rsidR="00792DC6"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Figure 23-21 (SIG field format for ≥ 2 MHz NDP CMAC frame(11ah)) (in 23.3.11) and the SIG field contents follow the description in 9.9 (NDP CMAC frames(11ah))</w:t>
            </w:r>
            <w:r w:rsidR="00792DC6" w:rsidRPr="009369D8">
              <w:rPr>
                <w:strike/>
                <w:color w:val="FF0000"/>
                <w:sz w:val="20"/>
              </w:rPr>
              <w:t>.</w:t>
            </w:r>
            <w:r w:rsidR="0002366A" w:rsidRPr="009369D8">
              <w:rPr>
                <w:color w:val="FF0000"/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  <w:p w14:paraId="6ADB7C02" w14:textId="27F2918A" w:rsidR="00792DC6" w:rsidRPr="00EB4E34" w:rsidRDefault="00792DC6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46D47D9C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59E4318" w14:textId="77777777" w:rsidR="005162C5" w:rsidRDefault="005162C5" w:rsidP="00845898">
      <w:pPr>
        <w:rPr>
          <w:b/>
          <w:i/>
          <w:sz w:val="20"/>
        </w:rPr>
      </w:pPr>
    </w:p>
    <w:p w14:paraId="15BD2485" w14:textId="19E15C4A" w:rsidR="00845898" w:rsidRPr="00677652" w:rsidRDefault="00845898" w:rsidP="00845898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</w:t>
      </w:r>
      <w:r>
        <w:rPr>
          <w:b/>
          <w:i/>
          <w:sz w:val="20"/>
          <w:highlight w:val="yellow"/>
        </w:rPr>
        <w:t>58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38</w:t>
      </w:r>
      <w:r w:rsidRPr="00677652">
        <w:rPr>
          <w:i/>
          <w:sz w:val="20"/>
        </w:rPr>
        <w:t xml:space="preserve"> replace the current text with the proposed changes below.</w:t>
      </w:r>
    </w:p>
    <w:p w14:paraId="142EADED" w14:textId="5380E31C" w:rsidR="00845898" w:rsidRPr="00677652" w:rsidRDefault="00845898" w:rsidP="0084589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5DD32BFF" w14:textId="4DA862D8" w:rsidR="00845898" w:rsidRDefault="00845898" w:rsidP="00845898">
      <w:pPr>
        <w:rPr>
          <w:b/>
          <w:i/>
          <w:sz w:val="20"/>
        </w:rPr>
      </w:pPr>
    </w:p>
    <w:p w14:paraId="4FE4E929" w14:textId="75F156AD" w:rsidR="0041619A" w:rsidRPr="0041619A" w:rsidRDefault="0041619A" w:rsidP="0041619A">
      <w:pPr>
        <w:jc w:val="center"/>
        <w:rPr>
          <w:b/>
          <w:sz w:val="20"/>
        </w:rPr>
      </w:pPr>
      <w:r w:rsidRPr="0041619A">
        <w:rPr>
          <w:b/>
          <w:sz w:val="20"/>
        </w:rPr>
        <w:t>Table 23-18—Fields in the SIG field of S1G_1M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845898" w:rsidRPr="00677652" w14:paraId="530BE8DA" w14:textId="77777777" w:rsidTr="00A55AB0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4BB9BF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217B46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8310AF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23E4C3" w14:textId="77777777" w:rsidR="00845898" w:rsidRPr="00677652" w:rsidRDefault="00845898" w:rsidP="00A55AB0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845898" w:rsidRPr="00677652" w14:paraId="28A1E061" w14:textId="77777777" w:rsidTr="00A55AB0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AF0CF23" w14:textId="77777777" w:rsidR="00845898" w:rsidRPr="00EB4E34" w:rsidRDefault="00845898" w:rsidP="00A55AB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72052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AFC2E0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D40A73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</w:tr>
      <w:tr w:rsidR="00845898" w:rsidRPr="00677652" w14:paraId="256BDE90" w14:textId="77777777" w:rsidTr="00A55AB0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6529B3CA" w14:textId="565A5288" w:rsidR="00845898" w:rsidRPr="00EB4E34" w:rsidRDefault="00845898" w:rsidP="00A55AB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lastRenderedPageBreak/>
              <w:t>SIG-</w:t>
            </w:r>
            <w:r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E34253" w14:textId="5FF8C8AD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</w:t>
            </w:r>
            <w:r w:rsidR="00844812">
              <w:rPr>
                <w:rFonts w:eastAsia="TimesNewRomanPSM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419E2" w14:textId="77777777" w:rsidR="00845898" w:rsidRPr="00EB4E34" w:rsidRDefault="00845898" w:rsidP="00A55AB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0911C1A1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54B2A" w14:textId="14F6450D" w:rsidR="00660D94" w:rsidRPr="009369D8" w:rsidRDefault="00660D94" w:rsidP="00660D9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Set to 1 for an S1G NDP CMAC frame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(see Figure 23-2</w:t>
            </w:r>
            <w:r w:rsidR="004161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0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(</w:t>
            </w:r>
            <w:r w:rsidR="0041619A" w:rsidRPr="004161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SIG field format for 1 MHz NDP CMAC frame</w:t>
            </w:r>
            <w:r w:rsidR="0041619A" w:rsidRPr="004161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(11ah)))</w:t>
            </w:r>
            <w:r w:rsidR="004211E6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. </w:t>
            </w:r>
            <w:r w:rsidR="004211E6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I</w:t>
            </w:r>
            <w:r w:rsidR="004211E6" w:rsidRPr="000E0164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gnore </w:t>
            </w:r>
            <w:r w:rsidR="004211E6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the SIG field and follow the description in </w:t>
            </w:r>
            <w:r w:rsidR="004211E6" w:rsidRP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9.9 (NDP CMAC frames(11ah))</w:t>
            </w:r>
            <w:bookmarkStart w:id="1" w:name="_GoBack"/>
            <w:bookmarkEnd w:id="1"/>
          </w:p>
          <w:p w14:paraId="1DD4353F" w14:textId="3532B711" w:rsidR="00845898" w:rsidRDefault="00845898" w:rsidP="00A55AB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372BDB74" w14:textId="2931B35A" w:rsidR="002B29E6" w:rsidRPr="00794128" w:rsidRDefault="005162C5" w:rsidP="005162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5162C5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NOTE—</w:t>
            </w:r>
            <w:r w:rsidR="002B29E6" w:rsidRPr="0079412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2B29E6" w:rsidRPr="0079412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NDP for sounding is not allowed for 1 MHz</w:t>
            </w:r>
            <w:r w:rsidR="0079412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2B29E6" w:rsidRPr="0079412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transmissions.</w:t>
            </w:r>
          </w:p>
          <w:p w14:paraId="188C9BAA" w14:textId="77777777" w:rsidR="00516682" w:rsidRDefault="00516682" w:rsidP="00A55AB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710B8488" w14:textId="48DAD0D1" w:rsidR="00845898" w:rsidRDefault="00844812" w:rsidP="0084481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proofErr w:type="gramStart"/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frame(</w:t>
            </w:r>
            <w:proofErr w:type="gramEnd"/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#1143). If set to 1, then the SIG field format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is shown in Figure 23-20 (SIG field format for 1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MHz NDP CMAC frame(11ah)) (in 23.3.11) and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the SIG field contents follow the description in 9.9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(NDP CMAC frames(11ah)).</w:t>
            </w:r>
            <w:r w:rsidRPr="00844812">
              <w:rPr>
                <w:rFonts w:eastAsia="TimesNewRomanPSMT"/>
                <w:strike/>
                <w:color w:val="FF0000"/>
                <w:sz w:val="20"/>
                <w:highlight w:val="yellow"/>
                <w:lang w:val="en-US" w:eastAsia="ko-KR"/>
              </w:rPr>
              <w:t xml:space="preserve"> </w:t>
            </w:r>
            <w:r w:rsidR="00845898" w:rsidRPr="0002366A">
              <w:rPr>
                <w:sz w:val="20"/>
                <w:highlight w:val="yellow"/>
              </w:rPr>
              <w:t>(#2312 and #2313)</w:t>
            </w:r>
          </w:p>
          <w:p w14:paraId="61E83CA8" w14:textId="77777777" w:rsidR="00845898" w:rsidRPr="00EB4E34" w:rsidRDefault="00845898" w:rsidP="00A55A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3645F282" w14:textId="77777777" w:rsidR="00845898" w:rsidRPr="0094341D" w:rsidRDefault="00845898" w:rsidP="00845898">
      <w:pPr>
        <w:rPr>
          <w:b/>
          <w:i/>
          <w:sz w:val="20"/>
        </w:rPr>
      </w:pPr>
    </w:p>
    <w:p w14:paraId="347547E8" w14:textId="77777777" w:rsidR="00845898" w:rsidRPr="00677652" w:rsidRDefault="00845898" w:rsidP="0084589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60E3944C" w14:textId="77777777" w:rsidR="00845898" w:rsidRPr="00677652" w:rsidRDefault="00845898" w:rsidP="00460E1B">
      <w:pPr>
        <w:rPr>
          <w:b/>
          <w:i/>
          <w:sz w:val="20"/>
        </w:rPr>
      </w:pPr>
    </w:p>
    <w:p w14:paraId="290BDCDF" w14:textId="47251786" w:rsidR="00E94767" w:rsidRPr="00677652" w:rsidRDefault="00E94767" w:rsidP="00460E1B">
      <w:pPr>
        <w:jc w:val="both"/>
        <w:rPr>
          <w:b/>
          <w:i/>
          <w:sz w:val="20"/>
        </w:rPr>
      </w:pPr>
    </w:p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 w:rsidRPr="004D50C8">
              <w:rPr>
                <w:sz w:val="20"/>
              </w:rPr>
              <w:t>P</w:t>
            </w:r>
            <w:r w:rsidR="005658F4" w:rsidRPr="004D50C8">
              <w:rPr>
                <w:sz w:val="20"/>
              </w:rPr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2A548163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field of S1G_1M </w:t>
      </w:r>
      <w:proofErr w:type="gramStart"/>
      <w:r w:rsidRPr="00F91160">
        <w:rPr>
          <w:rFonts w:eastAsia="TimesNewRomanPSMT"/>
          <w:color w:val="000000"/>
          <w:sz w:val="20"/>
          <w:lang w:val="en-US" w:eastAsia="ko-KR"/>
        </w:rPr>
        <w:t>PPDU(</w:t>
      </w:r>
      <w:proofErr w:type="gramEnd"/>
      <w:r w:rsidRPr="00F91160">
        <w:rPr>
          <w:rFonts w:eastAsia="TimesNewRomanPSMT"/>
          <w:color w:val="000000"/>
          <w:sz w:val="20"/>
          <w:lang w:val="en-US" w:eastAsia="ko-KR"/>
        </w:rPr>
        <w:t>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Pr="002C3053" w:rsidRDefault="005658F4" w:rsidP="006D1700">
            <w:pPr>
              <w:rPr>
                <w:sz w:val="18"/>
              </w:rPr>
            </w:pPr>
            <w:r w:rsidRPr="002C3053">
              <w:rPr>
                <w:sz w:val="20"/>
              </w:rPr>
              <w:t xml:space="preserve">In order to convert byte (unit in LENGTH field) to bit to get </w:t>
            </w:r>
            <w:r w:rsidRPr="002C3053">
              <w:rPr>
                <w:i/>
                <w:sz w:val="20"/>
              </w:rPr>
              <w:t>N</w:t>
            </w:r>
            <w:r w:rsidRPr="002C3053">
              <w:rPr>
                <w:i/>
                <w:sz w:val="20"/>
              </w:rPr>
              <w:softHyphen/>
            </w:r>
            <w:r w:rsidRPr="002C3053">
              <w:rPr>
                <w:i/>
                <w:sz w:val="20"/>
                <w:vertAlign w:val="subscript"/>
              </w:rPr>
              <w:t>SYM</w:t>
            </w:r>
            <w:r w:rsidRPr="002C3053">
              <w:rPr>
                <w:sz w:val="20"/>
              </w:rPr>
              <w:t>, 8 is a required element in both Equation (23-65) and Equation (23-67)</w:t>
            </w:r>
          </w:p>
          <w:p w14:paraId="5263C226" w14:textId="6E773041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lastRenderedPageBreak/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742C0D">
              <w:rPr>
                <w:sz w:val="20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213E3931" w14:textId="09F693C0" w:rsidR="00C1145E" w:rsidRDefault="00C1145E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ED92E" w14:textId="77777777" w:rsidR="0065745E" w:rsidRDefault="0065745E" w:rsidP="00460E1B">
      <w:pPr>
        <w:rPr>
          <w:b/>
          <w:i/>
          <w:sz w:val="20"/>
        </w:rPr>
      </w:pPr>
    </w:p>
    <w:p w14:paraId="5E21DF44" w14:textId="547F18A1" w:rsidR="0025673F" w:rsidRDefault="0025673F" w:rsidP="00460E1B">
      <w:pPr>
        <w:rPr>
          <w:sz w:val="20"/>
        </w:rPr>
      </w:pPr>
      <w:r>
        <w:rPr>
          <w:sz w:val="20"/>
        </w:rPr>
        <w:t>At 3408.52, there is a definition of S1G PHY MIB attributes as below</w:t>
      </w:r>
    </w:p>
    <w:p w14:paraId="3BDE2654" w14:textId="54F67058" w:rsidR="00C1145E" w:rsidRDefault="00C1145E" w:rsidP="00460E1B">
      <w:pPr>
        <w:rPr>
          <w:sz w:val="20"/>
        </w:rPr>
      </w:pPr>
      <w:r>
        <w:rPr>
          <w:sz w:val="20"/>
        </w:rPr>
        <w:lastRenderedPageBreak/>
        <w:t>.</w:t>
      </w:r>
      <w:r w:rsidR="0025673F">
        <w:rPr>
          <w:noProof/>
          <w:sz w:val="20"/>
        </w:rPr>
        <w:drawing>
          <wp:inline distT="0" distB="0" distL="0" distR="0" wp14:anchorId="3A9D9985" wp14:editId="6BDFD533">
            <wp:extent cx="5357004" cy="17747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48" cy="177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0BD" w14:textId="447954F7" w:rsidR="0025673F" w:rsidRDefault="0025673F" w:rsidP="00460E1B">
      <w:pPr>
        <w:rPr>
          <w:sz w:val="20"/>
        </w:rPr>
      </w:pPr>
    </w:p>
    <w:p w14:paraId="68ED79AC" w14:textId="07443CFA" w:rsidR="0065745E" w:rsidRDefault="00804932" w:rsidP="00460E1B">
      <w:pPr>
        <w:rPr>
          <w:sz w:val="20"/>
        </w:rPr>
      </w:pPr>
      <w:r>
        <w:rPr>
          <w:sz w:val="20"/>
        </w:rPr>
        <w:t xml:space="preserve">Dynamic MIB </w:t>
      </w:r>
      <w:r w:rsidRPr="00804932">
        <w:rPr>
          <w:sz w:val="20"/>
        </w:rPr>
        <w:t>can be changed during the lifetime of a BSS</w:t>
      </w:r>
      <w:r>
        <w:rPr>
          <w:sz w:val="20"/>
        </w:rPr>
        <w:t>.</w:t>
      </w:r>
      <w:r w:rsidRPr="00804932">
        <w:rPr>
          <w:sz w:val="20"/>
        </w:rPr>
        <w:t xml:space="preserve"> </w:t>
      </w:r>
      <w:r>
        <w:rPr>
          <w:sz w:val="20"/>
        </w:rPr>
        <w:t>Generally, if written by PHY, MAC-ACCESS is read-only, and if written by</w:t>
      </w:r>
      <w:r w:rsidR="00EB45EB">
        <w:rPr>
          <w:sz w:val="20"/>
        </w:rPr>
        <w:t xml:space="preserve"> </w:t>
      </w:r>
      <w:r w:rsidR="00EB45EB" w:rsidRPr="00EB45EB">
        <w:rPr>
          <w:sz w:val="20"/>
        </w:rPr>
        <w:t>management entity</w:t>
      </w:r>
      <w:r w:rsidR="00EB45EB">
        <w:rPr>
          <w:sz w:val="20"/>
        </w:rPr>
        <w:t xml:space="preserve">, MAC-ACCESS is read-write. </w:t>
      </w:r>
    </w:p>
    <w:p w14:paraId="0BE54028" w14:textId="77777777" w:rsidR="00EB45EB" w:rsidRDefault="00EB45EB" w:rsidP="00460E1B">
      <w:pPr>
        <w:rPr>
          <w:sz w:val="20"/>
        </w:rPr>
      </w:pPr>
    </w:p>
    <w:p w14:paraId="7DBD6D8E" w14:textId="41EF4745" w:rsidR="0025673F" w:rsidRDefault="0025673F" w:rsidP="00460E1B">
      <w:pPr>
        <w:rPr>
          <w:sz w:val="20"/>
        </w:rPr>
      </w:pPr>
      <w:r>
        <w:rPr>
          <w:sz w:val="20"/>
        </w:rPr>
        <w:t xml:space="preserve">At 4211.64, there is a description on </w:t>
      </w:r>
      <w:r w:rsidRPr="0025673F">
        <w:rPr>
          <w:sz w:val="20"/>
        </w:rPr>
        <w:t>dot11S1GTravelingPilotOptionActivated</w:t>
      </w:r>
      <w:r>
        <w:rPr>
          <w:sz w:val="20"/>
        </w:rPr>
        <w:t xml:space="preserve"> as </w:t>
      </w:r>
      <w:proofErr w:type="spellStart"/>
      <w:r>
        <w:rPr>
          <w:sz w:val="20"/>
        </w:rPr>
        <w:t>belw</w:t>
      </w:r>
      <w:proofErr w:type="spellEnd"/>
    </w:p>
    <w:p w14:paraId="606B40FF" w14:textId="647CCDEF" w:rsidR="0025673F" w:rsidRDefault="0025673F" w:rsidP="00460E1B">
      <w:pPr>
        <w:rPr>
          <w:sz w:val="20"/>
        </w:rPr>
      </w:pPr>
    </w:p>
    <w:p w14:paraId="67B1E9FE" w14:textId="77777777" w:rsidR="0025673F" w:rsidRDefault="0025673F" w:rsidP="0025673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>dot11S1GTravelingPilotOptionActivated OBJECT-TYPE</w:t>
      </w:r>
    </w:p>
    <w:p w14:paraId="22F5483B" w14:textId="619DEF38" w:rsidR="0025673F" w:rsidRDefault="0025673F" w:rsidP="0025673F">
      <w:pPr>
        <w:ind w:firstLine="72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</w:p>
    <w:p w14:paraId="155AACB7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 xml:space="preserve">MAX-ACCESS </w:t>
      </w:r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(#</w:t>
      </w:r>
      <w:proofErr w:type="gramStart"/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1246)</w:t>
      </w: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read</w:t>
      </w:r>
      <w:proofErr w:type="gramEnd"/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-write</w:t>
      </w:r>
    </w:p>
    <w:p w14:paraId="52A0AA91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78BC5E74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6D8089EA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control variable.</w:t>
      </w:r>
    </w:p>
    <w:p w14:paraId="7737C6EC" w14:textId="77777777" w:rsidR="0025673F" w:rsidRP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It is written by an external management entity.</w:t>
      </w:r>
    </w:p>
    <w:p w14:paraId="31D741BF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Changes take effect as soon as practical in the implementation.</w:t>
      </w:r>
    </w:p>
    <w:p w14:paraId="2A021986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traveling pilot option is</w:t>
      </w:r>
    </w:p>
    <w:p w14:paraId="2D99FB0E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enabled."</w:t>
      </w:r>
    </w:p>
    <w:p w14:paraId="0741059B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}</w:t>
      </w:r>
    </w:p>
    <w:p w14:paraId="02EF32D4" w14:textId="6480C3A7" w:rsidR="0025673F" w:rsidRPr="00C1145E" w:rsidRDefault="0025673F" w:rsidP="0025673F">
      <w:pPr>
        <w:ind w:firstLine="720"/>
        <w:rPr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dot11PhyS1GEntry 27 }</w:t>
      </w:r>
    </w:p>
    <w:p w14:paraId="005DC284" w14:textId="77777777" w:rsidR="00C1145E" w:rsidRDefault="00C1145E" w:rsidP="00460E1B">
      <w:pPr>
        <w:rPr>
          <w:b/>
          <w:i/>
          <w:sz w:val="20"/>
        </w:rPr>
      </w:pPr>
    </w:p>
    <w:p w14:paraId="58454142" w14:textId="6B24DDC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E22821">
              <w:rPr>
                <w:sz w:val="20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lastRenderedPageBreak/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lastRenderedPageBreak/>
              <w:t>After the cited text add "See 10.8."  At the end of 10.8 add a para "</w:t>
            </w:r>
            <w:bookmarkStart w:id="2" w:name="_Hlk3193818"/>
            <w:r w:rsidRPr="005F42B2">
              <w:rPr>
                <w:sz w:val="20"/>
              </w:rPr>
              <w:t xml:space="preserve">An S1G shall not use an HT Control field other than a VHT variant HT Control field.  </w:t>
            </w:r>
            <w:r w:rsidRPr="005F42B2">
              <w:rPr>
                <w:sz w:val="20"/>
              </w:rPr>
              <w:lastRenderedPageBreak/>
              <w:t>An S1G STA shall not use a VHT variant HT Control field for any purpose other than link adaptation</w:t>
            </w:r>
            <w:bookmarkEnd w:id="2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652360F9" w:rsidR="00924988" w:rsidRDefault="003666F4" w:rsidP="006D17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Accepted</w:t>
            </w:r>
            <w:r w:rsidR="004847C0">
              <w:rPr>
                <w:sz w:val="20"/>
              </w:rPr>
              <w:t>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D19D5BE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lastRenderedPageBreak/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6E6DCB7" w14:textId="150EBBC2" w:rsidR="00AF3BF1" w:rsidRPr="00491E04" w:rsidRDefault="00AF3BF1" w:rsidP="00AF3BF1">
      <w:pPr>
        <w:jc w:val="both"/>
        <w:rPr>
          <w:sz w:val="20"/>
        </w:rPr>
      </w:pPr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678F8688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capable of receiving the VHT variant HT Control field</w:t>
      </w:r>
      <w:r w:rsidRPr="001A7E25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."</w:t>
      </w:r>
      <w:r w:rsidR="001A7E25" w:rsidRPr="001A7E25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 xml:space="preserve"> See 10.8.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5E8B2074" w:rsidR="00036E6D" w:rsidRDefault="00036E6D" w:rsidP="004847C0">
      <w:pPr>
        <w:rPr>
          <w:b/>
          <w:i/>
          <w:sz w:val="20"/>
        </w:rPr>
      </w:pPr>
    </w:p>
    <w:p w14:paraId="535CA586" w14:textId="626C7CB5" w:rsidR="001A7E25" w:rsidRPr="00677652" w:rsidRDefault="001A7E25" w:rsidP="001A7E2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1772</w:t>
      </w:r>
      <w:r w:rsidRPr="00036E6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replace the current text with the proposed changes below.</w:t>
      </w:r>
    </w:p>
    <w:p w14:paraId="2446D51B" w14:textId="77777777" w:rsidR="001A7E25" w:rsidRPr="00677652" w:rsidRDefault="001A7E25" w:rsidP="001A7E2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C6A34F7" w14:textId="77777777" w:rsidR="001A7E25" w:rsidRDefault="001A7E25" w:rsidP="001A7E25">
      <w:pPr>
        <w:rPr>
          <w:b/>
          <w:i/>
          <w:sz w:val="20"/>
        </w:rPr>
      </w:pPr>
    </w:p>
    <w:p w14:paraId="1D9855E4" w14:textId="7CEFDD91" w:rsidR="001A7E25" w:rsidRP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218B21"/>
          <w:sz w:val="20"/>
          <w:lang w:val="en-US" w:eastAsia="ko-KR"/>
        </w:rPr>
        <w:t>(11</w:t>
      </w:r>
      <w:proofErr w:type="gramStart"/>
      <w:r w:rsidRPr="001A7E25">
        <w:rPr>
          <w:rFonts w:eastAsia="TimesNewRomanPSMT"/>
          <w:color w:val="218B21"/>
          <w:sz w:val="20"/>
          <w:lang w:val="en-US" w:eastAsia="ko-KR"/>
        </w:rPr>
        <w:t>ah)</w:t>
      </w:r>
      <w:r w:rsidRPr="001A7E25">
        <w:rPr>
          <w:rFonts w:eastAsia="TimesNewRomanPSMT"/>
          <w:color w:val="000000"/>
          <w:sz w:val="20"/>
          <w:lang w:val="en-US" w:eastAsia="ko-KR"/>
        </w:rPr>
        <w:t>If</w:t>
      </w:r>
      <w:proofErr w:type="gramEnd"/>
      <w:r w:rsidRPr="001A7E25">
        <w:rPr>
          <w:rFonts w:eastAsia="TimesNewRomanPSMT"/>
          <w:color w:val="000000"/>
          <w:sz w:val="20"/>
          <w:lang w:val="en-US" w:eastAsia="ko-KR"/>
        </w:rPr>
        <w:t xml:space="preserve"> the value of dot11S1GControlFieldOptionImplemented is true, an S1G STA shall set the +HTC</w:t>
      </w:r>
      <w:r>
        <w:rPr>
          <w:rFonts w:eastAsia="TimesNewRomanPSMT"/>
          <w:color w:val="000000"/>
          <w:sz w:val="20"/>
          <w:lang w:val="en-US" w:eastAsia="ko-KR"/>
        </w:rPr>
        <w:t>-</w:t>
      </w:r>
      <w:r w:rsidRPr="001A7E25">
        <w:rPr>
          <w:rFonts w:eastAsia="TimesNewRomanPSMT"/>
          <w:color w:val="000000"/>
          <w:sz w:val="20"/>
          <w:lang w:val="en-US" w:eastAsia="ko-KR"/>
        </w:rPr>
        <w:t>VHT</w:t>
      </w:r>
    </w:p>
    <w:p w14:paraId="100C12C1" w14:textId="196FB3AF" w:rsid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000000"/>
          <w:sz w:val="20"/>
          <w:lang w:val="en-US" w:eastAsia="ko-KR"/>
        </w:rPr>
        <w:t>Capable subfield of the S1G Capabilities Information field of the S1G Capabilities element that it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1A7E25">
        <w:rPr>
          <w:rFonts w:eastAsia="TimesNewRomanPSMT"/>
          <w:color w:val="000000"/>
          <w:sz w:val="20"/>
          <w:lang w:val="en-US" w:eastAsia="ko-KR"/>
        </w:rPr>
        <w:t>transmits to 1.</w:t>
      </w:r>
    </w:p>
    <w:p w14:paraId="6D4D0DD3" w14:textId="48A0AD59" w:rsidR="001A7E25" w:rsidRDefault="001A7E25" w:rsidP="001A7E25">
      <w:pPr>
        <w:autoSpaceDE w:val="0"/>
        <w:autoSpaceDN w:val="0"/>
        <w:adjustRightInd w:val="0"/>
        <w:rPr>
          <w:sz w:val="20"/>
        </w:rPr>
      </w:pPr>
    </w:p>
    <w:p w14:paraId="5727032D" w14:textId="0EB1B901" w:rsidR="001A7E25" w:rsidRPr="001A7E25" w:rsidRDefault="001A7E25" w:rsidP="001A7E25">
      <w:pPr>
        <w:autoSpaceDE w:val="0"/>
        <w:autoSpaceDN w:val="0"/>
        <w:adjustRightInd w:val="0"/>
        <w:rPr>
          <w:color w:val="FF0000"/>
          <w:sz w:val="20"/>
          <w:u w:val="single"/>
        </w:rPr>
      </w:pPr>
      <w:r w:rsidRPr="001A7E25">
        <w:rPr>
          <w:color w:val="FF0000"/>
          <w:sz w:val="20"/>
          <w:u w:val="single"/>
        </w:rPr>
        <w:t>An S1G shall not use an HT Control field other than a VHT variant HT Control field.  An S1G STA shall not use a VHT variant HT Control field for any purpose other than link adaptation (see 10.33.3).</w:t>
      </w:r>
    </w:p>
    <w:p w14:paraId="3A381FA0" w14:textId="77777777" w:rsidR="001A7E25" w:rsidRPr="0094341D" w:rsidRDefault="001A7E25" w:rsidP="001A7E25">
      <w:pPr>
        <w:rPr>
          <w:b/>
          <w:i/>
          <w:sz w:val="20"/>
        </w:rPr>
      </w:pPr>
    </w:p>
    <w:p w14:paraId="162208BB" w14:textId="77777777" w:rsidR="001A7E25" w:rsidRDefault="001A7E25" w:rsidP="001A7E2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1A68FB74" w14:textId="5D2185D9" w:rsidR="001A7E25" w:rsidRDefault="001A7E25" w:rsidP="004847C0">
      <w:pPr>
        <w:rPr>
          <w:b/>
          <w:i/>
          <w:sz w:val="20"/>
        </w:rPr>
      </w:pPr>
    </w:p>
    <w:p w14:paraId="6A18C579" w14:textId="77777777" w:rsidR="001A7E25" w:rsidRDefault="001A7E25" w:rsidP="004847C0">
      <w:pPr>
        <w:rPr>
          <w:b/>
          <w:i/>
          <w:sz w:val="20"/>
        </w:rPr>
      </w:pPr>
    </w:p>
    <w:p w14:paraId="6F5C4E06" w14:textId="432A34AA" w:rsidR="001A7E25" w:rsidRDefault="001A7E25" w:rsidP="004847C0">
      <w:pPr>
        <w:rPr>
          <w:b/>
          <w:i/>
          <w:sz w:val="20"/>
        </w:rPr>
      </w:pPr>
    </w:p>
    <w:sectPr w:rsidR="001A7E25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2683" w14:textId="77777777" w:rsidR="00763A48" w:rsidRDefault="00763A48">
      <w:r>
        <w:separator/>
      </w:r>
    </w:p>
  </w:endnote>
  <w:endnote w:type="continuationSeparator" w:id="0">
    <w:p w14:paraId="7E9EE744" w14:textId="77777777" w:rsidR="00763A48" w:rsidRDefault="0076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1B0066E" w:rsidR="006D1700" w:rsidRDefault="00E471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E2EFE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AE9C" w14:textId="77777777" w:rsidR="00763A48" w:rsidRDefault="00763A48">
      <w:r>
        <w:separator/>
      </w:r>
    </w:p>
  </w:footnote>
  <w:footnote w:type="continuationSeparator" w:id="0">
    <w:p w14:paraId="4455A1A7" w14:textId="77777777" w:rsidR="00763A48" w:rsidRDefault="0076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4A56C338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</w:t>
    </w:r>
    <w:r w:rsidR="001D0C1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164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3244"/>
    <w:rsid w:val="00253479"/>
    <w:rsid w:val="002539F0"/>
    <w:rsid w:val="00254FFD"/>
    <w:rsid w:val="0025619A"/>
    <w:rsid w:val="0025673F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429"/>
    <w:rsid w:val="00336601"/>
    <w:rsid w:val="00337761"/>
    <w:rsid w:val="0034028A"/>
    <w:rsid w:val="00340A4E"/>
    <w:rsid w:val="0034119D"/>
    <w:rsid w:val="00341714"/>
    <w:rsid w:val="00352515"/>
    <w:rsid w:val="00352A5B"/>
    <w:rsid w:val="00355C95"/>
    <w:rsid w:val="00356D88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62C5"/>
    <w:rsid w:val="00516682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101FD"/>
    <w:rsid w:val="00611608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5134"/>
    <w:rsid w:val="00642B12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128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4812"/>
    <w:rsid w:val="00845898"/>
    <w:rsid w:val="008465EC"/>
    <w:rsid w:val="008469D2"/>
    <w:rsid w:val="008523AC"/>
    <w:rsid w:val="00853077"/>
    <w:rsid w:val="00853224"/>
    <w:rsid w:val="00853AA1"/>
    <w:rsid w:val="0085409C"/>
    <w:rsid w:val="00854A9A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122E"/>
    <w:rsid w:val="008A3FE9"/>
    <w:rsid w:val="008B0396"/>
    <w:rsid w:val="008B063C"/>
    <w:rsid w:val="008B140E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900945"/>
    <w:rsid w:val="00901889"/>
    <w:rsid w:val="00904ACB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56C0"/>
    <w:rsid w:val="00A26857"/>
    <w:rsid w:val="00A27C01"/>
    <w:rsid w:val="00A319F2"/>
    <w:rsid w:val="00A330DC"/>
    <w:rsid w:val="00A34EB8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5FAC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C0A52"/>
    <w:rsid w:val="00BC23AD"/>
    <w:rsid w:val="00BC23CE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2EFE"/>
    <w:rsid w:val="00BE45CB"/>
    <w:rsid w:val="00BE68C2"/>
    <w:rsid w:val="00BE696F"/>
    <w:rsid w:val="00BE74FF"/>
    <w:rsid w:val="00BF090D"/>
    <w:rsid w:val="00BF3A6E"/>
    <w:rsid w:val="00BF463C"/>
    <w:rsid w:val="00BF7B08"/>
    <w:rsid w:val="00C00E82"/>
    <w:rsid w:val="00C046E4"/>
    <w:rsid w:val="00C0503D"/>
    <w:rsid w:val="00C05043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205C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688B"/>
    <w:rsid w:val="00D46B96"/>
    <w:rsid w:val="00D4718D"/>
    <w:rsid w:val="00D53E52"/>
    <w:rsid w:val="00D5404F"/>
    <w:rsid w:val="00D54E07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31BC"/>
    <w:rsid w:val="00DC47DE"/>
    <w:rsid w:val="00DC5916"/>
    <w:rsid w:val="00DC5A7B"/>
    <w:rsid w:val="00DC5FB9"/>
    <w:rsid w:val="00DC63E3"/>
    <w:rsid w:val="00DC7467"/>
    <w:rsid w:val="00DD0D38"/>
    <w:rsid w:val="00DD4EA4"/>
    <w:rsid w:val="00DD55C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C84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888"/>
    <w:rsid w:val="00F7217C"/>
    <w:rsid w:val="00F7218D"/>
    <w:rsid w:val="00F74CB7"/>
    <w:rsid w:val="00F76D2B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7A9C274-7E6C-4E27-BBBB-23422ECD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105</TotalTime>
  <Pages>8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26</cp:revision>
  <cp:lastPrinted>2019-04-22T20:49:00Z</cp:lastPrinted>
  <dcterms:created xsi:type="dcterms:W3CDTF">2019-04-26T14:47:00Z</dcterms:created>
  <dcterms:modified xsi:type="dcterms:W3CDTF">2019-04-26T16:32:00Z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