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6792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0" w:author="Author">
            <w:rPr/>
          </w:rPrChange>
        </w:rPr>
        <w:t xml:space="preserve">which </w:t>
      </w:r>
      <w:del w:id="1" w:author="Author">
        <w:r w:rsidRPr="00060659" w:rsidDel="00060659">
          <w:rPr>
            <w:sz w:val="24"/>
            <w:szCs w:val="24"/>
            <w:lang w:val="en-US"/>
            <w:rPrChange w:id="2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</w:rPr>
            </w:rPrChange>
          </w:rPr>
          <w:delText xml:space="preserve"> </w:delText>
        </w:r>
      </w:del>
      <w:ins w:id="5" w:author="Author">
        <w:r w:rsidR="00060659" w:rsidRPr="00060659">
          <w:rPr>
            <w:rFonts w:hint="eastAsia"/>
            <w:sz w:val="24"/>
            <w:szCs w:val="24"/>
            <w:lang w:val="en-US"/>
            <w:rPrChange w:id="6" w:author="Author">
              <w:rPr>
                <w:rFonts w:ascii="CourierNewPSMT" w:hAnsi="CourierNewPSMT" w:hint="eastAsia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7" w:author="Author">
        <w:r w:rsidR="00060659">
          <w:t xml:space="preserve"> </w:t>
        </w:r>
      </w:ins>
      <w:del w:id="8" w:author="Author">
        <w:r w:rsidR="001E4F5A" w:rsidDel="00060659">
          <w:delText xml:space="preserve"> </w:delText>
        </w:r>
      </w:del>
      <w:ins w:id="9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0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1" w:author="Author">
        <w:r w:rsidR="003B13A5">
          <w:t>negotiate</w:t>
        </w:r>
      </w:ins>
      <w:del w:id="12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3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4" w:author="Author">
        <w:r w:rsidDel="003B13A5">
          <w:delText xml:space="preserve">. </w:delText>
        </w:r>
      </w:del>
      <w:ins w:id="15" w:author="Author">
        <w:del w:id="16" w:author="Author">
          <w:r w:rsidR="003B13A5" w:rsidDel="003C7D4F">
            <w:delText>,</w:delText>
          </w:r>
        </w:del>
      </w:ins>
      <w:del w:id="17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8" w:author="Author">
        <w:r w:rsidR="006148DB">
          <w:t xml:space="preserve">For </w:t>
        </w:r>
      </w:ins>
      <w:del w:id="19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0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26F4B9AD" w14:textId="01FE6564" w:rsidR="009F3235" w:rsidRDefault="000F2ACB" w:rsidP="00DF49DD">
      <w:pPr>
        <w:jc w:val="both"/>
        <w:rPr>
          <w:ins w:id="21" w:author="Author"/>
        </w:rPr>
      </w:pPr>
      <w:r w:rsidRPr="00FA3F4E">
        <w:t>An RSTA in which dot11PhaseShiftFeedbackImplemented is true shall set the Phase Shift Feedback Support field in the Extended Capabilities element to 1</w:t>
      </w:r>
      <w:ins w:id="22" w:author="Author">
        <w:r w:rsidR="00B60CC1">
          <w:t xml:space="preserve"> to indicate RSTA’s capability</w:t>
        </w:r>
      </w:ins>
      <w:bookmarkStart w:id="23" w:name="_GoBack"/>
      <w:bookmarkEnd w:id="23"/>
      <w:r w:rsidRPr="00FA3F4E">
        <w:t xml:space="preserve">. </w:t>
      </w:r>
    </w:p>
    <w:p w14:paraId="02898A0E" w14:textId="77777777" w:rsidR="009F3235" w:rsidRDefault="009F3235" w:rsidP="00DF49DD">
      <w:pPr>
        <w:jc w:val="both"/>
        <w:rPr>
          <w:ins w:id="24" w:author="Author"/>
        </w:rPr>
      </w:pPr>
    </w:p>
    <w:p w14:paraId="4B277DC5" w14:textId="1583F638" w:rsidR="00A44874" w:rsidRPr="00FA3F4E" w:rsidDel="009F3235" w:rsidRDefault="000F2ACB">
      <w:pPr>
        <w:pStyle w:val="ListParagraph"/>
        <w:numPr>
          <w:ilvl w:val="0"/>
          <w:numId w:val="13"/>
        </w:numPr>
        <w:jc w:val="both"/>
        <w:rPr>
          <w:del w:id="25" w:author="Author"/>
        </w:rPr>
        <w:pPrChange w:id="26" w:author="Author">
          <w:pPr>
            <w:jc w:val="both"/>
          </w:pPr>
        </w:pPrChange>
      </w:pPr>
      <w:del w:id="27" w:author="Author">
        <w:r w:rsidRPr="00FA3F4E" w:rsidDel="009F3235">
          <w:delText xml:space="preserve">An ISTA </w:delText>
        </w:r>
        <w:r w:rsidR="00D00472" w:rsidRPr="00FA3F4E" w:rsidDel="009F3235">
          <w:delText xml:space="preserve">which is </w:delText>
        </w:r>
      </w:del>
      <w:ins w:id="28" w:author="Author">
        <w:del w:id="29" w:author="Author">
          <w:r w:rsidR="004A3E15" w:rsidDel="009F3235">
            <w:delText xml:space="preserve">has set the ISTA-to-RSTA LMR feedback field to 1 </w:delText>
          </w:r>
        </w:del>
      </w:ins>
      <w:del w:id="30" w:author="Author">
        <w:r w:rsidR="00D00472" w:rsidRPr="00FA3F4E" w:rsidDel="009F3235">
          <w:delText xml:space="preserve">willing to share the ISTA-to-RSTA LMR with RSTA and </w:delText>
        </w:r>
        <w:r w:rsidRPr="00FA3F4E" w:rsidDel="009F3235">
          <w:delText xml:space="preserve">in which </w:delText>
        </w:r>
      </w:del>
      <w:ins w:id="31" w:author="Author">
        <w:del w:id="32" w:author="Author">
          <w:r w:rsidR="00E15492" w:rsidDel="009F3235">
            <w:delText>is capable to send LMR carrying phase shift feedback</w:delText>
          </w:r>
        </w:del>
      </w:ins>
      <w:del w:id="33" w:author="Author">
        <w:r w:rsidRPr="00FA3F4E" w:rsidDel="009F3235">
          <w:delText xml:space="preserve">dot11PhaseShiftFeedbackImplemented is true </w:delText>
        </w:r>
      </w:del>
      <w:ins w:id="34" w:author="Author">
        <w:del w:id="35" w:author="Author">
          <w:r w:rsidR="00F70632" w:rsidDel="009F3235">
            <w:delText>shall</w:delText>
          </w:r>
          <w:r w:rsidR="00DB5939" w:rsidDel="009F3235">
            <w:delText>may</w:delText>
          </w:r>
        </w:del>
      </w:ins>
      <w:del w:id="36" w:author="Author">
        <w:r w:rsidRPr="00FA3F4E" w:rsidDel="009F3235">
          <w:delText>shall set the ISTA-to-RSTA Phase Shift Feedback field to 1</w:delText>
        </w:r>
        <w:r w:rsidR="00DF0767" w:rsidRPr="00FA3F4E" w:rsidDel="009F3235">
          <w:delText xml:space="preserve"> in the Ranging Parameter field in an initial Fine Timing Measurement Request frame</w:delText>
        </w:r>
      </w:del>
      <w:ins w:id="37" w:author="Author">
        <w:del w:id="38" w:author="Author">
          <w:r w:rsidR="004626B9" w:rsidDel="009F3235">
            <w:delText xml:space="preserve"> to indicate the ISTA’s capability</w:delText>
          </w:r>
        </w:del>
      </w:ins>
      <w:del w:id="39" w:author="Author">
        <w:r w:rsidR="00DF0767" w:rsidRPr="00FA3F4E" w:rsidDel="009F3235">
          <w:delText xml:space="preserve">. </w:delText>
        </w:r>
      </w:del>
    </w:p>
    <w:p w14:paraId="6FB1301B" w14:textId="39B44D9D" w:rsidR="00D00472" w:rsidDel="009F3235" w:rsidRDefault="00D00472">
      <w:pPr>
        <w:pStyle w:val="ListParagraph"/>
        <w:jc w:val="both"/>
        <w:rPr>
          <w:del w:id="40" w:author="Author"/>
        </w:rPr>
        <w:pPrChange w:id="41" w:author="Author">
          <w:pPr>
            <w:jc w:val="both"/>
          </w:pPr>
        </w:pPrChange>
      </w:pPr>
    </w:p>
    <w:p w14:paraId="58ADA32D" w14:textId="2CE73BC3" w:rsidR="00DF49DD" w:rsidRDefault="00D00472">
      <w:pPr>
        <w:pStyle w:val="ListParagraph"/>
        <w:numPr>
          <w:ilvl w:val="0"/>
          <w:numId w:val="13"/>
        </w:numPr>
        <w:jc w:val="both"/>
        <w:rPr>
          <w:ins w:id="42" w:author="Author"/>
        </w:rPr>
        <w:pPrChange w:id="43" w:author="Author">
          <w:pPr>
            <w:jc w:val="both"/>
          </w:pPr>
        </w:pPrChange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44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45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885EC4">
          <w:t xml:space="preserve">. When the RSTA sets the </w:t>
        </w:r>
        <w:r w:rsidR="00885EC4" w:rsidRPr="00FA3F4E">
          <w:t xml:space="preserve">RSTA-to-ISTA Phase Shift Feedback subfield in the Ranging Parameter field in an initial </w:t>
        </w:r>
        <w:r w:rsidR="00885EC4">
          <w:t>Fine Timing Measurement frame to 1,</w:t>
        </w:r>
        <w:del w:id="46" w:author="Author">
          <w:r w:rsidR="00A37B24" w:rsidDel="00885EC4">
            <w:delText>, and</w:delText>
          </w:r>
          <w:r w:rsidR="00FC36C6" w:rsidDel="00885EC4">
            <w:delText xml:space="preserve"> </w:delText>
          </w:r>
          <w:r w:rsidR="002254D9" w:rsidDel="00A37B24">
            <w:delText xml:space="preserve">. </w:delText>
          </w:r>
          <w:r w:rsidR="00A37B24" w:rsidDel="00885EC4">
            <w:delText>i</w:delText>
          </w:r>
        </w:del>
      </w:ins>
      <w:del w:id="47" w:author="Author">
        <w:r w:rsidR="003639B6" w:rsidDel="00A37B24">
          <w:delText>I</w:delText>
        </w:r>
        <w:r w:rsidR="00AC04EC" w:rsidRPr="00FA3F4E" w:rsidDel="00885EC4">
          <w:delText xml:space="preserve">n this </w:delText>
        </w:r>
        <w:r w:rsidR="003639B6" w:rsidDel="00885EC4">
          <w:delText>case</w:delText>
        </w:r>
      </w:del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6B88EF96" w14:textId="77777777" w:rsidR="009F3235" w:rsidRPr="00FA3F4E" w:rsidRDefault="009F3235" w:rsidP="00DF49DD">
      <w:pPr>
        <w:jc w:val="both"/>
      </w:pPr>
    </w:p>
    <w:p w14:paraId="7F5C3D22" w14:textId="551246EB" w:rsidR="009F3235" w:rsidDel="009F3235" w:rsidRDefault="009F3235" w:rsidP="00B40928">
      <w:pPr>
        <w:jc w:val="both"/>
        <w:rPr>
          <w:del w:id="48" w:author="Author"/>
        </w:rPr>
      </w:pPr>
      <w:ins w:id="49" w:author="Author">
        <w:r w:rsidRPr="00FA3F4E">
          <w:t xml:space="preserve">An ISTA which </w:t>
        </w:r>
        <w:r>
          <w:t xml:space="preserve">has set the ISTA-to-RSTA LMR feedback field to 1 </w:t>
        </w:r>
        <w:del w:id="50" w:author="Author">
          <w:r w:rsidRPr="00FA3F4E" w:rsidDel="00D43B0A">
            <w:delText xml:space="preserve"> </w:delText>
          </w:r>
        </w:del>
        <w:r w:rsidRPr="00FA3F4E">
          <w:t xml:space="preserve">and which </w:t>
        </w:r>
        <w:r>
          <w:t>is capable to send LMR carrying phase shift feedback</w:t>
        </w:r>
        <w:r w:rsidRPr="00FA3F4E">
          <w:t xml:space="preserve"> </w:t>
        </w:r>
        <w:r>
          <w:t>shall</w:t>
        </w:r>
        <w:r w:rsidRPr="00FA3F4E">
          <w:t xml:space="preserve"> set the ISTA-to-RSTA Phase Shift Feedback field to 1 in the Ranging Parameter field in an initial Fine Timing Measurement Request frame</w:t>
        </w:r>
        <w:r>
          <w:t xml:space="preserve"> to indicate the ISTA’s capability</w:t>
        </w:r>
        <w:r w:rsidRPr="00FA3F4E">
          <w:t>.</w:t>
        </w:r>
      </w:ins>
    </w:p>
    <w:p w14:paraId="393778C4" w14:textId="77777777" w:rsidR="009F3235" w:rsidRDefault="009F3235" w:rsidP="00B40928">
      <w:pPr>
        <w:jc w:val="both"/>
        <w:rPr>
          <w:ins w:id="51" w:author="Author"/>
        </w:rPr>
      </w:pPr>
    </w:p>
    <w:p w14:paraId="2020D76A" w14:textId="77777777" w:rsidR="009F3235" w:rsidRDefault="009F3235" w:rsidP="00B40928">
      <w:pPr>
        <w:jc w:val="both"/>
        <w:rPr>
          <w:ins w:id="52" w:author="Author"/>
        </w:rPr>
      </w:pPr>
    </w:p>
    <w:p w14:paraId="285F1E1D" w14:textId="6C5E1BA4" w:rsidR="00414940" w:rsidRPr="00A71AA3" w:rsidRDefault="00414940">
      <w:pPr>
        <w:pStyle w:val="ListParagraph"/>
        <w:numPr>
          <w:ilvl w:val="0"/>
          <w:numId w:val="14"/>
        </w:numPr>
        <w:jc w:val="both"/>
        <w:rPr>
          <w:lang w:eastAsia="zh-CN"/>
        </w:rPr>
        <w:pPrChange w:id="53" w:author="Author">
          <w:pPr>
            <w:jc w:val="both"/>
          </w:pPr>
        </w:pPrChange>
      </w:pPr>
      <w:r>
        <w:t>When an ISTA</w:t>
      </w:r>
      <w:ins w:id="54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55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</w:t>
      </w:r>
      <w:r w:rsidR="00AC04EC">
        <w:lastRenderedPageBreak/>
        <w:t>subfield to 1 in the Ranging Parameter field in an initial Fine Timing Measurement frame to activate a ISTA-to-RSTA phase shift feedback mode between the ISTA and the RSTA</w:t>
      </w:r>
      <w:r w:rsidR="006C78C4">
        <w:t>.</w:t>
      </w:r>
      <w:ins w:id="56" w:author="Author">
        <w:r w:rsidR="008F1BB4">
          <w:t xml:space="preserve"> Otherwise,</w:t>
        </w:r>
        <w:r w:rsidR="008F1BB4" w:rsidRPr="008F1BB4">
          <w:t xml:space="preserve"> </w:t>
        </w:r>
        <w:r w:rsidR="008F1BB4">
          <w:t xml:space="preserve">RSTA </w:t>
        </w:r>
        <w:r w:rsidR="00B603EE">
          <w:t xml:space="preserve">shall </w:t>
        </w:r>
        <w:r w:rsidR="008F1BB4">
          <w:t>set</w:t>
        </w:r>
        <w:del w:id="57" w:author="Author">
          <w:r w:rsidR="008F1BB4" w:rsidDel="00B603EE">
            <w:delText>s</w:delText>
          </w:r>
        </w:del>
        <w:r w:rsidR="008F1BB4">
          <w:t xml:space="preserve"> ISTA-to-RSTA Phase Shift Feedback subfield in the ranging parameter filed of an initial Fine Timing Measurement frame to 0. </w:t>
        </w:r>
      </w:ins>
      <w:r w:rsidR="006C78C4">
        <w:t xml:space="preserve"> </w:t>
      </w:r>
      <w:ins w:id="58" w:author="Author">
        <w:r w:rsidR="008F1BB4">
          <w:t xml:space="preserve">When RSTA sets ISTA-to-RSTA Phase Shift Feedback subfield in the ranging parameter filed of an initial Fine Timing Measurement frame to </w:t>
        </w:r>
        <w:r w:rsidR="00BF3618">
          <w:t>1</w:t>
        </w:r>
        <w:del w:id="59" w:author="Author">
          <w:r w:rsidR="008F1BB4" w:rsidDel="00BF3618">
            <w:delText>0</w:delText>
          </w:r>
        </w:del>
        <w:r w:rsidR="008F1BB4">
          <w:t>,</w:t>
        </w:r>
      </w:ins>
      <w:del w:id="60" w:author="Author">
        <w:r w:rsidR="006C78C4" w:rsidDel="008F1BB4">
          <w:delText>I</w:delText>
        </w:r>
        <w:r w:rsidR="00AC04EC" w:rsidDel="008F1BB4">
          <w:delText xml:space="preserve">n this </w:delText>
        </w:r>
        <w:r w:rsidR="006C78C4" w:rsidDel="008F1BB4">
          <w:delText>case</w:delText>
        </w:r>
      </w:del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BB5EDF" w:rsidRDefault="00646550" w:rsidP="00646550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63011B">
        <w:rPr>
          <w:i/>
          <w:color w:val="FF0000"/>
          <w:szCs w:val="22"/>
        </w:rPr>
        <w:t>TGaz</w:t>
      </w:r>
      <w:proofErr w:type="spellEnd"/>
      <w:r w:rsidRPr="0063011B">
        <w:rPr>
          <w:i/>
          <w:color w:val="FF0000"/>
          <w:szCs w:val="22"/>
        </w:rPr>
        <w:t xml:space="preserve"> Editor: update the Figure 9-610b</w:t>
      </w:r>
      <w:r w:rsidRPr="0063011B">
        <w:rPr>
          <w:i/>
          <w:color w:val="FF0000"/>
          <w:szCs w:val="22"/>
          <w:lang w:val="en-US"/>
        </w:rPr>
        <w:t xml:space="preserve"> </w:t>
      </w:r>
      <w:r w:rsidRPr="00BB5EDF">
        <w:rPr>
          <w:i/>
          <w:color w:val="FF0000"/>
          <w:szCs w:val="22"/>
        </w:rPr>
        <w:t>Ranging Parameters field format</w:t>
      </w:r>
      <w:r w:rsidRPr="00BB5EDF">
        <w:rPr>
          <w:i/>
          <w:color w:val="FF0000"/>
          <w:szCs w:val="22"/>
          <w:lang w:val="en-US"/>
        </w:rPr>
        <w:t xml:space="preserve"> and the corresponding descriptions in section 9.4.2.278 Ranging Pa</w:t>
      </w:r>
      <w:r w:rsidR="008A3FE7" w:rsidRPr="00BB5EDF">
        <w:rPr>
          <w:i/>
          <w:color w:val="FF0000"/>
          <w:szCs w:val="22"/>
          <w:lang w:val="en-US"/>
        </w:rPr>
        <w:t>rameters</w:t>
      </w:r>
    </w:p>
    <w:p w14:paraId="7D22971F" w14:textId="6CDD562B" w:rsidR="005B259C" w:rsidRPr="0063011B" w:rsidRDefault="00300C87" w:rsidP="00B40928">
      <w:pPr>
        <w:jc w:val="both"/>
        <w:rPr>
          <w:strike/>
          <w:rPrChange w:id="61" w:author="Author">
            <w:rPr/>
          </w:rPrChange>
        </w:rPr>
      </w:pPr>
      <w:r w:rsidRPr="0063011B">
        <w:rPr>
          <w:strike/>
          <w:rPrChange w:id="62" w:author="Author">
            <w:rPr>
              <w:strike/>
            </w:rPr>
          </w:rPrChange>
        </w:rP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6793" r:id="rId11"/>
        </w:object>
      </w:r>
    </w:p>
    <w:p w14:paraId="18B2745E" w14:textId="77777777" w:rsidR="00723210" w:rsidRPr="0063011B" w:rsidRDefault="00723210" w:rsidP="00ED40F3">
      <w:pPr>
        <w:jc w:val="center"/>
        <w:rPr>
          <w:strike/>
          <w:rPrChange w:id="63" w:author="Author">
            <w:rPr/>
          </w:rPrChange>
        </w:rPr>
      </w:pPr>
    </w:p>
    <w:p w14:paraId="6A63B8C3" w14:textId="04DA205A" w:rsidR="00576A04" w:rsidRPr="0063011B" w:rsidRDefault="0012241C" w:rsidP="00ED40F3">
      <w:pPr>
        <w:jc w:val="center"/>
        <w:rPr>
          <w:strike/>
          <w:rPrChange w:id="64" w:author="Author">
            <w:rPr/>
          </w:rPrChange>
        </w:rPr>
      </w:pPr>
      <w:r w:rsidRPr="0063011B">
        <w:rPr>
          <w:strike/>
          <w:rPrChange w:id="65" w:author="Author">
            <w:rPr/>
          </w:rPrChange>
        </w:rPr>
        <w:t>Figure 9-610b Ranging Parameters field format</w:t>
      </w:r>
    </w:p>
    <w:p w14:paraId="23BA7D66" w14:textId="77777777" w:rsidR="004C187A" w:rsidRPr="0063011B" w:rsidRDefault="004C187A" w:rsidP="00B40928">
      <w:pPr>
        <w:jc w:val="both"/>
        <w:rPr>
          <w:strike/>
          <w:rPrChange w:id="66" w:author="Author">
            <w:rPr/>
          </w:rPrChange>
        </w:rPr>
      </w:pPr>
    </w:p>
    <w:p w14:paraId="3E0EC582" w14:textId="743E9F08" w:rsidR="00725512" w:rsidRPr="0063011B" w:rsidRDefault="008A3FE7" w:rsidP="00B40928">
      <w:pPr>
        <w:jc w:val="both"/>
        <w:rPr>
          <w:strike/>
          <w:rPrChange w:id="67" w:author="Author">
            <w:rPr/>
          </w:rPrChange>
        </w:rPr>
      </w:pPr>
      <w:r w:rsidRPr="0063011B">
        <w:rPr>
          <w:strike/>
          <w:rPrChange w:id="68" w:author="Author">
            <w:rPr/>
          </w:rPrChange>
        </w:rP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Pr="0063011B" w:rsidRDefault="000C6CAF" w:rsidP="00B40928">
      <w:pPr>
        <w:jc w:val="both"/>
        <w:rPr>
          <w:strike/>
          <w:rPrChange w:id="69" w:author="Author">
            <w:rPr/>
          </w:rPrChange>
        </w:rPr>
      </w:pPr>
    </w:p>
    <w:p w14:paraId="2A5ABB58" w14:textId="4A4C566A" w:rsidR="00300C87" w:rsidRPr="0063011B" w:rsidRDefault="000C6CAF" w:rsidP="00B40928">
      <w:pPr>
        <w:jc w:val="both"/>
        <w:rPr>
          <w:strike/>
          <w:rPrChange w:id="70" w:author="Author">
            <w:rPr/>
          </w:rPrChange>
        </w:rPr>
      </w:pPr>
      <w:r w:rsidRPr="0063011B">
        <w:rPr>
          <w:strike/>
          <w:rPrChange w:id="71" w:author="Author">
            <w:rPr/>
          </w:rPrChange>
        </w:rP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 w:rsidRPr="0063011B">
        <w:rPr>
          <w:strike/>
          <w:rPrChange w:id="72" w:author="Author">
            <w:rPr/>
          </w:rPrChange>
        </w:rPr>
        <w:t>R</w:t>
      </w:r>
      <w:r w:rsidRPr="0063011B">
        <w:rPr>
          <w:strike/>
          <w:rPrChange w:id="73" w:author="Author">
            <w:rPr/>
          </w:rPrChange>
        </w:rPr>
        <w:t>STA Phase Shift Feedback field is set to 0.</w:t>
      </w:r>
    </w:p>
    <w:p w14:paraId="285FCFB4" w14:textId="77777777" w:rsidR="008A3FE7" w:rsidRPr="0063011B" w:rsidRDefault="008A3FE7" w:rsidP="00B40928">
      <w:pPr>
        <w:jc w:val="both"/>
        <w:rPr>
          <w:strike/>
          <w:rPrChange w:id="74" w:author="Author">
            <w:rPr/>
          </w:rPrChange>
        </w:rPr>
      </w:pPr>
    </w:p>
    <w:p w14:paraId="1A063905" w14:textId="4F6806D2" w:rsidR="00FC7F26" w:rsidRPr="0063011B" w:rsidRDefault="00D56E3F" w:rsidP="00B02138">
      <w:pPr>
        <w:pStyle w:val="Heading4"/>
        <w:jc w:val="both"/>
        <w:rPr>
          <w:i/>
          <w:strike/>
          <w:color w:val="FF0000"/>
          <w:szCs w:val="22"/>
          <w:lang w:val="en-US"/>
          <w:rPrChange w:id="75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63011B">
        <w:rPr>
          <w:i/>
          <w:strike/>
          <w:color w:val="FF0000"/>
          <w:szCs w:val="22"/>
          <w:rPrChange w:id="76" w:author="Author">
            <w:rPr>
              <w:i/>
              <w:color w:val="FF0000"/>
              <w:szCs w:val="22"/>
            </w:rPr>
          </w:rPrChange>
        </w:rPr>
        <w:t>TGaz</w:t>
      </w:r>
      <w:proofErr w:type="spellEnd"/>
      <w:r w:rsidRPr="0063011B">
        <w:rPr>
          <w:i/>
          <w:strike/>
          <w:color w:val="FF0000"/>
          <w:szCs w:val="22"/>
          <w:rPrChange w:id="77" w:author="Author">
            <w:rPr>
              <w:i/>
              <w:color w:val="FF0000"/>
              <w:szCs w:val="22"/>
            </w:rPr>
          </w:rPrChange>
        </w:rPr>
        <w:t xml:space="preserve"> Editor:</w:t>
      </w:r>
      <w:r w:rsidR="00B615D7" w:rsidRPr="0063011B">
        <w:rPr>
          <w:i/>
          <w:strike/>
          <w:color w:val="FF0000"/>
          <w:szCs w:val="22"/>
          <w:rPrChange w:id="78" w:author="Author">
            <w:rPr>
              <w:i/>
              <w:color w:val="FF0000"/>
              <w:szCs w:val="22"/>
            </w:rPr>
          </w:rPrChange>
        </w:rPr>
        <w:t xml:space="preserve"> add the following figure </w:t>
      </w:r>
      <w:r w:rsidR="00B8214D" w:rsidRPr="0063011B">
        <w:rPr>
          <w:i/>
          <w:strike/>
          <w:color w:val="FF0000"/>
          <w:szCs w:val="22"/>
          <w:lang w:val="en-US"/>
          <w:rPrChange w:id="79" w:author="Author">
            <w:rPr>
              <w:i/>
              <w:color w:val="FF0000"/>
              <w:szCs w:val="22"/>
              <w:lang w:val="en-US"/>
            </w:rPr>
          </w:rPrChange>
        </w:rPr>
        <w:t xml:space="preserve">and the corresponding descriptions </w:t>
      </w:r>
      <w:r w:rsidR="00A43139" w:rsidRPr="0063011B">
        <w:rPr>
          <w:i/>
          <w:strike/>
          <w:color w:val="FF0000"/>
          <w:szCs w:val="22"/>
          <w:lang w:val="en-US"/>
          <w:rPrChange w:id="80" w:author="Author">
            <w:rPr>
              <w:i/>
              <w:color w:val="FF0000"/>
              <w:szCs w:val="22"/>
              <w:lang w:val="en-US"/>
            </w:rPr>
          </w:rPrChange>
        </w:rPr>
        <w:t xml:space="preserve">in section 9.6.7.37 Location Measurement Report frame format </w:t>
      </w:r>
    </w:p>
    <w:p w14:paraId="3BF36F7C" w14:textId="3D993984" w:rsidR="001F0824" w:rsidRPr="0063011B" w:rsidRDefault="008F0B89" w:rsidP="00581F20">
      <w:pPr>
        <w:jc w:val="center"/>
        <w:rPr>
          <w:strike/>
          <w:rPrChange w:id="81" w:author="Author">
            <w:rPr/>
          </w:rPrChange>
        </w:rPr>
      </w:pPr>
      <w:r w:rsidRPr="0063011B">
        <w:rPr>
          <w:strike/>
          <w:rPrChange w:id="82" w:author="Author">
            <w:rPr/>
          </w:rPrChange>
        </w:rPr>
        <w:lastRenderedPageBreak/>
        <w:t xml:space="preserve"> </w:t>
      </w:r>
      <w:r w:rsidR="00F01BAE" w:rsidRPr="0063011B">
        <w:rPr>
          <w:strike/>
          <w:rPrChange w:id="83" w:author="Author">
            <w:rPr>
              <w:strike/>
            </w:rPr>
          </w:rPrChange>
        </w:rPr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6794" r:id="rId13"/>
        </w:object>
      </w:r>
    </w:p>
    <w:p w14:paraId="61845AFD" w14:textId="2C2A9268" w:rsidR="00B02138" w:rsidRPr="0063011B" w:rsidRDefault="004134CA" w:rsidP="00B02138">
      <w:pPr>
        <w:jc w:val="center"/>
        <w:rPr>
          <w:strike/>
          <w:sz w:val="24"/>
          <w:rPrChange w:id="84" w:author="Author">
            <w:rPr>
              <w:sz w:val="24"/>
            </w:rPr>
          </w:rPrChange>
        </w:rPr>
      </w:pPr>
      <w:r w:rsidRPr="0063011B">
        <w:rPr>
          <w:strike/>
          <w:sz w:val="24"/>
          <w:rPrChange w:id="85" w:author="Author">
            <w:rPr>
              <w:sz w:val="24"/>
            </w:rPr>
          </w:rPrChange>
        </w:rPr>
        <w:t>Figure 9-xxxx F</w:t>
      </w:r>
      <w:r w:rsidR="008F0B89" w:rsidRPr="0063011B">
        <w:rPr>
          <w:strike/>
          <w:sz w:val="24"/>
          <w:rPrChange w:id="86" w:author="Author">
            <w:rPr>
              <w:sz w:val="24"/>
            </w:rPr>
          </w:rPrChange>
        </w:rPr>
        <w:t>ormat of the TOA Error Field</w:t>
      </w:r>
    </w:p>
    <w:p w14:paraId="1126F126" w14:textId="77777777" w:rsidR="00723210" w:rsidRPr="0063011B" w:rsidRDefault="00723210" w:rsidP="00B02138">
      <w:pPr>
        <w:jc w:val="center"/>
        <w:rPr>
          <w:strike/>
          <w:sz w:val="24"/>
          <w:rPrChange w:id="87" w:author="Author">
            <w:rPr>
              <w:sz w:val="24"/>
            </w:rPr>
          </w:rPrChange>
        </w:rPr>
      </w:pPr>
    </w:p>
    <w:p w14:paraId="0808AE09" w14:textId="2DA379F2" w:rsidR="0006740C" w:rsidRPr="0063011B" w:rsidRDefault="00725512" w:rsidP="00A4355B">
      <w:pPr>
        <w:jc w:val="both"/>
        <w:rPr>
          <w:strike/>
          <w:rPrChange w:id="88" w:author="Author">
            <w:rPr/>
          </w:rPrChange>
        </w:rPr>
      </w:pPr>
      <w:r w:rsidRPr="0063011B">
        <w:rPr>
          <w:strike/>
          <w:rPrChange w:id="89" w:author="Author">
            <w:rPr/>
          </w:rPrChange>
        </w:rPr>
        <w:t xml:space="preserve">The Feedback Type field contains an indication of the feedback type of the </w:t>
      </w:r>
      <w:proofErr w:type="spellStart"/>
      <w:r w:rsidRPr="0063011B">
        <w:rPr>
          <w:strike/>
          <w:rPrChange w:id="90" w:author="Author">
            <w:rPr/>
          </w:rPrChange>
        </w:rPr>
        <w:t>ToA</w:t>
      </w:r>
      <w:proofErr w:type="spellEnd"/>
      <w:r w:rsidRPr="0063011B">
        <w:rPr>
          <w:strike/>
          <w:rPrChange w:id="91" w:author="Author">
            <w:rPr/>
          </w:rPrChange>
        </w:rPr>
        <w:t xml:space="preserve"> field.</w:t>
      </w:r>
      <w:r w:rsidR="00513202" w:rsidRPr="0063011B">
        <w:rPr>
          <w:strike/>
          <w:rPrChange w:id="92" w:author="Author">
            <w:rPr/>
          </w:rPrChange>
        </w:rPr>
        <w:t xml:space="preserve"> </w:t>
      </w:r>
      <w:r w:rsidR="0006740C" w:rsidRPr="0063011B">
        <w:rPr>
          <w:strike/>
          <w:rPrChange w:id="93" w:author="Author">
            <w:rPr/>
          </w:rPrChange>
        </w:rPr>
        <w:t>In the RSTA-to-ISTA LMR frame, t</w:t>
      </w:r>
      <w:r w:rsidR="00513202" w:rsidRPr="0063011B">
        <w:rPr>
          <w:strike/>
          <w:rPrChange w:id="94" w:author="Author">
            <w:rPr/>
          </w:rPrChange>
        </w:rPr>
        <w:t xml:space="preserve">he Feedback type field is set to 0, if the </w:t>
      </w:r>
      <w:proofErr w:type="spellStart"/>
      <w:r w:rsidR="00513202" w:rsidRPr="0063011B">
        <w:rPr>
          <w:strike/>
          <w:rPrChange w:id="95" w:author="Author">
            <w:rPr/>
          </w:rPrChange>
        </w:rPr>
        <w:t>ToA</w:t>
      </w:r>
      <w:proofErr w:type="spellEnd"/>
      <w:r w:rsidR="00513202" w:rsidRPr="0063011B">
        <w:rPr>
          <w:strike/>
          <w:rPrChange w:id="96" w:author="Author">
            <w:rPr/>
          </w:rPrChange>
        </w:rPr>
        <w:t xml:space="preserve"> field contains the </w:t>
      </w:r>
      <w:proofErr w:type="spellStart"/>
      <w:r w:rsidR="00513202" w:rsidRPr="0063011B">
        <w:rPr>
          <w:strike/>
          <w:rPrChange w:id="97" w:author="Author">
            <w:rPr/>
          </w:rPrChange>
        </w:rPr>
        <w:t>ToA</w:t>
      </w:r>
      <w:proofErr w:type="spellEnd"/>
      <w:r w:rsidR="00513202" w:rsidRPr="0063011B">
        <w:rPr>
          <w:strike/>
          <w:rPrChange w:id="98" w:author="Author">
            <w:rPr/>
          </w:rPrChange>
        </w:rPr>
        <w:t xml:space="preserve"> value of the corresponding </w:t>
      </w:r>
      <w:r w:rsidR="0006740C" w:rsidRPr="0063011B">
        <w:rPr>
          <w:strike/>
          <w:rPrChange w:id="99" w:author="Author">
            <w:rPr/>
          </w:rPrChange>
        </w:rPr>
        <w:t xml:space="preserve">UL </w:t>
      </w:r>
      <w:r w:rsidR="00312533" w:rsidRPr="0063011B">
        <w:rPr>
          <w:strike/>
          <w:rPrChange w:id="100" w:author="Author">
            <w:rPr/>
          </w:rPrChange>
        </w:rPr>
        <w:t xml:space="preserve">or DL </w:t>
      </w:r>
      <w:r w:rsidR="00513202" w:rsidRPr="0063011B">
        <w:rPr>
          <w:strike/>
          <w:rPrChange w:id="101" w:author="Author">
            <w:rPr/>
          </w:rPrChange>
        </w:rPr>
        <w:t xml:space="preserve">NDP, and the Feedback </w:t>
      </w:r>
      <w:r w:rsidR="00F14938" w:rsidRPr="0063011B">
        <w:rPr>
          <w:strike/>
          <w:rPrChange w:id="102" w:author="Author">
            <w:rPr/>
          </w:rPrChange>
        </w:rPr>
        <w:t>T</w:t>
      </w:r>
      <w:r w:rsidR="00513202" w:rsidRPr="0063011B">
        <w:rPr>
          <w:strike/>
          <w:rPrChange w:id="103" w:author="Author">
            <w:rPr/>
          </w:rPrChange>
        </w:rPr>
        <w:t xml:space="preserve">ype field is set to 1, if the </w:t>
      </w:r>
      <w:proofErr w:type="spellStart"/>
      <w:r w:rsidR="005718CE" w:rsidRPr="0063011B">
        <w:rPr>
          <w:strike/>
          <w:rPrChange w:id="104" w:author="Author">
            <w:rPr/>
          </w:rPrChange>
        </w:rPr>
        <w:t>ToA</w:t>
      </w:r>
      <w:proofErr w:type="spellEnd"/>
      <w:r w:rsidR="005718CE" w:rsidRPr="0063011B">
        <w:rPr>
          <w:strike/>
          <w:rPrChange w:id="105" w:author="Author">
            <w:rPr/>
          </w:rPrChange>
        </w:rPr>
        <w:t xml:space="preserve"> field contains the Phase Shift value of the corresponding </w:t>
      </w:r>
      <w:r w:rsidR="00312533" w:rsidRPr="0063011B">
        <w:rPr>
          <w:strike/>
          <w:rPrChange w:id="106" w:author="Author">
            <w:rPr/>
          </w:rPrChange>
        </w:rPr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258B1" w14:textId="77777777" w:rsidR="00B46160" w:rsidRDefault="00B46160">
      <w:r>
        <w:separator/>
      </w:r>
    </w:p>
  </w:endnote>
  <w:endnote w:type="continuationSeparator" w:id="0">
    <w:p w14:paraId="11934372" w14:textId="77777777" w:rsidR="00B46160" w:rsidRDefault="00B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0E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FF114" w14:textId="77777777" w:rsidR="00B46160" w:rsidRDefault="00B46160">
      <w:r>
        <w:separator/>
      </w:r>
    </w:p>
  </w:footnote>
  <w:footnote w:type="continuationSeparator" w:id="0">
    <w:p w14:paraId="42C23E7A" w14:textId="77777777" w:rsidR="00B46160" w:rsidRDefault="00B4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585"/>
    <w:multiLevelType w:val="hybridMultilevel"/>
    <w:tmpl w:val="8D82609A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76D4"/>
    <w:multiLevelType w:val="hybridMultilevel"/>
    <w:tmpl w:val="CC242482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04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0EE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B2E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24A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159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64C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2D99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0F0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1C87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478FE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07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A5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1B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653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5EC4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34A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1BB4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3F1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0F90"/>
    <w:rsid w:val="009F1CAD"/>
    <w:rsid w:val="009F3235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1AA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160"/>
    <w:rsid w:val="00B46A8A"/>
    <w:rsid w:val="00B50083"/>
    <w:rsid w:val="00B50682"/>
    <w:rsid w:val="00B55E53"/>
    <w:rsid w:val="00B57533"/>
    <w:rsid w:val="00B603EE"/>
    <w:rsid w:val="00B6071E"/>
    <w:rsid w:val="00B60A5D"/>
    <w:rsid w:val="00B60CC1"/>
    <w:rsid w:val="00B61351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6DCA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5ED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618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4B0D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3B0A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939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59A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18D6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66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425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0632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6C6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D05E-F748-489B-95B9-6CA1F243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7992</Characters>
  <Application>Microsoft Office Word</Application>
  <DocSecurity>0</DocSecurity>
  <Lines>193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9c7915d6-ccd9-495f-935d-d677e4ea8fb8</vt:lpwstr>
  </property>
  <property fmtid="{D5CDD505-2E9C-101B-9397-08002B2CF9AE}" pid="4" name="CTP_TimeStamp">
    <vt:lpwstr>2019-01-17 22:10:29Z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