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25D6298E" w:rsidR="00C723BC" w:rsidRPr="00183F4C" w:rsidRDefault="006A5CA8" w:rsidP="00873518">
            <w:pPr>
              <w:pStyle w:val="T2"/>
            </w:pPr>
            <w:r>
              <w:rPr>
                <w:lang w:eastAsia="ko-KR"/>
              </w:rPr>
              <w:t>Changes to D</w:t>
            </w:r>
            <w:r w:rsidR="00E20737">
              <w:rPr>
                <w:lang w:eastAsia="ko-KR"/>
              </w:rPr>
              <w:t>3</w:t>
            </w:r>
            <w:r w:rsidR="00463D61">
              <w:rPr>
                <w:lang w:eastAsia="ko-KR"/>
              </w:rPr>
              <w:t>.</w:t>
            </w:r>
            <w:r w:rsidR="00873518">
              <w:rPr>
                <w:lang w:eastAsia="ko-KR"/>
              </w:rPr>
              <w:t>3</w:t>
            </w:r>
          </w:p>
        </w:tc>
      </w:tr>
      <w:tr w:rsidR="00C723BC" w:rsidRPr="00183F4C" w14:paraId="5B9F14D2" w14:textId="77777777" w:rsidTr="00D74DE9">
        <w:trPr>
          <w:trHeight w:val="359"/>
          <w:jc w:val="center"/>
        </w:trPr>
        <w:tc>
          <w:tcPr>
            <w:tcW w:w="9576" w:type="dxa"/>
            <w:gridSpan w:val="5"/>
            <w:vAlign w:val="center"/>
          </w:tcPr>
          <w:p w14:paraId="03728683" w14:textId="35C7A67C" w:rsidR="00C723BC" w:rsidRPr="00183F4C" w:rsidRDefault="00C723BC" w:rsidP="00E35F65">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E20737">
              <w:rPr>
                <w:b w:val="0"/>
                <w:sz w:val="20"/>
                <w:lang w:eastAsia="ko-KR"/>
              </w:rPr>
              <w:t>1</w:t>
            </w:r>
            <w:r w:rsidR="006A5CA8">
              <w:rPr>
                <w:b w:val="0"/>
                <w:sz w:val="20"/>
                <w:lang w:eastAsia="ko-KR"/>
              </w:rPr>
              <w:t>-</w:t>
            </w:r>
            <w:r w:rsidR="00E35F65">
              <w:rPr>
                <w:b w:val="0"/>
                <w:sz w:val="20"/>
                <w:lang w:eastAsia="ko-KR"/>
              </w:rPr>
              <w:t>07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7F46163D"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E20737">
        <w:rPr>
          <w:lang w:eastAsia="ko-KR"/>
        </w:rPr>
        <w:t>3.</w:t>
      </w:r>
      <w:r w:rsidR="006E405B">
        <w:rPr>
          <w:lang w:eastAsia="ko-KR"/>
        </w:rPr>
        <w:t>3</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112EB6D0" w14:textId="77777777" w:rsidR="00BA1BEC" w:rsidRDefault="00BA1BEC" w:rsidP="00CC5358">
      <w:pPr>
        <w:jc w:val="both"/>
      </w:pPr>
    </w:p>
    <w:p w14:paraId="4827F8EB" w14:textId="77777777" w:rsidR="00BA1BEC" w:rsidRDefault="00BA1BEC" w:rsidP="00CC5358">
      <w:pPr>
        <w:jc w:val="both"/>
      </w:pPr>
    </w:p>
    <w:p w14:paraId="4085216B"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01082F6A" w14:textId="77777777" w:rsidR="00BA1BEC" w:rsidRDefault="00BA1BEC" w:rsidP="00CC5358">
      <w:pPr>
        <w:jc w:val="both"/>
      </w:pPr>
    </w:p>
    <w:p w14:paraId="320F95BA" w14:textId="77777777" w:rsidR="00BA1BEC" w:rsidRDefault="00BA1BEC" w:rsidP="00CC5358">
      <w:pPr>
        <w:jc w:val="both"/>
      </w:pPr>
    </w:p>
    <w:p w14:paraId="1AEFDE76"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0AD0AC22" w14:textId="7526295B" w:rsidR="007A0395" w:rsidRPr="00473F91" w:rsidRDefault="007A0395" w:rsidP="005E768D">
      <w:pPr>
        <w:rPr>
          <w:b/>
          <w:sz w:val="32"/>
          <w:lang w:val="en-US"/>
        </w:rPr>
      </w:pPr>
      <w:r w:rsidRPr="00473F91">
        <w:rPr>
          <w:rFonts w:hint="eastAsia"/>
          <w:b/>
          <w:sz w:val="32"/>
          <w:lang w:val="en-US"/>
        </w:rPr>
        <w:t>Ba</w:t>
      </w:r>
      <w:r w:rsidRPr="00473F91">
        <w:rPr>
          <w:b/>
          <w:sz w:val="32"/>
          <w:lang w:val="en-US"/>
        </w:rPr>
        <w:t>ckground</w:t>
      </w:r>
      <w:r w:rsidR="009A6621" w:rsidRPr="00473F91">
        <w:rPr>
          <w:b/>
          <w:sz w:val="32"/>
          <w:lang w:val="en-US"/>
        </w:rPr>
        <w:t xml:space="preserve"> and discussions</w:t>
      </w:r>
      <w:r w:rsidRPr="00473F91">
        <w:rPr>
          <w:b/>
          <w:sz w:val="32"/>
          <w:lang w:val="en-US"/>
        </w:rPr>
        <w:t>:</w:t>
      </w:r>
    </w:p>
    <w:p w14:paraId="383AF57A" w14:textId="77777777" w:rsidR="004D7F25" w:rsidRDefault="004D7F25" w:rsidP="005E768D">
      <w:pPr>
        <w:rPr>
          <w:rFonts w:ascii="TimesNewRomanPSMT" w:hAnsi="TimesNewRomanPSMT"/>
          <w:color w:val="000000"/>
          <w:sz w:val="20"/>
        </w:rPr>
      </w:pPr>
    </w:p>
    <w:p w14:paraId="02684655" w14:textId="0397E8DC" w:rsidR="007A0395" w:rsidRDefault="004D7F25" w:rsidP="007E5808">
      <w:pPr>
        <w:spacing w:before="120" w:line="360" w:lineRule="auto"/>
        <w:rPr>
          <w:rFonts w:ascii="TimesNewRomanPSMT" w:hAnsi="TimesNewRomanPSMT"/>
          <w:color w:val="000000"/>
          <w:sz w:val="20"/>
        </w:rPr>
      </w:pPr>
      <w:r>
        <w:rPr>
          <w:rFonts w:ascii="TimesNewRomanPSMT" w:hAnsi="TimesNewRomanPSMT"/>
          <w:color w:val="000000"/>
          <w:sz w:val="20"/>
        </w:rPr>
        <w:t>The current draft recommend</w:t>
      </w:r>
      <w:r w:rsidR="004A1D59">
        <w:rPr>
          <w:rFonts w:ascii="TimesNewRomanPSMT" w:hAnsi="TimesNewRomanPSMT"/>
          <w:color w:val="000000"/>
          <w:sz w:val="20"/>
        </w:rPr>
        <w:t>s</w:t>
      </w:r>
      <w:r>
        <w:rPr>
          <w:rFonts w:ascii="TimesNewRomanPSMT" w:hAnsi="TimesNewRomanPSMT"/>
          <w:color w:val="000000"/>
          <w:sz w:val="20"/>
        </w:rPr>
        <w:t xml:space="preserve"> that the total power of Pre-HE portion &gt;= the total power of HE portion: “</w:t>
      </w:r>
      <w:r w:rsidR="007A0395" w:rsidRPr="004D7F25">
        <w:rPr>
          <w:rFonts w:ascii="TimesNewRomanPSMT" w:hAnsi="TimesNewRomanPSMT"/>
          <w:color w:val="000000"/>
          <w:sz w:val="20"/>
          <w:highlight w:val="yellow"/>
        </w:rPr>
        <w:t>The total power of the time domain HE modulated field signals summed over all transmit</w:t>
      </w:r>
      <w:r w:rsidRPr="004D7F25">
        <w:rPr>
          <w:rFonts w:ascii="TimesNewRomanPSMT" w:hAnsi="TimesNewRomanPSMT"/>
          <w:color w:val="000000"/>
          <w:sz w:val="20"/>
          <w:highlight w:val="yellow"/>
        </w:rPr>
        <w:t xml:space="preserve"> </w:t>
      </w:r>
      <w:r w:rsidR="007A0395" w:rsidRPr="004D7F25">
        <w:rPr>
          <w:rFonts w:ascii="TimesNewRomanPSMT" w:hAnsi="TimesNewRomanPSMT"/>
          <w:color w:val="000000"/>
          <w:sz w:val="20"/>
          <w:highlight w:val="yellow"/>
        </w:rPr>
        <w:t xml:space="preserve">chains should not exceed the total power of the time domain pre-HE modulated field signals summed over all transmit chains </w:t>
      </w:r>
      <w:proofErr w:type="gramStart"/>
      <w:r w:rsidR="007A0395" w:rsidRPr="004D7F25">
        <w:rPr>
          <w:rFonts w:ascii="TimesNewRomanPSMT" w:hAnsi="TimesNewRomanPSMT"/>
          <w:color w:val="000000"/>
          <w:sz w:val="20"/>
          <w:highlight w:val="yellow"/>
        </w:rPr>
        <w:t>if</w:t>
      </w:r>
      <w:r w:rsidR="007A0395" w:rsidRPr="004D7F25">
        <w:rPr>
          <w:rFonts w:ascii="TimesNewRomanPSMT" w:hAnsi="TimesNewRomanPSMT"/>
          <w:color w:val="218A21"/>
          <w:sz w:val="20"/>
          <w:highlight w:val="yellow"/>
        </w:rPr>
        <w:t>(</w:t>
      </w:r>
      <w:proofErr w:type="gramEnd"/>
      <w:r w:rsidR="007A0395" w:rsidRPr="004D7F25">
        <w:rPr>
          <w:rFonts w:ascii="TimesNewRomanPSMT" w:hAnsi="TimesNewRomanPSMT"/>
          <w:color w:val="218A21"/>
          <w:sz w:val="20"/>
          <w:highlight w:val="yellow"/>
        </w:rPr>
        <w:t xml:space="preserve">#15480) </w:t>
      </w:r>
      <w:r w:rsidR="007A0395" w:rsidRPr="004D7F25">
        <w:rPr>
          <w:rFonts w:ascii="TimesNewRomanPSMT" w:hAnsi="TimesNewRomanPSMT"/>
          <w:color w:val="000000"/>
          <w:sz w:val="20"/>
          <w:highlight w:val="yellow"/>
        </w:rPr>
        <w:t>the TXVECTOR parameter BEAM_CHANGE is 1 or not present and power</w:t>
      </w:r>
      <w:r w:rsidRPr="004D7F25">
        <w:rPr>
          <w:rFonts w:ascii="TimesNewRomanPSMT" w:hAnsi="TimesNewRomanPSMT"/>
          <w:color w:val="000000"/>
          <w:sz w:val="20"/>
          <w:highlight w:val="yellow"/>
        </w:rPr>
        <w:t xml:space="preserve"> </w:t>
      </w:r>
      <w:r w:rsidR="007A0395" w:rsidRPr="004D7F25">
        <w:rPr>
          <w:rFonts w:ascii="TimesNewRomanPSMT" w:hAnsi="TimesNewRomanPSMT"/>
          <w:color w:val="000000"/>
          <w:sz w:val="20"/>
          <w:highlight w:val="yellow"/>
        </w:rPr>
        <w:t>boost in HE modulated fields is not present.</w:t>
      </w:r>
      <w:r>
        <w:rPr>
          <w:rFonts w:ascii="TimesNewRomanPSMT" w:hAnsi="TimesNewRomanPSMT"/>
          <w:color w:val="000000"/>
          <w:sz w:val="20"/>
        </w:rPr>
        <w:t>”</w:t>
      </w:r>
    </w:p>
    <w:p w14:paraId="78A56D2D" w14:textId="4A593877" w:rsidR="00174C0E" w:rsidRDefault="00174C0E" w:rsidP="007E5808">
      <w:pPr>
        <w:spacing w:before="120" w:line="360" w:lineRule="auto"/>
        <w:rPr>
          <w:rFonts w:ascii="TimesNewRomanPSMT" w:hAnsi="TimesNewRomanPSMT"/>
          <w:color w:val="000000"/>
          <w:sz w:val="20"/>
        </w:rPr>
      </w:pPr>
      <w:r>
        <w:rPr>
          <w:rFonts w:ascii="TimesNewRomanPSMT" w:hAnsi="TimesNewRomanPSMT"/>
          <w:color w:val="000000"/>
          <w:sz w:val="20"/>
        </w:rPr>
        <w:t xml:space="preserve">For HE TB PPDU, the Pre-HE portion may </w:t>
      </w:r>
      <w:r w:rsidR="007E5808">
        <w:rPr>
          <w:rFonts w:ascii="TimesNewRomanPSMT" w:hAnsi="TimesNewRomanPSMT"/>
          <w:color w:val="000000"/>
          <w:sz w:val="20"/>
        </w:rPr>
        <w:t xml:space="preserve">be </w:t>
      </w:r>
      <w:r w:rsidRPr="007E5808">
        <w:rPr>
          <w:rFonts w:ascii="TimesNewRomanPSMT" w:hAnsi="TimesNewRomanPSMT"/>
          <w:b/>
          <w:sz w:val="20"/>
        </w:rPr>
        <w:t>transmit</w:t>
      </w:r>
      <w:r w:rsidR="007E5808" w:rsidRPr="007E5808">
        <w:rPr>
          <w:rFonts w:ascii="TimesNewRomanPSMT" w:hAnsi="TimesNewRomanPSMT"/>
          <w:b/>
          <w:sz w:val="20"/>
        </w:rPr>
        <w:t>ted</w:t>
      </w:r>
      <w:r w:rsidRPr="007E5808">
        <w:rPr>
          <w:rFonts w:ascii="TimesNewRomanPSMT" w:hAnsi="TimesNewRomanPSMT"/>
          <w:b/>
          <w:sz w:val="20"/>
        </w:rPr>
        <w:t xml:space="preserve"> on wider bandwidth than</w:t>
      </w:r>
      <w:r w:rsidRPr="007E5808">
        <w:rPr>
          <w:rFonts w:ascii="TimesNewRomanPSMT" w:hAnsi="TimesNewRomanPSMT"/>
          <w:sz w:val="20"/>
        </w:rPr>
        <w:t xml:space="preserve"> </w:t>
      </w:r>
      <w:r>
        <w:rPr>
          <w:rFonts w:ascii="TimesNewRomanPSMT" w:hAnsi="TimesNewRomanPSMT"/>
          <w:color w:val="000000"/>
          <w:sz w:val="20"/>
        </w:rPr>
        <w:t>the HE portion if the H</w:t>
      </w:r>
      <w:r w:rsidRPr="00174C0E">
        <w:rPr>
          <w:rFonts w:ascii="TimesNewRomanPSMT" w:hAnsi="TimesNewRomanPSMT"/>
          <w:color w:val="000000"/>
          <w:sz w:val="20"/>
        </w:rPr>
        <w:t>E</w:t>
      </w:r>
      <w:r>
        <w:rPr>
          <w:rFonts w:ascii="TimesNewRomanPSMT" w:hAnsi="TimesNewRomanPSMT"/>
          <w:color w:val="000000"/>
          <w:sz w:val="20"/>
        </w:rPr>
        <w:t xml:space="preserve"> portion is populated on some </w:t>
      </w:r>
      <w:proofErr w:type="spellStart"/>
      <w:r>
        <w:rPr>
          <w:rFonts w:ascii="TimesNewRomanPSMT" w:hAnsi="TimesNewRomanPSMT"/>
          <w:color w:val="000000"/>
          <w:sz w:val="20"/>
        </w:rPr>
        <w:t>RUs.</w:t>
      </w:r>
      <w:proofErr w:type="spellEnd"/>
      <w:r>
        <w:rPr>
          <w:rFonts w:ascii="TimesNewRomanPSMT" w:hAnsi="TimesNewRomanPSMT"/>
          <w:color w:val="000000"/>
          <w:sz w:val="20"/>
        </w:rPr>
        <w:t xml:space="preserve"> E.g. the inner 242 tone RU</w:t>
      </w:r>
      <w:r w:rsidR="002F1872">
        <w:rPr>
          <w:rFonts w:ascii="TimesNewRomanPSMT" w:hAnsi="TimesNewRomanPSMT"/>
          <w:color w:val="000000"/>
          <w:sz w:val="20"/>
        </w:rPr>
        <w:t>s</w:t>
      </w:r>
      <w:r>
        <w:rPr>
          <w:rFonts w:ascii="TimesNewRomanPSMT" w:hAnsi="TimesNewRomanPSMT"/>
          <w:color w:val="000000"/>
          <w:sz w:val="20"/>
        </w:rPr>
        <w:t xml:space="preserve"> in 80MHz. That</w:t>
      </w:r>
      <w:r w:rsidR="009566F0">
        <w:rPr>
          <w:rFonts w:ascii="TimesNewRomanPSMT" w:hAnsi="TimesNewRomanPSMT"/>
          <w:color w:val="000000"/>
          <w:sz w:val="20"/>
        </w:rPr>
        <w:t xml:space="preserve"> means </w:t>
      </w:r>
      <w:r>
        <w:rPr>
          <w:rFonts w:ascii="TimesNewRomanPSMT" w:hAnsi="TimesNewRomanPSMT"/>
          <w:color w:val="000000"/>
          <w:sz w:val="20"/>
        </w:rPr>
        <w:t xml:space="preserve">the </w:t>
      </w:r>
      <w:r w:rsidRPr="007E5808">
        <w:rPr>
          <w:rFonts w:ascii="TimesNewRomanPSMT" w:hAnsi="TimesNewRomanPSMT"/>
          <w:b/>
          <w:sz w:val="20"/>
        </w:rPr>
        <w:t xml:space="preserve">HE portion </w:t>
      </w:r>
      <w:r w:rsidR="00E676F6">
        <w:rPr>
          <w:rFonts w:ascii="TimesNewRomanPSMT" w:hAnsi="TimesNewRomanPSMT"/>
          <w:b/>
          <w:sz w:val="20"/>
        </w:rPr>
        <w:t xml:space="preserve">is </w:t>
      </w:r>
      <w:proofErr w:type="spellStart"/>
      <w:r w:rsidRPr="007E5808">
        <w:rPr>
          <w:rFonts w:ascii="TimesNewRomanPSMT" w:hAnsi="TimesNewRomanPSMT"/>
          <w:b/>
          <w:sz w:val="20"/>
        </w:rPr>
        <w:t>transmit</w:t>
      </w:r>
      <w:r w:rsidR="00E676F6">
        <w:rPr>
          <w:rFonts w:ascii="TimesNewRomanPSMT" w:hAnsi="TimesNewRomanPSMT"/>
          <w:b/>
          <w:sz w:val="20"/>
        </w:rPr>
        <w:t>ed</w:t>
      </w:r>
      <w:proofErr w:type="spellEnd"/>
      <w:r w:rsidRPr="007E5808">
        <w:rPr>
          <w:rFonts w:ascii="TimesNewRomanPSMT" w:hAnsi="TimesNewRomanPSMT"/>
          <w:b/>
          <w:sz w:val="20"/>
        </w:rPr>
        <w:t xml:space="preserve"> </w:t>
      </w:r>
      <w:r w:rsidR="00E676F6">
        <w:rPr>
          <w:rFonts w:ascii="TimesNewRomanPSMT" w:hAnsi="TimesNewRomanPSMT"/>
          <w:b/>
          <w:sz w:val="20"/>
        </w:rPr>
        <w:t>across</w:t>
      </w:r>
      <w:r w:rsidRPr="007E5808">
        <w:rPr>
          <w:rFonts w:ascii="TimesNewRomanPSMT" w:hAnsi="TimesNewRomanPSMT"/>
          <w:b/>
          <w:sz w:val="20"/>
        </w:rPr>
        <w:t xml:space="preserve"> 20MHz but Pre-HE portion </w:t>
      </w:r>
      <w:r w:rsidR="00E676F6">
        <w:rPr>
          <w:rFonts w:ascii="TimesNewRomanPSMT" w:hAnsi="TimesNewRomanPSMT"/>
          <w:b/>
          <w:sz w:val="20"/>
        </w:rPr>
        <w:t xml:space="preserve">is transmitted across </w:t>
      </w:r>
      <w:r w:rsidRPr="007E5808">
        <w:rPr>
          <w:rFonts w:ascii="TimesNewRomanPSMT" w:hAnsi="TimesNewRomanPSMT"/>
          <w:b/>
          <w:sz w:val="20"/>
        </w:rPr>
        <w:t>40MHz</w:t>
      </w:r>
      <w:r>
        <w:rPr>
          <w:rFonts w:ascii="TimesNewRomanPSMT" w:hAnsi="TimesNewRomanPSMT"/>
          <w:color w:val="000000"/>
          <w:sz w:val="20"/>
        </w:rPr>
        <w:t>.</w:t>
      </w:r>
    </w:p>
    <w:p w14:paraId="08D9A67A" w14:textId="707C93A3" w:rsidR="006166AA" w:rsidRDefault="006166AA" w:rsidP="007E5808">
      <w:pPr>
        <w:spacing w:before="120" w:line="360" w:lineRule="auto"/>
        <w:rPr>
          <w:rFonts w:ascii="TimesNewRomanPSMT" w:hAnsi="TimesNewRomanPSMT"/>
          <w:color w:val="000000"/>
          <w:sz w:val="20"/>
        </w:rPr>
      </w:pPr>
      <w:r>
        <w:rPr>
          <w:rFonts w:ascii="TimesNewRomanPSMT" w:hAnsi="TimesNewRomanPSMT"/>
          <w:color w:val="000000"/>
          <w:sz w:val="20"/>
        </w:rPr>
        <w:t>For the above mentioned HE TB PPDU, in some of the band edge</w:t>
      </w:r>
      <w:r w:rsidR="00EC1567">
        <w:rPr>
          <w:rFonts w:ascii="TimesNewRomanPSMT" w:hAnsi="TimesNewRomanPSMT"/>
          <w:color w:val="000000"/>
          <w:sz w:val="20"/>
        </w:rPr>
        <w:t>,</w:t>
      </w:r>
      <w:r w:rsidR="004D7F25">
        <w:rPr>
          <w:rFonts w:ascii="TimesNewRomanPSMT" w:hAnsi="TimesNewRomanPSMT"/>
          <w:color w:val="000000"/>
          <w:sz w:val="20"/>
        </w:rPr>
        <w:t xml:space="preserve"> we found the following </w:t>
      </w:r>
      <w:proofErr w:type="spellStart"/>
      <w:proofErr w:type="gramStart"/>
      <w:r w:rsidR="00EC1567">
        <w:rPr>
          <w:rFonts w:ascii="TimesNewRomanPSMT" w:hAnsi="TimesNewRomanPSMT"/>
          <w:color w:val="000000"/>
          <w:sz w:val="20"/>
        </w:rPr>
        <w:t>Tx</w:t>
      </w:r>
      <w:proofErr w:type="spellEnd"/>
      <w:proofErr w:type="gramEnd"/>
      <w:r w:rsidR="00EC1567">
        <w:rPr>
          <w:rFonts w:ascii="TimesNewRomanPSMT" w:hAnsi="TimesNewRomanPSMT"/>
          <w:color w:val="000000"/>
          <w:sz w:val="20"/>
        </w:rPr>
        <w:t xml:space="preserve"> power limitation </w:t>
      </w:r>
      <w:r w:rsidR="004D7F25">
        <w:rPr>
          <w:rFonts w:ascii="TimesNewRomanPSMT" w:hAnsi="TimesNewRomanPSMT"/>
          <w:color w:val="000000"/>
          <w:sz w:val="20"/>
        </w:rPr>
        <w:t xml:space="preserve">issue due to </w:t>
      </w:r>
      <w:r>
        <w:rPr>
          <w:rFonts w:ascii="TimesNewRomanPSMT" w:hAnsi="TimesNewRomanPSMT"/>
          <w:color w:val="000000"/>
          <w:sz w:val="20"/>
        </w:rPr>
        <w:t xml:space="preserve">the </w:t>
      </w:r>
      <w:r w:rsidR="004D7F25">
        <w:rPr>
          <w:rFonts w:ascii="TimesNewRomanPSMT" w:hAnsi="TimesNewRomanPSMT"/>
          <w:color w:val="000000"/>
          <w:sz w:val="20"/>
        </w:rPr>
        <w:t xml:space="preserve">OOBE </w:t>
      </w:r>
      <w:r>
        <w:rPr>
          <w:rFonts w:ascii="TimesNewRomanPSMT" w:hAnsi="TimesNewRomanPSMT"/>
          <w:color w:val="000000"/>
          <w:sz w:val="20"/>
        </w:rPr>
        <w:t xml:space="preserve">caused by IM3 </w:t>
      </w:r>
      <w:r w:rsidR="00414CC9">
        <w:rPr>
          <w:rFonts w:ascii="TimesNewRomanPSMT" w:hAnsi="TimesNewRomanPSMT"/>
          <w:color w:val="000000"/>
          <w:sz w:val="20"/>
        </w:rPr>
        <w:t xml:space="preserve">(one example is shown </w:t>
      </w:r>
      <w:r w:rsidR="00232FC3">
        <w:rPr>
          <w:rFonts w:ascii="TimesNewRomanPSMT" w:hAnsi="TimesNewRomanPSMT"/>
          <w:color w:val="000000"/>
          <w:sz w:val="20"/>
        </w:rPr>
        <w:t xml:space="preserve">in the table </w:t>
      </w:r>
      <w:r w:rsidR="00414CC9">
        <w:rPr>
          <w:rFonts w:ascii="TimesNewRomanPSMT" w:hAnsi="TimesNewRomanPSMT"/>
          <w:color w:val="000000"/>
          <w:sz w:val="20"/>
        </w:rPr>
        <w:t>below for band 36)</w:t>
      </w:r>
      <w:r>
        <w:rPr>
          <w:rFonts w:ascii="TimesNewRomanPSMT" w:hAnsi="TimesNewRomanPSMT"/>
          <w:color w:val="000000"/>
          <w:sz w:val="20"/>
        </w:rPr>
        <w:t>.</w:t>
      </w:r>
      <w:r w:rsidR="00414CC9">
        <w:rPr>
          <w:rFonts w:ascii="TimesNewRomanPSMT" w:hAnsi="TimesNewRomanPSMT"/>
          <w:color w:val="000000"/>
          <w:sz w:val="20"/>
        </w:rPr>
        <w:t xml:space="preserve"> </w:t>
      </w:r>
    </w:p>
    <w:p w14:paraId="3A326153" w14:textId="40BFAA6F" w:rsidR="00D00B44" w:rsidRPr="006166AA" w:rsidRDefault="006166AA" w:rsidP="007E5808">
      <w:pPr>
        <w:spacing w:before="120" w:line="360" w:lineRule="auto"/>
        <w:rPr>
          <w:rFonts w:ascii="TimesNewRomanPSMT" w:hAnsi="TimesNewRomanPSMT"/>
          <w:i/>
          <w:color w:val="000000"/>
          <w:sz w:val="20"/>
        </w:rPr>
      </w:pPr>
      <w:r w:rsidRPr="006166AA">
        <w:rPr>
          <w:rFonts w:ascii="TimesNewRomanPSMT" w:hAnsi="TimesNewRomanPSMT"/>
          <w:i/>
          <w:color w:val="000000"/>
          <w:sz w:val="20"/>
        </w:rPr>
        <w:t>I</w:t>
      </w:r>
      <w:r w:rsidR="00414CC9" w:rsidRPr="006166AA">
        <w:rPr>
          <w:rFonts w:ascii="TimesNewRomanPSMT" w:hAnsi="TimesNewRomanPSMT"/>
          <w:i/>
          <w:color w:val="000000"/>
          <w:sz w:val="20"/>
        </w:rPr>
        <w:t xml:space="preserve">f </w:t>
      </w:r>
      <w:r w:rsidR="00B803A1" w:rsidRPr="006166AA">
        <w:rPr>
          <w:rFonts w:ascii="TimesNewRomanPSMT" w:hAnsi="TimesNewRomanPSMT"/>
          <w:b/>
          <w:i/>
          <w:color w:val="000000"/>
          <w:sz w:val="20"/>
        </w:rPr>
        <w:t xml:space="preserve">both </w:t>
      </w:r>
      <w:r w:rsidR="00414CC9" w:rsidRPr="006166AA">
        <w:rPr>
          <w:rFonts w:ascii="TimesNewRomanPSMT" w:hAnsi="TimesNewRomanPSMT"/>
          <w:b/>
          <w:i/>
          <w:color w:val="000000"/>
          <w:sz w:val="20"/>
        </w:rPr>
        <w:t xml:space="preserve">the HE portion </w:t>
      </w:r>
      <w:r w:rsidR="00B803A1" w:rsidRPr="006166AA">
        <w:rPr>
          <w:rFonts w:ascii="TimesNewRomanPSMT" w:hAnsi="TimesNewRomanPSMT"/>
          <w:b/>
          <w:i/>
          <w:color w:val="000000"/>
          <w:sz w:val="20"/>
        </w:rPr>
        <w:t xml:space="preserve">and the Pre-HE </w:t>
      </w:r>
      <w:proofErr w:type="spellStart"/>
      <w:r w:rsidR="00B803A1" w:rsidRPr="006166AA">
        <w:rPr>
          <w:rFonts w:ascii="TimesNewRomanPSMT" w:hAnsi="TimesNewRomanPSMT"/>
          <w:b/>
          <w:i/>
          <w:color w:val="000000"/>
          <w:sz w:val="20"/>
        </w:rPr>
        <w:t>protion</w:t>
      </w:r>
      <w:proofErr w:type="spellEnd"/>
      <w:r w:rsidR="00B803A1" w:rsidRPr="006166AA">
        <w:rPr>
          <w:rFonts w:ascii="TimesNewRomanPSMT" w:hAnsi="TimesNewRomanPSMT"/>
          <w:i/>
          <w:color w:val="000000"/>
          <w:sz w:val="20"/>
        </w:rPr>
        <w:t xml:space="preserve"> </w:t>
      </w:r>
      <w:r w:rsidR="00414CC9" w:rsidRPr="006166AA">
        <w:rPr>
          <w:rFonts w:ascii="TimesNewRomanPSMT" w:hAnsi="TimesNewRomanPSMT"/>
          <w:i/>
          <w:color w:val="000000"/>
          <w:sz w:val="20"/>
        </w:rPr>
        <w:t xml:space="preserve">of TB PPDU </w:t>
      </w:r>
      <w:r w:rsidR="00087A5D">
        <w:rPr>
          <w:rFonts w:ascii="TimesNewRomanPSMT" w:hAnsi="TimesNewRomanPSMT"/>
          <w:i/>
          <w:color w:val="000000"/>
          <w:sz w:val="20"/>
        </w:rPr>
        <w:t>are</w:t>
      </w:r>
      <w:r w:rsidR="00414CC9" w:rsidRPr="006166AA">
        <w:rPr>
          <w:rFonts w:ascii="TimesNewRomanPSMT" w:hAnsi="TimesNewRomanPSMT"/>
          <w:i/>
          <w:color w:val="000000"/>
          <w:sz w:val="20"/>
        </w:rPr>
        <w:t xml:space="preserve"> transmitted in channel 4</w:t>
      </w:r>
      <w:r w:rsidR="00B803A1" w:rsidRPr="006166AA">
        <w:rPr>
          <w:rFonts w:ascii="TimesNewRomanPSMT" w:hAnsi="TimesNewRomanPSMT"/>
          <w:i/>
          <w:color w:val="000000"/>
          <w:sz w:val="20"/>
        </w:rPr>
        <w:t>4</w:t>
      </w:r>
      <w:r w:rsidR="007E5808" w:rsidRPr="006166AA">
        <w:rPr>
          <w:rFonts w:ascii="TimesNewRomanPSMT" w:hAnsi="TimesNewRomanPSMT"/>
          <w:i/>
          <w:color w:val="000000"/>
          <w:sz w:val="20"/>
        </w:rPr>
        <w:t xml:space="preserve"> (20MHz)</w:t>
      </w:r>
      <w:r w:rsidR="00B803A1" w:rsidRPr="006166AA">
        <w:rPr>
          <w:rFonts w:ascii="TimesNewRomanPSMT" w:hAnsi="TimesNewRomanPSMT"/>
          <w:i/>
          <w:color w:val="000000"/>
          <w:sz w:val="20"/>
        </w:rPr>
        <w:t>, they can be transmitted by 20dBm; however, if HE portion is transmitted in channel 44</w:t>
      </w:r>
      <w:r w:rsidR="007E5808" w:rsidRPr="006166AA">
        <w:rPr>
          <w:rFonts w:ascii="TimesNewRomanPSMT" w:hAnsi="TimesNewRomanPSMT"/>
          <w:i/>
          <w:color w:val="000000"/>
          <w:sz w:val="20"/>
        </w:rPr>
        <w:t xml:space="preserve"> (20MHz)</w:t>
      </w:r>
      <w:r w:rsidR="00B803A1" w:rsidRPr="006166AA">
        <w:rPr>
          <w:rFonts w:ascii="TimesNewRomanPSMT" w:hAnsi="TimesNewRomanPSMT"/>
          <w:i/>
          <w:color w:val="000000"/>
          <w:sz w:val="20"/>
        </w:rPr>
        <w:t xml:space="preserve"> but pre-HE portion is transmitted in channel 46F (40MHz), </w:t>
      </w:r>
      <w:r w:rsidR="00D00B44" w:rsidRPr="006166AA">
        <w:rPr>
          <w:rFonts w:ascii="TimesNewRomanPSMT" w:hAnsi="TimesNewRomanPSMT"/>
          <w:i/>
          <w:color w:val="000000"/>
          <w:sz w:val="20"/>
        </w:rPr>
        <w:t xml:space="preserve">the </w:t>
      </w:r>
      <w:proofErr w:type="spellStart"/>
      <w:proofErr w:type="gramStart"/>
      <w:r w:rsidR="00D00B44" w:rsidRPr="006166AA">
        <w:rPr>
          <w:rFonts w:ascii="TimesNewRomanPSMT" w:hAnsi="TimesNewRomanPSMT"/>
          <w:i/>
          <w:color w:val="000000"/>
          <w:sz w:val="20"/>
        </w:rPr>
        <w:t>Tx</w:t>
      </w:r>
      <w:proofErr w:type="spellEnd"/>
      <w:proofErr w:type="gramEnd"/>
      <w:r w:rsidR="00D00B44" w:rsidRPr="006166AA">
        <w:rPr>
          <w:rFonts w:ascii="TimesNewRomanPSMT" w:hAnsi="TimesNewRomanPSMT"/>
          <w:i/>
          <w:color w:val="000000"/>
          <w:sz w:val="20"/>
        </w:rPr>
        <w:t xml:space="preserve"> power of HE portion will be limited by 18dBm</w:t>
      </w:r>
      <w:r w:rsidR="009C4E0F">
        <w:rPr>
          <w:rFonts w:ascii="TimesNewRomanPSMT" w:hAnsi="TimesNewRomanPSMT"/>
          <w:i/>
          <w:color w:val="000000"/>
          <w:sz w:val="20"/>
        </w:rPr>
        <w:t xml:space="preserve"> instead of 20dBm</w:t>
      </w:r>
      <w:r w:rsidR="00D00B44" w:rsidRPr="006166AA">
        <w:rPr>
          <w:rFonts w:ascii="TimesNewRomanPSMT" w:hAnsi="TimesNewRomanPSMT"/>
          <w:i/>
          <w:color w:val="000000"/>
          <w:sz w:val="20"/>
        </w:rPr>
        <w:t xml:space="preserve">. </w:t>
      </w:r>
      <w:r w:rsidR="007E5808" w:rsidRPr="006166AA">
        <w:rPr>
          <w:rFonts w:ascii="TimesNewRomanPSMT" w:hAnsi="TimesNewRomanPSMT"/>
          <w:i/>
          <w:color w:val="000000"/>
          <w:sz w:val="20"/>
        </w:rPr>
        <w:t>The reason is the IM3 of 40MHz is much worse than the 20MHz. The IMs push the PA back off more to accommodate the OOBE especially in the band edge.</w:t>
      </w:r>
    </w:p>
    <w:p w14:paraId="1FCDA0C5" w14:textId="77777777" w:rsidR="004D7F25" w:rsidRDefault="004D7F25" w:rsidP="005E768D">
      <w:pPr>
        <w:rPr>
          <w:rFonts w:ascii="TimesNewRomanPSMT" w:hAnsi="TimesNewRomanPSMT"/>
          <w:color w:val="000000"/>
          <w:sz w:val="20"/>
        </w:rPr>
      </w:pPr>
    </w:p>
    <w:p w14:paraId="0E19D918" w14:textId="590A22E4" w:rsidR="009A6621" w:rsidRPr="009A6621" w:rsidRDefault="009A6621" w:rsidP="009A6621">
      <w:pPr>
        <w:pStyle w:val="Caption"/>
        <w:keepNext/>
        <w:spacing w:after="0"/>
        <w:jc w:val="center"/>
        <w:rPr>
          <w:b/>
          <w:i w:val="0"/>
        </w:rPr>
      </w:pPr>
      <w:r w:rsidRPr="009A6621">
        <w:rPr>
          <w:b/>
          <w:i w:val="0"/>
        </w:rPr>
        <w:t xml:space="preserve">Table </w:t>
      </w:r>
      <w:r w:rsidRPr="009A6621">
        <w:rPr>
          <w:b/>
          <w:i w:val="0"/>
        </w:rPr>
        <w:fldChar w:fldCharType="begin"/>
      </w:r>
      <w:r w:rsidRPr="009A6621">
        <w:rPr>
          <w:b/>
          <w:i w:val="0"/>
        </w:rPr>
        <w:instrText xml:space="preserve"> SEQ Table \* ARABIC </w:instrText>
      </w:r>
      <w:r w:rsidRPr="009A6621">
        <w:rPr>
          <w:b/>
          <w:i w:val="0"/>
        </w:rPr>
        <w:fldChar w:fldCharType="separate"/>
      </w:r>
      <w:r w:rsidRPr="009A6621">
        <w:rPr>
          <w:b/>
          <w:i w:val="0"/>
          <w:noProof/>
        </w:rPr>
        <w:t>1</w:t>
      </w:r>
      <w:r w:rsidRPr="009A6621">
        <w:rPr>
          <w:b/>
          <w:i w:val="0"/>
        </w:rPr>
        <w:fldChar w:fldCharType="end"/>
      </w:r>
      <w:r w:rsidRPr="009A6621">
        <w:rPr>
          <w:b/>
          <w:i w:val="0"/>
        </w:rPr>
        <w:t xml:space="preserve"> </w:t>
      </w:r>
      <w:r w:rsidR="00232FC3">
        <w:rPr>
          <w:b/>
          <w:i w:val="0"/>
        </w:rPr>
        <w:t xml:space="preserve">Measured </w:t>
      </w:r>
      <w:proofErr w:type="spellStart"/>
      <w:proofErr w:type="gramStart"/>
      <w:r w:rsidRPr="009A6621">
        <w:rPr>
          <w:b/>
          <w:i w:val="0"/>
        </w:rPr>
        <w:t>Tx</w:t>
      </w:r>
      <w:proofErr w:type="spellEnd"/>
      <w:proofErr w:type="gramEnd"/>
      <w:r w:rsidRPr="009A6621">
        <w:rPr>
          <w:b/>
          <w:i w:val="0"/>
        </w:rPr>
        <w:t xml:space="preserve"> power (in </w:t>
      </w:r>
      <w:proofErr w:type="spellStart"/>
      <w:r w:rsidRPr="009A6621">
        <w:rPr>
          <w:b/>
          <w:i w:val="0"/>
        </w:rPr>
        <w:t>dBm</w:t>
      </w:r>
      <w:proofErr w:type="spellEnd"/>
      <w:r w:rsidRPr="009A6621">
        <w:rPr>
          <w:b/>
          <w:i w:val="0"/>
        </w:rPr>
        <w:t>) for different band</w:t>
      </w:r>
      <w:r w:rsidR="00232FC3">
        <w:rPr>
          <w:b/>
          <w:i w:val="0"/>
        </w:rPr>
        <w:t xml:space="preserve"> </w:t>
      </w:r>
    </w:p>
    <w:tbl>
      <w:tblPr>
        <w:tblW w:w="6098" w:type="dxa"/>
        <w:jc w:val="center"/>
        <w:tblLook w:val="04A0" w:firstRow="1" w:lastRow="0" w:firstColumn="1" w:lastColumn="0" w:noHBand="0" w:noVBand="1"/>
      </w:tblPr>
      <w:tblGrid>
        <w:gridCol w:w="1161"/>
        <w:gridCol w:w="962"/>
        <w:gridCol w:w="926"/>
        <w:gridCol w:w="1161"/>
        <w:gridCol w:w="962"/>
        <w:gridCol w:w="926"/>
      </w:tblGrid>
      <w:tr w:rsidR="009A6621" w:rsidRPr="00414CC9" w14:paraId="1ABCCBF2" w14:textId="77777777" w:rsidTr="009A6621">
        <w:trPr>
          <w:trHeight w:val="332"/>
          <w:jc w:val="center"/>
        </w:trPr>
        <w:tc>
          <w:tcPr>
            <w:tcW w:w="3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A73F6" w14:textId="710C98D8" w:rsidR="009A6621" w:rsidRPr="00414CC9" w:rsidRDefault="009A6621" w:rsidP="00414CC9">
            <w:pPr>
              <w:jc w:val="center"/>
              <w:rPr>
                <w:rFonts w:ascii="Arial" w:eastAsia="Times New Roman" w:hAnsi="Arial" w:cs="Arial"/>
                <w:sz w:val="20"/>
                <w:lang w:val="en-US" w:eastAsia="zh-CN"/>
              </w:rPr>
            </w:pPr>
            <w:r>
              <w:rPr>
                <w:rFonts w:ascii="Arial" w:eastAsia="Times New Roman" w:hAnsi="Arial" w:cs="Arial"/>
                <w:sz w:val="20"/>
                <w:lang w:val="en-US" w:eastAsia="zh-CN"/>
              </w:rPr>
              <w:t>20MHz</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4339A8D" w14:textId="66372B3C" w:rsidR="009A6621" w:rsidRPr="00414CC9" w:rsidRDefault="009A6621" w:rsidP="00414CC9">
            <w:pPr>
              <w:jc w:val="center"/>
              <w:rPr>
                <w:rFonts w:ascii="Arial" w:eastAsia="Times New Roman" w:hAnsi="Arial" w:cs="Arial"/>
                <w:sz w:val="20"/>
                <w:lang w:val="en-US" w:eastAsia="zh-CN"/>
              </w:rPr>
            </w:pPr>
            <w:r>
              <w:rPr>
                <w:rFonts w:ascii="Arial" w:eastAsia="Times New Roman" w:hAnsi="Arial" w:cs="Arial"/>
                <w:sz w:val="20"/>
                <w:lang w:val="en-US" w:eastAsia="zh-CN"/>
              </w:rPr>
              <w:t>40MHz</w:t>
            </w:r>
          </w:p>
        </w:tc>
      </w:tr>
      <w:tr w:rsidR="00414CC9" w:rsidRPr="00414CC9" w14:paraId="18138B52" w14:textId="77777777" w:rsidTr="009A6621">
        <w:trPr>
          <w:trHeight w:val="750"/>
          <w:jc w:val="center"/>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107D"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Frequency</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2D141B3"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Channel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093A0703" w14:textId="6CEABF7B"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 xml:space="preserve">SISO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DF7AA95"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Frequency</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157F07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Channel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7EDA4EF2" w14:textId="04C0B02C"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 xml:space="preserve">SISO </w:t>
            </w:r>
          </w:p>
        </w:tc>
      </w:tr>
      <w:tr w:rsidR="00414CC9" w:rsidRPr="00414CC9" w14:paraId="490AC6EF"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0D48C2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5180</w:t>
            </w:r>
          </w:p>
        </w:tc>
        <w:tc>
          <w:tcPr>
            <w:tcW w:w="962" w:type="dxa"/>
            <w:tcBorders>
              <w:top w:val="nil"/>
              <w:left w:val="nil"/>
              <w:bottom w:val="single" w:sz="4" w:space="0" w:color="auto"/>
              <w:right w:val="single" w:sz="4" w:space="0" w:color="auto"/>
            </w:tcBorders>
            <w:shd w:val="clear" w:color="auto" w:fill="auto"/>
            <w:noWrap/>
            <w:vAlign w:val="center"/>
            <w:hideMark/>
          </w:tcPr>
          <w:p w14:paraId="351172F5"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36</w:t>
            </w:r>
          </w:p>
        </w:tc>
        <w:tc>
          <w:tcPr>
            <w:tcW w:w="926" w:type="dxa"/>
            <w:tcBorders>
              <w:top w:val="nil"/>
              <w:left w:val="nil"/>
              <w:bottom w:val="single" w:sz="4" w:space="0" w:color="auto"/>
              <w:right w:val="single" w:sz="4" w:space="0" w:color="auto"/>
            </w:tcBorders>
            <w:shd w:val="clear" w:color="000000" w:fill="D8E4BC"/>
            <w:noWrap/>
            <w:vAlign w:val="center"/>
            <w:hideMark/>
          </w:tcPr>
          <w:p w14:paraId="72A733E9"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17.00</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106B80"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5190</w:t>
            </w:r>
          </w:p>
        </w:tc>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8F89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38F</w:t>
            </w:r>
          </w:p>
        </w:tc>
        <w:tc>
          <w:tcPr>
            <w:tcW w:w="926" w:type="dxa"/>
            <w:vMerge w:val="restart"/>
            <w:tcBorders>
              <w:top w:val="nil"/>
              <w:left w:val="single" w:sz="4" w:space="0" w:color="auto"/>
              <w:bottom w:val="single" w:sz="4" w:space="0" w:color="auto"/>
              <w:right w:val="single" w:sz="4" w:space="0" w:color="auto"/>
            </w:tcBorders>
            <w:shd w:val="clear" w:color="000000" w:fill="D8E4BC"/>
            <w:noWrap/>
            <w:vAlign w:val="center"/>
            <w:hideMark/>
          </w:tcPr>
          <w:p w14:paraId="66398E0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17.00</w:t>
            </w:r>
          </w:p>
        </w:tc>
      </w:tr>
      <w:tr w:rsidR="00414CC9" w:rsidRPr="00414CC9" w14:paraId="25F851A1"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3D7EAC9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5200</w:t>
            </w:r>
          </w:p>
        </w:tc>
        <w:tc>
          <w:tcPr>
            <w:tcW w:w="962" w:type="dxa"/>
            <w:tcBorders>
              <w:top w:val="nil"/>
              <w:left w:val="nil"/>
              <w:bottom w:val="single" w:sz="4" w:space="0" w:color="auto"/>
              <w:right w:val="single" w:sz="4" w:space="0" w:color="auto"/>
            </w:tcBorders>
            <w:shd w:val="clear" w:color="auto" w:fill="auto"/>
            <w:noWrap/>
            <w:vAlign w:val="center"/>
            <w:hideMark/>
          </w:tcPr>
          <w:p w14:paraId="3FB0210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40</w:t>
            </w:r>
          </w:p>
        </w:tc>
        <w:tc>
          <w:tcPr>
            <w:tcW w:w="926" w:type="dxa"/>
            <w:tcBorders>
              <w:top w:val="nil"/>
              <w:left w:val="nil"/>
              <w:bottom w:val="single" w:sz="4" w:space="0" w:color="auto"/>
              <w:right w:val="single" w:sz="4" w:space="0" w:color="auto"/>
            </w:tcBorders>
            <w:shd w:val="clear" w:color="000000" w:fill="D8E4BC"/>
            <w:noWrap/>
            <w:vAlign w:val="center"/>
            <w:hideMark/>
          </w:tcPr>
          <w:p w14:paraId="2A545CDC"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20.00</w:t>
            </w:r>
          </w:p>
        </w:tc>
        <w:tc>
          <w:tcPr>
            <w:tcW w:w="1161" w:type="dxa"/>
            <w:vMerge/>
            <w:tcBorders>
              <w:top w:val="nil"/>
              <w:left w:val="single" w:sz="4" w:space="0" w:color="auto"/>
              <w:bottom w:val="single" w:sz="4" w:space="0" w:color="auto"/>
              <w:right w:val="single" w:sz="4" w:space="0" w:color="auto"/>
            </w:tcBorders>
            <w:vAlign w:val="center"/>
            <w:hideMark/>
          </w:tcPr>
          <w:p w14:paraId="351BB9EF" w14:textId="77777777" w:rsidR="00414CC9" w:rsidRPr="00414CC9" w:rsidRDefault="00414CC9" w:rsidP="00414CC9">
            <w:pPr>
              <w:rPr>
                <w:rFonts w:ascii="Arial" w:eastAsia="Times New Roman" w:hAnsi="Arial" w:cs="Arial"/>
                <w:sz w:val="20"/>
                <w:lang w:val="en-US" w:eastAsia="zh-CN"/>
              </w:rPr>
            </w:pPr>
          </w:p>
        </w:tc>
        <w:tc>
          <w:tcPr>
            <w:tcW w:w="962" w:type="dxa"/>
            <w:vMerge/>
            <w:tcBorders>
              <w:top w:val="nil"/>
              <w:left w:val="single" w:sz="4" w:space="0" w:color="auto"/>
              <w:bottom w:val="single" w:sz="4" w:space="0" w:color="auto"/>
              <w:right w:val="single" w:sz="4" w:space="0" w:color="auto"/>
            </w:tcBorders>
            <w:vAlign w:val="center"/>
            <w:hideMark/>
          </w:tcPr>
          <w:p w14:paraId="03B8E284" w14:textId="77777777" w:rsidR="00414CC9" w:rsidRPr="00414CC9" w:rsidRDefault="00414CC9" w:rsidP="00414CC9">
            <w:pPr>
              <w:rPr>
                <w:rFonts w:ascii="Arial" w:eastAsia="Times New Roman" w:hAnsi="Arial" w:cs="Arial"/>
                <w:sz w:val="20"/>
                <w:lang w:val="en-US" w:eastAsia="zh-CN"/>
              </w:rPr>
            </w:pPr>
          </w:p>
        </w:tc>
        <w:tc>
          <w:tcPr>
            <w:tcW w:w="926" w:type="dxa"/>
            <w:vMerge/>
            <w:tcBorders>
              <w:top w:val="nil"/>
              <w:left w:val="single" w:sz="4" w:space="0" w:color="auto"/>
              <w:bottom w:val="single" w:sz="4" w:space="0" w:color="auto"/>
              <w:right w:val="single" w:sz="4" w:space="0" w:color="auto"/>
            </w:tcBorders>
            <w:vAlign w:val="center"/>
            <w:hideMark/>
          </w:tcPr>
          <w:p w14:paraId="4F666332" w14:textId="77777777" w:rsidR="00414CC9" w:rsidRPr="00414CC9" w:rsidRDefault="00414CC9" w:rsidP="00414CC9">
            <w:pPr>
              <w:rPr>
                <w:rFonts w:ascii="Arial" w:eastAsia="Times New Roman" w:hAnsi="Arial" w:cs="Arial"/>
                <w:sz w:val="20"/>
                <w:lang w:val="en-US" w:eastAsia="zh-CN"/>
              </w:rPr>
            </w:pPr>
          </w:p>
        </w:tc>
      </w:tr>
      <w:tr w:rsidR="00414CC9" w:rsidRPr="00414CC9" w14:paraId="062A8F06"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260468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5220</w:t>
            </w:r>
          </w:p>
        </w:tc>
        <w:tc>
          <w:tcPr>
            <w:tcW w:w="962" w:type="dxa"/>
            <w:tcBorders>
              <w:top w:val="nil"/>
              <w:left w:val="nil"/>
              <w:bottom w:val="single" w:sz="4" w:space="0" w:color="auto"/>
              <w:right w:val="single" w:sz="4" w:space="0" w:color="auto"/>
            </w:tcBorders>
            <w:shd w:val="clear" w:color="auto" w:fill="auto"/>
            <w:noWrap/>
            <w:vAlign w:val="center"/>
            <w:hideMark/>
          </w:tcPr>
          <w:p w14:paraId="027DCBD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44</w:t>
            </w:r>
          </w:p>
        </w:tc>
        <w:tc>
          <w:tcPr>
            <w:tcW w:w="926" w:type="dxa"/>
            <w:tcBorders>
              <w:top w:val="nil"/>
              <w:left w:val="nil"/>
              <w:bottom w:val="single" w:sz="4" w:space="0" w:color="auto"/>
              <w:right w:val="single" w:sz="4" w:space="0" w:color="auto"/>
            </w:tcBorders>
            <w:shd w:val="clear" w:color="auto" w:fill="auto"/>
            <w:noWrap/>
            <w:vAlign w:val="center"/>
            <w:hideMark/>
          </w:tcPr>
          <w:p w14:paraId="6873A76E" w14:textId="77777777" w:rsidR="00414CC9" w:rsidRPr="00414CC9" w:rsidRDefault="00414CC9" w:rsidP="00414CC9">
            <w:pPr>
              <w:jc w:val="center"/>
              <w:rPr>
                <w:rFonts w:ascii="Arial" w:eastAsia="Times New Roman" w:hAnsi="Arial" w:cs="Arial"/>
                <w:sz w:val="20"/>
                <w:lang w:val="en-US" w:eastAsia="zh-CN"/>
              </w:rPr>
            </w:pPr>
            <w:r w:rsidRPr="008D4388">
              <w:rPr>
                <w:rFonts w:ascii="Arial" w:eastAsia="Times New Roman" w:hAnsi="Arial" w:cs="Arial"/>
                <w:color w:val="FF0000"/>
                <w:sz w:val="20"/>
                <w:lang w:val="en-US" w:eastAsia="zh-CN"/>
              </w:rPr>
              <w:t>20.00</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C5983B"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5230</w:t>
            </w:r>
          </w:p>
        </w:tc>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53A"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46F</w:t>
            </w:r>
          </w:p>
        </w:tc>
        <w:tc>
          <w:tcPr>
            <w:tcW w:w="926" w:type="dxa"/>
            <w:vMerge w:val="restart"/>
            <w:tcBorders>
              <w:top w:val="nil"/>
              <w:left w:val="single" w:sz="4" w:space="0" w:color="auto"/>
              <w:bottom w:val="single" w:sz="4" w:space="0" w:color="auto"/>
              <w:right w:val="single" w:sz="4" w:space="0" w:color="auto"/>
            </w:tcBorders>
            <w:shd w:val="clear" w:color="000000" w:fill="D8E4BC"/>
            <w:noWrap/>
            <w:vAlign w:val="center"/>
            <w:hideMark/>
          </w:tcPr>
          <w:p w14:paraId="70B90CBC" w14:textId="77777777" w:rsidR="00414CC9" w:rsidRPr="00414CC9" w:rsidRDefault="00414CC9" w:rsidP="00414CC9">
            <w:pPr>
              <w:jc w:val="center"/>
              <w:rPr>
                <w:rFonts w:ascii="Arial" w:eastAsia="Times New Roman" w:hAnsi="Arial" w:cs="Arial"/>
                <w:sz w:val="20"/>
                <w:lang w:val="en-US" w:eastAsia="zh-CN"/>
              </w:rPr>
            </w:pPr>
            <w:r w:rsidRPr="008D4388">
              <w:rPr>
                <w:rFonts w:ascii="Arial" w:eastAsia="Times New Roman" w:hAnsi="Arial" w:cs="Arial"/>
                <w:color w:val="FF0000"/>
                <w:sz w:val="20"/>
                <w:lang w:val="en-US" w:eastAsia="zh-CN"/>
              </w:rPr>
              <w:t>18.00</w:t>
            </w:r>
          </w:p>
        </w:tc>
      </w:tr>
      <w:tr w:rsidR="00414CC9" w:rsidRPr="00414CC9" w14:paraId="29ED2278"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9BD7D1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5240</w:t>
            </w:r>
          </w:p>
        </w:tc>
        <w:tc>
          <w:tcPr>
            <w:tcW w:w="962" w:type="dxa"/>
            <w:tcBorders>
              <w:top w:val="nil"/>
              <w:left w:val="nil"/>
              <w:bottom w:val="single" w:sz="4" w:space="0" w:color="auto"/>
              <w:right w:val="single" w:sz="4" w:space="0" w:color="auto"/>
            </w:tcBorders>
            <w:shd w:val="clear" w:color="auto" w:fill="auto"/>
            <w:noWrap/>
            <w:vAlign w:val="center"/>
            <w:hideMark/>
          </w:tcPr>
          <w:p w14:paraId="6573F59A"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48</w:t>
            </w:r>
          </w:p>
        </w:tc>
        <w:tc>
          <w:tcPr>
            <w:tcW w:w="926" w:type="dxa"/>
            <w:tcBorders>
              <w:top w:val="nil"/>
              <w:left w:val="nil"/>
              <w:bottom w:val="single" w:sz="4" w:space="0" w:color="auto"/>
              <w:right w:val="single" w:sz="4" w:space="0" w:color="auto"/>
            </w:tcBorders>
            <w:shd w:val="clear" w:color="000000" w:fill="D8E4BC"/>
            <w:noWrap/>
            <w:vAlign w:val="center"/>
            <w:hideMark/>
          </w:tcPr>
          <w:p w14:paraId="5D3B10B4"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20.00</w:t>
            </w:r>
          </w:p>
        </w:tc>
        <w:tc>
          <w:tcPr>
            <w:tcW w:w="1161" w:type="dxa"/>
            <w:vMerge/>
            <w:tcBorders>
              <w:top w:val="nil"/>
              <w:left w:val="single" w:sz="4" w:space="0" w:color="auto"/>
              <w:bottom w:val="single" w:sz="4" w:space="0" w:color="auto"/>
              <w:right w:val="single" w:sz="4" w:space="0" w:color="auto"/>
            </w:tcBorders>
            <w:vAlign w:val="center"/>
            <w:hideMark/>
          </w:tcPr>
          <w:p w14:paraId="340A2487" w14:textId="77777777" w:rsidR="00414CC9" w:rsidRPr="00414CC9" w:rsidRDefault="00414CC9" w:rsidP="00414CC9">
            <w:pPr>
              <w:rPr>
                <w:rFonts w:ascii="Arial" w:eastAsia="Times New Roman" w:hAnsi="Arial" w:cs="Arial"/>
                <w:sz w:val="20"/>
                <w:lang w:val="en-US" w:eastAsia="zh-CN"/>
              </w:rPr>
            </w:pPr>
          </w:p>
        </w:tc>
        <w:tc>
          <w:tcPr>
            <w:tcW w:w="962" w:type="dxa"/>
            <w:vMerge/>
            <w:tcBorders>
              <w:top w:val="nil"/>
              <w:left w:val="single" w:sz="4" w:space="0" w:color="auto"/>
              <w:bottom w:val="single" w:sz="4" w:space="0" w:color="auto"/>
              <w:right w:val="single" w:sz="4" w:space="0" w:color="auto"/>
            </w:tcBorders>
            <w:vAlign w:val="center"/>
            <w:hideMark/>
          </w:tcPr>
          <w:p w14:paraId="04280F30" w14:textId="77777777" w:rsidR="00414CC9" w:rsidRPr="00414CC9" w:rsidRDefault="00414CC9" w:rsidP="00414CC9">
            <w:pPr>
              <w:rPr>
                <w:rFonts w:ascii="Arial" w:eastAsia="Times New Roman" w:hAnsi="Arial" w:cs="Arial"/>
                <w:sz w:val="20"/>
                <w:lang w:val="en-US" w:eastAsia="zh-CN"/>
              </w:rPr>
            </w:pPr>
          </w:p>
        </w:tc>
        <w:tc>
          <w:tcPr>
            <w:tcW w:w="926" w:type="dxa"/>
            <w:vMerge/>
            <w:tcBorders>
              <w:top w:val="nil"/>
              <w:left w:val="single" w:sz="4" w:space="0" w:color="auto"/>
              <w:bottom w:val="single" w:sz="4" w:space="0" w:color="auto"/>
              <w:right w:val="single" w:sz="4" w:space="0" w:color="auto"/>
            </w:tcBorders>
            <w:vAlign w:val="center"/>
            <w:hideMark/>
          </w:tcPr>
          <w:p w14:paraId="69D19FD2" w14:textId="77777777" w:rsidR="00414CC9" w:rsidRPr="00414CC9" w:rsidRDefault="00414CC9" w:rsidP="00414CC9">
            <w:pPr>
              <w:rPr>
                <w:rFonts w:ascii="Arial" w:eastAsia="Times New Roman" w:hAnsi="Arial" w:cs="Arial"/>
                <w:sz w:val="20"/>
                <w:lang w:val="en-US" w:eastAsia="zh-CN"/>
              </w:rPr>
            </w:pPr>
          </w:p>
        </w:tc>
      </w:tr>
    </w:tbl>
    <w:p w14:paraId="39086184" w14:textId="77777777" w:rsidR="004D7F25" w:rsidRDefault="004D7F25" w:rsidP="005E768D">
      <w:pPr>
        <w:rPr>
          <w:rFonts w:ascii="TimesNewRomanPSMT" w:hAnsi="TimesNewRomanPSMT"/>
          <w:color w:val="000000"/>
          <w:sz w:val="20"/>
        </w:rPr>
      </w:pPr>
    </w:p>
    <w:p w14:paraId="1191D68E" w14:textId="75F44FC3" w:rsidR="004D7F25" w:rsidRPr="004D7FF0" w:rsidRDefault="00C11881" w:rsidP="005E768D">
      <w:pPr>
        <w:rPr>
          <w:b/>
          <w:lang w:val="en-US"/>
        </w:rPr>
      </w:pPr>
      <w:r w:rsidRPr="004D7FF0">
        <w:rPr>
          <w:b/>
          <w:lang w:val="en-US"/>
        </w:rPr>
        <w:t xml:space="preserve">We propose to </w:t>
      </w:r>
      <w:r w:rsidR="004D7FF0">
        <w:rPr>
          <w:b/>
          <w:lang w:val="en-US"/>
        </w:rPr>
        <w:t xml:space="preserve">make it </w:t>
      </w:r>
      <w:r w:rsidR="004D7FF0" w:rsidRPr="00ED62A7">
        <w:rPr>
          <w:b/>
          <w:color w:val="FF0000"/>
          <w:lang w:val="en-US"/>
        </w:rPr>
        <w:t>optional</w:t>
      </w:r>
      <w:r w:rsidR="004D7FF0">
        <w:rPr>
          <w:b/>
          <w:lang w:val="en-US"/>
        </w:rPr>
        <w:t xml:space="preserve"> to</w:t>
      </w:r>
      <w:r w:rsidRPr="004D7FF0">
        <w:rPr>
          <w:b/>
          <w:lang w:val="en-US"/>
        </w:rPr>
        <w:t xml:space="preserve"> </w:t>
      </w:r>
      <w:proofErr w:type="spellStart"/>
      <w:r w:rsidRPr="004D7FF0">
        <w:rPr>
          <w:b/>
          <w:lang w:val="en-US"/>
        </w:rPr>
        <w:t>deboost</w:t>
      </w:r>
      <w:proofErr w:type="spellEnd"/>
      <w:r w:rsidR="00ED62A7">
        <w:rPr>
          <w:b/>
          <w:lang w:val="en-US"/>
        </w:rPr>
        <w:t xml:space="preserve"> </w:t>
      </w:r>
      <w:r w:rsidRPr="004D7FF0">
        <w:rPr>
          <w:b/>
          <w:lang w:val="en-US"/>
        </w:rPr>
        <w:t xml:space="preserve">the pre-HE portion in base band, such that the HE portion is not limited by the </w:t>
      </w:r>
      <w:proofErr w:type="spellStart"/>
      <w:proofErr w:type="gramStart"/>
      <w:r w:rsidRPr="004D7FF0">
        <w:rPr>
          <w:b/>
          <w:lang w:val="en-US"/>
        </w:rPr>
        <w:t>Tx</w:t>
      </w:r>
      <w:proofErr w:type="spellEnd"/>
      <w:proofErr w:type="gramEnd"/>
      <w:r w:rsidRPr="004D7FF0">
        <w:rPr>
          <w:b/>
          <w:lang w:val="en-US"/>
        </w:rPr>
        <w:t xml:space="preserve"> power of pre-HE portion given the fact that PA will be the same across the whole PPDU.</w:t>
      </w:r>
    </w:p>
    <w:p w14:paraId="12947882" w14:textId="2334A67D" w:rsidR="001A1C64" w:rsidRPr="00412178" w:rsidRDefault="001A1C64" w:rsidP="005E768D">
      <w:pPr>
        <w:rPr>
          <w:rFonts w:eastAsia="Times New Roman"/>
          <w:color w:val="000000"/>
          <w:sz w:val="20"/>
          <w:szCs w:val="18"/>
          <w:lang w:val="en-US"/>
        </w:rPr>
      </w:pPr>
    </w:p>
    <w:p w14:paraId="63E4E202" w14:textId="77777777" w:rsidR="001A1C64" w:rsidRDefault="001A1C64" w:rsidP="005E768D">
      <w:pPr>
        <w:rPr>
          <w:rFonts w:eastAsia="Times New Roman"/>
          <w:color w:val="000000"/>
          <w:szCs w:val="18"/>
          <w:lang w:val="en-US"/>
        </w:rPr>
      </w:pPr>
    </w:p>
    <w:p w14:paraId="6849C946" w14:textId="77777777" w:rsidR="001A1C64" w:rsidRPr="00473F91" w:rsidRDefault="001A1C64" w:rsidP="005E768D">
      <w:pPr>
        <w:rPr>
          <w:rFonts w:eastAsia="Times New Roman"/>
          <w:b/>
          <w:color w:val="000000"/>
          <w:sz w:val="24"/>
          <w:szCs w:val="18"/>
          <w:lang w:val="en-US"/>
        </w:rPr>
      </w:pPr>
      <w:r w:rsidRPr="00473F91">
        <w:rPr>
          <w:rFonts w:eastAsia="Times New Roman"/>
          <w:b/>
          <w:color w:val="000000"/>
          <w:sz w:val="24"/>
          <w:szCs w:val="18"/>
          <w:lang w:val="en-US"/>
        </w:rPr>
        <w:t xml:space="preserve">Proposed changes: </w:t>
      </w:r>
    </w:p>
    <w:p w14:paraId="5EBF5B50" w14:textId="0EB2DD22" w:rsidR="001A1C64" w:rsidRDefault="001A1C64" w:rsidP="005E768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004B7ADA">
        <w:rPr>
          <w:i/>
          <w:sz w:val="22"/>
          <w:szCs w:val="22"/>
          <w:highlight w:val="yellow"/>
        </w:rPr>
        <w:t>498</w:t>
      </w:r>
      <w:r>
        <w:rPr>
          <w:i/>
          <w:sz w:val="22"/>
          <w:szCs w:val="22"/>
          <w:highlight w:val="yellow"/>
        </w:rPr>
        <w:t>.6</w:t>
      </w:r>
      <w:r w:rsidR="004B7ADA">
        <w:rPr>
          <w:i/>
          <w:sz w:val="22"/>
          <w:szCs w:val="22"/>
          <w:highlight w:val="yellow"/>
        </w:rPr>
        <w:t>4</w:t>
      </w:r>
      <w:r w:rsidRPr="00F21920">
        <w:rPr>
          <w:i/>
          <w:sz w:val="22"/>
          <w:szCs w:val="22"/>
          <w:highlight w:val="yellow"/>
        </w:rPr>
        <w:t xml:space="preserve"> as following</w:t>
      </w:r>
      <w:r w:rsidRPr="001C1264">
        <w:rPr>
          <w:i/>
          <w:sz w:val="22"/>
          <w:szCs w:val="22"/>
          <w:highlight w:val="yellow"/>
        </w:rPr>
        <w:t>.</w:t>
      </w:r>
    </w:p>
    <w:p w14:paraId="17311922" w14:textId="77777777" w:rsidR="001B24E8" w:rsidRDefault="001B24E8" w:rsidP="005E768D">
      <w:pPr>
        <w:rPr>
          <w:i/>
          <w:sz w:val="22"/>
          <w:szCs w:val="22"/>
        </w:rPr>
      </w:pPr>
    </w:p>
    <w:p w14:paraId="30E86D16" w14:textId="6F0438EB" w:rsidR="00EC5FED" w:rsidRDefault="004B7ADA" w:rsidP="005E768D">
      <w:pPr>
        <w:rPr>
          <w:rFonts w:ascii="TimesNewRomanPSMT" w:hAnsi="TimesNewRomanPSMT"/>
          <w:color w:val="000000"/>
          <w:sz w:val="22"/>
        </w:rPr>
      </w:pPr>
      <w:r w:rsidRPr="004B7ADA">
        <w:rPr>
          <w:rFonts w:ascii="TimesNewRomanPSMT" w:hAnsi="TimesNewRomanPSMT"/>
          <w:color w:val="FF0000"/>
          <w:sz w:val="20"/>
        </w:rPr>
        <w:t xml:space="preserve">If(#15480) the TXVECTOR parameter BEAM_CHANGE is 1 or not present and power boost in HE modulated fields is not present, the </w:t>
      </w:r>
      <w:proofErr w:type="spellStart"/>
      <w:r w:rsidRPr="004B7ADA">
        <w:rPr>
          <w:rFonts w:ascii="TimesNewRomanPSMT" w:hAnsi="TimesNewRomanPSMT"/>
          <w:strike/>
          <w:color w:val="C00000"/>
          <w:sz w:val="20"/>
        </w:rPr>
        <w:t>The</w:t>
      </w:r>
      <w:proofErr w:type="spellEnd"/>
      <w:r w:rsidRPr="004B7ADA">
        <w:rPr>
          <w:rFonts w:ascii="TimesNewRomanPSMT" w:hAnsi="TimesNewRomanPSMT"/>
          <w:color w:val="000000"/>
          <w:sz w:val="20"/>
        </w:rPr>
        <w:t xml:space="preserve"> total power of the time domain HE modulated field signals summed over all transmit chains should not exceed the total power of the time domain pre-HE modulated field signals summed over all transmit chains</w:t>
      </w:r>
      <w:r>
        <w:rPr>
          <w:rFonts w:ascii="TimesNewRomanPSMT" w:hAnsi="TimesNewRomanPSMT"/>
          <w:color w:val="000000"/>
          <w:sz w:val="20"/>
        </w:rPr>
        <w:t>,</w:t>
      </w:r>
      <w:r w:rsidRPr="004B7ADA">
        <w:rPr>
          <w:rFonts w:ascii="TimesNewRomanPSMT" w:hAnsi="TimesNewRomanPSMT"/>
          <w:color w:val="000000"/>
          <w:sz w:val="20"/>
        </w:rPr>
        <w:t xml:space="preserve"> </w:t>
      </w:r>
      <w:r w:rsidRPr="004B7ADA">
        <w:rPr>
          <w:rFonts w:ascii="TimesNewRomanPSMT" w:hAnsi="TimesNewRomanPSMT"/>
          <w:strike/>
          <w:color w:val="C00000"/>
          <w:sz w:val="20"/>
        </w:rPr>
        <w:t>if(#15480) the TXVECTOR parameter BEAM_CHANGE is 1 or not present and power boost in HE modulated fields is not present</w:t>
      </w:r>
      <w:r>
        <w:rPr>
          <w:rFonts w:ascii="TimesNewRomanPSMT" w:hAnsi="TimesNewRomanPSMT"/>
          <w:strike/>
          <w:color w:val="C00000"/>
          <w:sz w:val="20"/>
        </w:rPr>
        <w:t xml:space="preserve"> </w:t>
      </w:r>
      <w:r w:rsidRPr="004B7ADA">
        <w:rPr>
          <w:rFonts w:ascii="TimesNewRomanPSMT" w:hAnsi="TimesNewRomanPSMT"/>
          <w:color w:val="FF0000"/>
          <w:sz w:val="20"/>
        </w:rPr>
        <w:t>except for the HE TB PPDU, in which the total power of the time domain HE modulated field signals summed over all transmit chains may exceed the total power of the time domain pre-HE modulated field signals summed over all transmit chains for up to 3dB.</w:t>
      </w:r>
    </w:p>
    <w:p w14:paraId="5FADC5A6" w14:textId="77777777" w:rsidR="00EC5FED" w:rsidRDefault="00EC5FED" w:rsidP="005E768D">
      <w:pPr>
        <w:rPr>
          <w:sz w:val="20"/>
          <w:lang w:val="en-US"/>
        </w:rPr>
      </w:pPr>
    </w:p>
    <w:p w14:paraId="73A5E047" w14:textId="77777777" w:rsidR="008540C2" w:rsidRDefault="008540C2" w:rsidP="005E768D">
      <w:pPr>
        <w:rPr>
          <w:sz w:val="20"/>
          <w:lang w:val="en-US"/>
        </w:rPr>
      </w:pPr>
    </w:p>
    <w:p w14:paraId="3D99EC18" w14:textId="77777777" w:rsidR="008540C2" w:rsidRDefault="008540C2" w:rsidP="005E768D">
      <w:pPr>
        <w:rPr>
          <w:sz w:val="20"/>
          <w:lang w:val="en-US"/>
        </w:rPr>
      </w:pPr>
    </w:p>
    <w:p w14:paraId="7537FFF7" w14:textId="42399337" w:rsidR="008540C2" w:rsidRDefault="008540C2" w:rsidP="008540C2">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 xml:space="preserve">499.38 </w:t>
      </w:r>
      <w:r w:rsidRPr="00F21920">
        <w:rPr>
          <w:i/>
          <w:sz w:val="22"/>
          <w:szCs w:val="22"/>
          <w:highlight w:val="yellow"/>
        </w:rPr>
        <w:t>as following</w:t>
      </w:r>
      <w:r w:rsidRPr="001C1264">
        <w:rPr>
          <w:i/>
          <w:sz w:val="22"/>
          <w:szCs w:val="22"/>
          <w:highlight w:val="yellow"/>
        </w:rPr>
        <w:t>.</w:t>
      </w:r>
    </w:p>
    <w:p w14:paraId="55032890" w14:textId="117F90C2" w:rsidR="008540C2" w:rsidRPr="008540C2" w:rsidRDefault="008540C2" w:rsidP="005E768D">
      <w:pPr>
        <w:rPr>
          <w:sz w:val="20"/>
        </w:rPr>
      </w:pPr>
      <w:r w:rsidRPr="008540C2">
        <w:rPr>
          <w:rFonts w:ascii="TimesNewRomanPSMT" w:hAnsi="TimesNewRomanPSMT"/>
          <w:color w:val="000000"/>
          <w:sz w:val="20"/>
        </w:rPr>
        <w:lastRenderedPageBreak/>
        <w:t xml:space="preserve">For the HE-SIG-A and Data fields in an HE ER SU PPDU, </w:t>
      </w:r>
      <w:r w:rsidRPr="008540C2">
        <w:rPr>
          <w:rFonts w:ascii="TimesNewRomanPSMT" w:hAnsi="TimesNewRomanPSMT"/>
          <w:strike/>
          <w:color w:val="C00000"/>
          <w:sz w:val="20"/>
        </w:rPr>
        <w:t>and all fields in other HE PPDUs</w:t>
      </w:r>
      <w:proofErr w:type="gramStart"/>
      <w:r w:rsidRPr="008540C2">
        <w:rPr>
          <w:rFonts w:ascii="TimesNewRomanPSMT" w:hAnsi="TimesNewRomanPSMT"/>
          <w:strike/>
          <w:color w:val="C00000"/>
          <w:sz w:val="20"/>
        </w:rPr>
        <w:t>,</w:t>
      </w:r>
      <w:r>
        <w:rPr>
          <w:rFonts w:ascii="TimesNewRomanPSMT" w:hAnsi="TimesNewRomanPSMT"/>
          <w:color w:val="000000"/>
          <w:sz w:val="20"/>
        </w:rPr>
        <w:t xml:space="preserve"> </w:t>
      </w:r>
      <w:proofErr w:type="gramEnd"/>
      <w:r w:rsidRPr="0079223F">
        <w:rPr>
          <w:position w:val="-14"/>
        </w:rPr>
        <w:object w:dxaOrig="960" w:dyaOrig="380" w14:anchorId="5DE6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8.8pt" o:ole="">
            <v:imagedata r:id="rId8" o:title=""/>
          </v:shape>
          <o:OLEObject Type="Embed" ProgID="Equation.DSMT4" ShapeID="_x0000_i1025" DrawAspect="Content" ObjectID="_1608960757" r:id="rId9"/>
        </w:object>
      </w:r>
      <w:r>
        <w:t>.</w:t>
      </w:r>
      <w:r w:rsidR="001D5D8C">
        <w:t xml:space="preserve"> </w:t>
      </w:r>
      <w:r w:rsidR="001D5D8C" w:rsidRPr="001D5D8C">
        <w:rPr>
          <w:color w:val="FF0000"/>
        </w:rPr>
        <w:t xml:space="preserve">For the pre-HE portion of </w:t>
      </w:r>
      <w:r w:rsidR="001D5D8C">
        <w:rPr>
          <w:color w:val="FF0000"/>
        </w:rPr>
        <w:t xml:space="preserve">the </w:t>
      </w:r>
      <w:r w:rsidR="001D5D8C" w:rsidRPr="001D5D8C">
        <w:rPr>
          <w:color w:val="FF0000"/>
        </w:rPr>
        <w:t>HE TB PPDU</w:t>
      </w:r>
      <w:proofErr w:type="gramStart"/>
      <w:r w:rsidR="001D5D8C" w:rsidRPr="001D5D8C">
        <w:rPr>
          <w:color w:val="FF0000"/>
        </w:rPr>
        <w:t xml:space="preserve">, </w:t>
      </w:r>
      <w:proofErr w:type="gramEnd"/>
      <w:r w:rsidR="001D5D8C" w:rsidRPr="001D5D8C">
        <w:rPr>
          <w:color w:val="FF0000"/>
          <w:position w:val="-34"/>
        </w:rPr>
        <w:object w:dxaOrig="1640" w:dyaOrig="800" w14:anchorId="6321C750">
          <v:shape id="_x0000_i1026" type="#_x0000_t75" style="width:82pt;height:40.05pt" o:ole="">
            <v:imagedata r:id="rId10" o:title=""/>
          </v:shape>
          <o:OLEObject Type="Embed" ProgID="Equation.DSMT4" ShapeID="_x0000_i1026" DrawAspect="Content" ObjectID="_1608960758" r:id="rId11"/>
        </w:object>
      </w:r>
      <w:r w:rsidR="001D5D8C" w:rsidRPr="001D5D8C">
        <w:rPr>
          <w:color w:val="FF0000"/>
        </w:rPr>
        <w:t xml:space="preserve">, which means </w:t>
      </w:r>
      <w:r w:rsidR="001D5D8C" w:rsidRPr="001D5D8C">
        <w:rPr>
          <w:color w:val="FF0000"/>
          <w:position w:val="-14"/>
        </w:rPr>
        <w:object w:dxaOrig="639" w:dyaOrig="380" w14:anchorId="6553558B">
          <v:shape id="_x0000_i1027" type="#_x0000_t75" style="width:31.95pt;height:18.8pt" o:ole="">
            <v:imagedata r:id="rId12" o:title=""/>
          </v:shape>
          <o:OLEObject Type="Embed" ProgID="Equation.DSMT4" ShapeID="_x0000_i1027" DrawAspect="Content" ObjectID="_1608960759" r:id="rId13"/>
        </w:object>
      </w:r>
      <w:r w:rsidR="001D5D8C" w:rsidRPr="001D5D8C">
        <w:rPr>
          <w:color w:val="FF0000"/>
        </w:rPr>
        <w:t xml:space="preserve">may be any value between </w:t>
      </w:r>
      <w:r w:rsidR="001D5D8C" w:rsidRPr="001D5D8C">
        <w:rPr>
          <w:color w:val="FF0000"/>
          <w:position w:val="-24"/>
        </w:rPr>
        <w:object w:dxaOrig="420" w:dyaOrig="680" w14:anchorId="73381D17">
          <v:shape id="_x0000_i1028" type="#_x0000_t75" style="width:20.95pt;height:33.8pt" o:ole="">
            <v:imagedata r:id="rId14" o:title=""/>
          </v:shape>
          <o:OLEObject Type="Embed" ProgID="Equation.DSMT4" ShapeID="_x0000_i1028" DrawAspect="Content" ObjectID="_1608960760" r:id="rId15"/>
        </w:object>
      </w:r>
      <w:r w:rsidR="001D5D8C" w:rsidRPr="001D5D8C">
        <w:rPr>
          <w:color w:val="FF0000"/>
        </w:rPr>
        <w:t xml:space="preserve"> and 1.</w:t>
      </w:r>
    </w:p>
    <w:p w14:paraId="144B5D21" w14:textId="3942302B" w:rsidR="008540C2" w:rsidRDefault="008540C2" w:rsidP="005E768D">
      <w:pPr>
        <w:rPr>
          <w:sz w:val="20"/>
          <w:lang w:val="en-US"/>
        </w:rPr>
      </w:pPr>
    </w:p>
    <w:p w14:paraId="220CA717" w14:textId="77777777" w:rsidR="008540C2" w:rsidRPr="00412178" w:rsidRDefault="008540C2" w:rsidP="005E768D">
      <w:pPr>
        <w:rPr>
          <w:sz w:val="20"/>
          <w:lang w:val="en-US"/>
        </w:rPr>
      </w:pPr>
    </w:p>
    <w:p w14:paraId="282E3571" w14:textId="77777777" w:rsidR="00F065CD" w:rsidRDefault="00F065CD" w:rsidP="005E768D">
      <w:pPr>
        <w:rPr>
          <w:lang w:val="en-US"/>
        </w:rPr>
      </w:pPr>
    </w:p>
    <w:p w14:paraId="4ACA38EE" w14:textId="1A5DCA5C" w:rsidR="00B814A5" w:rsidRDefault="00B814A5" w:rsidP="00B814A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Pr>
          <w:i/>
          <w:sz w:val="22"/>
          <w:szCs w:val="22"/>
          <w:highlight w:val="yellow"/>
        </w:rPr>
        <w:t>equation 28-7</w:t>
      </w:r>
      <w:r w:rsidRPr="00F21920">
        <w:rPr>
          <w:i/>
          <w:sz w:val="22"/>
          <w:szCs w:val="22"/>
          <w:highlight w:val="yellow"/>
        </w:rPr>
        <w:t xml:space="preserve"> as following</w:t>
      </w:r>
      <w:r>
        <w:rPr>
          <w:i/>
          <w:sz w:val="22"/>
          <w:szCs w:val="22"/>
        </w:rPr>
        <w:t xml:space="preserve"> (add a new entry highlighted as </w:t>
      </w:r>
      <w:r w:rsidRPr="00B814A5">
        <w:rPr>
          <w:i/>
          <w:color w:val="FF0000"/>
          <w:sz w:val="22"/>
          <w:szCs w:val="22"/>
        </w:rPr>
        <w:t>red</w:t>
      </w:r>
      <w:r>
        <w:rPr>
          <w:i/>
          <w:sz w:val="22"/>
          <w:szCs w:val="22"/>
        </w:rPr>
        <w:t>)</w:t>
      </w:r>
    </w:p>
    <w:p w14:paraId="03037B44" w14:textId="77777777" w:rsidR="00473F91" w:rsidRDefault="00473F91" w:rsidP="00B814A5">
      <w:pPr>
        <w:rPr>
          <w:i/>
          <w:sz w:val="22"/>
          <w:szCs w:val="22"/>
        </w:rPr>
      </w:pPr>
    </w:p>
    <w:p w14:paraId="0FC4FDAE" w14:textId="7EAF1D6A" w:rsidR="00F065CD" w:rsidRDefault="009C2364" w:rsidP="00F56074">
      <w:pPr>
        <w:jc w:val="center"/>
      </w:pPr>
      <w:r w:rsidRPr="0079223F">
        <w:rPr>
          <w:position w:val="-76"/>
        </w:rPr>
        <w:object w:dxaOrig="4040" w:dyaOrig="1640" w14:anchorId="7CB9CB09">
          <v:shape id="_x0000_i1029" type="#_x0000_t75" style="width:201.9pt;height:82pt" o:ole="">
            <v:imagedata r:id="rId16" o:title=""/>
          </v:shape>
          <o:OLEObject Type="Embed" ProgID="Equation.DSMT4" ShapeID="_x0000_i1029" DrawAspect="Content" ObjectID="_1608960761" r:id="rId17"/>
        </w:object>
      </w:r>
    </w:p>
    <w:p w14:paraId="379C973A" w14:textId="77777777" w:rsidR="00473F91" w:rsidRDefault="00473F91" w:rsidP="00F56074">
      <w:pPr>
        <w:jc w:val="center"/>
      </w:pPr>
    </w:p>
    <w:p w14:paraId="7D71B3E4" w14:textId="1D4B18E4" w:rsidR="00F56074" w:rsidRDefault="00F56074"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Pr>
          <w:i/>
          <w:sz w:val="22"/>
          <w:szCs w:val="22"/>
          <w:highlight w:val="yellow"/>
        </w:rPr>
        <w:t>P.L. 506.29</w:t>
      </w:r>
      <w:r w:rsidRPr="00F21920">
        <w:rPr>
          <w:i/>
          <w:sz w:val="22"/>
          <w:szCs w:val="22"/>
          <w:highlight w:val="yellow"/>
        </w:rPr>
        <w:t xml:space="preserve"> as following</w:t>
      </w:r>
      <w:r>
        <w:rPr>
          <w:i/>
          <w:sz w:val="22"/>
          <w:szCs w:val="22"/>
        </w:rPr>
        <w:t xml:space="preserve"> (add a new entry highlighted as </w:t>
      </w:r>
      <w:r w:rsidRPr="00B814A5">
        <w:rPr>
          <w:i/>
          <w:color w:val="FF0000"/>
          <w:sz w:val="22"/>
          <w:szCs w:val="22"/>
        </w:rPr>
        <w:t>red</w:t>
      </w:r>
      <w:r>
        <w:rPr>
          <w:i/>
          <w:sz w:val="22"/>
          <w:szCs w:val="22"/>
        </w:rPr>
        <w:t>)</w:t>
      </w:r>
    </w:p>
    <w:p w14:paraId="0D625668" w14:textId="77777777" w:rsidR="00473F91" w:rsidRDefault="00473F91" w:rsidP="00F56074">
      <w:pPr>
        <w:rPr>
          <w:i/>
          <w:sz w:val="22"/>
          <w:szCs w:val="22"/>
        </w:rPr>
      </w:pPr>
    </w:p>
    <w:p w14:paraId="40FB523F" w14:textId="0B54EE43" w:rsidR="00F56074" w:rsidRDefault="00F56074" w:rsidP="00F56074">
      <w:pPr>
        <w:jc w:val="center"/>
      </w:pPr>
      <w:r w:rsidRPr="0079223F">
        <w:rPr>
          <w:position w:val="-76"/>
        </w:rPr>
        <w:object w:dxaOrig="5319" w:dyaOrig="1640" w14:anchorId="4EAAD908">
          <v:shape id="_x0000_i1030" type="#_x0000_t75" style="width:266.1pt;height:82pt" o:ole="">
            <v:imagedata r:id="rId18" o:title=""/>
          </v:shape>
          <o:OLEObject Type="Embed" ProgID="Equation.DSMT4" ShapeID="_x0000_i1030" DrawAspect="Content" ObjectID="_1608960762" r:id="rId19"/>
        </w:object>
      </w:r>
    </w:p>
    <w:p w14:paraId="10997F18" w14:textId="77777777" w:rsidR="00473F91" w:rsidRDefault="00473F91" w:rsidP="00F56074">
      <w:pPr>
        <w:jc w:val="center"/>
      </w:pPr>
    </w:p>
    <w:p w14:paraId="5A43BC13" w14:textId="77777777" w:rsidR="00F56074" w:rsidRDefault="00F56074" w:rsidP="00F56074">
      <w:pPr>
        <w:jc w:val="center"/>
      </w:pPr>
    </w:p>
    <w:p w14:paraId="6A96C16F" w14:textId="42DA68E3" w:rsidR="00F56074" w:rsidRDefault="00F56074"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sidR="00D81A7B">
        <w:rPr>
          <w:i/>
          <w:sz w:val="22"/>
          <w:szCs w:val="22"/>
          <w:highlight w:val="yellow"/>
        </w:rPr>
        <w:t>equation 28-16</w:t>
      </w:r>
      <w:r w:rsidRPr="00F21920">
        <w:rPr>
          <w:i/>
          <w:sz w:val="22"/>
          <w:szCs w:val="22"/>
          <w:highlight w:val="yellow"/>
        </w:rPr>
        <w:t xml:space="preserve"> as following</w:t>
      </w:r>
      <w:r>
        <w:rPr>
          <w:i/>
          <w:sz w:val="22"/>
          <w:szCs w:val="22"/>
        </w:rPr>
        <w:t xml:space="preserve"> </w:t>
      </w:r>
    </w:p>
    <w:p w14:paraId="73930795" w14:textId="2032AE08" w:rsidR="00F56074" w:rsidRDefault="00F56074" w:rsidP="00F56074">
      <w:r>
        <w:t>Add “</w:t>
      </w:r>
      <w:r w:rsidRPr="0079223F">
        <w:rPr>
          <w:position w:val="-14"/>
        </w:rPr>
        <w:object w:dxaOrig="1020" w:dyaOrig="380" w14:anchorId="3C019668">
          <v:shape id="_x0000_i1031" type="#_x0000_t75" style="width:51.05pt;height:18.8pt" o:ole="">
            <v:imagedata r:id="rId20" o:title=""/>
          </v:shape>
          <o:OLEObject Type="Embed" ProgID="Equation.DSMT4" ShapeID="_x0000_i1031" DrawAspect="Content" ObjectID="_1608960763" r:id="rId21"/>
        </w:object>
      </w:r>
      <w:r>
        <w:t xml:space="preserve">” between </w:t>
      </w:r>
      <w:r w:rsidR="005D4B01" w:rsidRPr="00F56074">
        <w:rPr>
          <w:position w:val="-28"/>
        </w:rPr>
        <w:object w:dxaOrig="600" w:dyaOrig="680" w14:anchorId="3DA959E4">
          <v:shape id="_x0000_i1032" type="#_x0000_t75" style="width:30.05pt;height:33.8pt" o:ole="">
            <v:imagedata r:id="rId22" o:title=""/>
          </v:shape>
          <o:OLEObject Type="Embed" ProgID="Equation.DSMT4" ShapeID="_x0000_i1032" DrawAspect="Content" ObjectID="_1608960764" r:id="rId23"/>
        </w:object>
      </w:r>
      <w:r>
        <w:t xml:space="preserve">and the </w:t>
      </w:r>
      <w:r w:rsidR="00F42D3C">
        <w:t xml:space="preserve">left </w:t>
      </w:r>
      <w:r>
        <w:t>bracket as shown below.</w:t>
      </w:r>
    </w:p>
    <w:p w14:paraId="5324CE42" w14:textId="534B2154" w:rsidR="00F56074" w:rsidRDefault="005D4B01" w:rsidP="00F42D3C">
      <w:pPr>
        <w:jc w:val="center"/>
      </w:pPr>
      <w:r w:rsidRPr="0079223F">
        <w:rPr>
          <w:position w:val="-28"/>
        </w:rPr>
        <w:object w:dxaOrig="3480" w:dyaOrig="680" w14:anchorId="089AA9EB">
          <v:shape id="_x0000_i1033" type="#_x0000_t75" style="width:174.05pt;height:33.8pt" o:ole="">
            <v:imagedata r:id="rId24" o:title=""/>
          </v:shape>
          <o:OLEObject Type="Embed" ProgID="Equation.DSMT4" ShapeID="_x0000_i1033" DrawAspect="Content" ObjectID="_1608960765" r:id="rId25"/>
        </w:object>
      </w:r>
    </w:p>
    <w:p w14:paraId="6BAD6EBE" w14:textId="77777777" w:rsidR="00473F91" w:rsidRDefault="00473F91" w:rsidP="00F42D3C">
      <w:pPr>
        <w:jc w:val="center"/>
      </w:pPr>
    </w:p>
    <w:p w14:paraId="5DBACD8B" w14:textId="77777777" w:rsidR="00D81A7B" w:rsidRDefault="00D81A7B" w:rsidP="00F56074"/>
    <w:p w14:paraId="626C4109" w14:textId="6F16239F" w:rsidR="00D81A7B" w:rsidRDefault="00F42D3C"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D81A7B" w:rsidRPr="00F42D3C">
        <w:rPr>
          <w:i/>
          <w:sz w:val="22"/>
          <w:szCs w:val="22"/>
          <w:highlight w:val="yellow"/>
        </w:rPr>
        <w:t xml:space="preserve">Add the </w:t>
      </w:r>
      <w:r w:rsidRPr="00F42D3C">
        <w:rPr>
          <w:i/>
          <w:sz w:val="22"/>
          <w:szCs w:val="22"/>
          <w:highlight w:val="yellow"/>
        </w:rPr>
        <w:t xml:space="preserve">highlighted equation </w:t>
      </w:r>
      <w:r w:rsidR="00D81A7B" w:rsidRPr="00F42D3C">
        <w:rPr>
          <w:i/>
          <w:sz w:val="22"/>
          <w:szCs w:val="22"/>
          <w:highlight w:val="yellow"/>
        </w:rPr>
        <w:t xml:space="preserve">after </w:t>
      </w:r>
      <w:r w:rsidRPr="00F42D3C">
        <w:rPr>
          <w:i/>
          <w:sz w:val="22"/>
          <w:szCs w:val="22"/>
          <w:highlight w:val="yellow"/>
        </w:rPr>
        <w:t>P.L. 524.43</w:t>
      </w:r>
    </w:p>
    <w:p w14:paraId="71758060" w14:textId="77777777" w:rsidR="00F42D3C" w:rsidRDefault="00F42D3C" w:rsidP="00F56074"/>
    <w:p w14:paraId="7B4406E5" w14:textId="6F0B20A2" w:rsidR="00F42D3C" w:rsidRDefault="00F42D3C" w:rsidP="00F56074">
      <w:r>
        <w:rPr>
          <w:noProof/>
          <w:lang w:val="en-US" w:eastAsia="zh-CN"/>
        </w:rPr>
        <w:drawing>
          <wp:inline distT="0" distB="0" distL="0" distR="0" wp14:anchorId="18EFCC3B" wp14:editId="71E8393E">
            <wp:extent cx="3211199" cy="2454627"/>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17210" cy="2459222"/>
                    </a:xfrm>
                    <a:prstGeom prst="rect">
                      <a:avLst/>
                    </a:prstGeom>
                  </pic:spPr>
                </pic:pic>
              </a:graphicData>
            </a:graphic>
          </wp:inline>
        </w:drawing>
      </w:r>
    </w:p>
    <w:p w14:paraId="6E07D38E" w14:textId="09B61691" w:rsidR="00D81A7B" w:rsidRDefault="00F42D3C" w:rsidP="00F42D3C">
      <w:r>
        <w:lastRenderedPageBreak/>
        <w:t xml:space="preserve">        </w:t>
      </w:r>
      <w:r w:rsidR="00D81A7B" w:rsidRPr="00D81A7B">
        <w:rPr>
          <w:position w:val="-54"/>
        </w:rPr>
        <w:object w:dxaOrig="4320" w:dyaOrig="1200" w14:anchorId="3D4BCDE5">
          <v:shape id="_x0000_i1034" type="#_x0000_t75" style="width:3in;height:59.8pt" o:ole="">
            <v:imagedata r:id="rId27" o:title=""/>
          </v:shape>
          <o:OLEObject Type="Embed" ProgID="Equation.DSMT4" ShapeID="_x0000_i1034" DrawAspect="Content" ObjectID="_1608960766" r:id="rId28"/>
        </w:object>
      </w:r>
    </w:p>
    <w:p w14:paraId="440653A1" w14:textId="77777777" w:rsidR="00D81A7B" w:rsidRDefault="00D81A7B" w:rsidP="00F56074"/>
    <w:p w14:paraId="41C3212D" w14:textId="77777777" w:rsidR="00D81A7B" w:rsidRDefault="00D81A7B" w:rsidP="00F56074"/>
    <w:sectPr w:rsidR="00D81A7B" w:rsidSect="00996772">
      <w:headerReference w:type="default" r:id="rId29"/>
      <w:footerReference w:type="default" r:id="rId3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617DE" w14:textId="77777777" w:rsidR="00F859AC" w:rsidRDefault="00F859AC">
      <w:r>
        <w:separator/>
      </w:r>
    </w:p>
  </w:endnote>
  <w:endnote w:type="continuationSeparator" w:id="0">
    <w:p w14:paraId="20351431" w14:textId="77777777" w:rsidR="00F859AC" w:rsidRDefault="00F8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F859AC">
    <w:pPr>
      <w:pStyle w:val="Footer"/>
      <w:tabs>
        <w:tab w:val="clear" w:pos="6480"/>
        <w:tab w:val="center" w:pos="4680"/>
        <w:tab w:val="right" w:pos="9360"/>
      </w:tabs>
    </w:pPr>
    <w:r>
      <w:fldChar w:fldCharType="begin"/>
    </w:r>
    <w:r>
      <w:instrText xml:space="preserve"> SUBJECT  \* MERGEFORMAT </w:instrText>
    </w:r>
    <w:r>
      <w:fldChar w:fldCharType="separate"/>
    </w:r>
    <w:r w:rsidR="006854AB">
      <w:t>Submission</w:t>
    </w:r>
    <w:r>
      <w:fldChar w:fldCharType="end"/>
    </w:r>
    <w:r w:rsidR="006854AB">
      <w:tab/>
      <w:t xml:space="preserve">page </w:t>
    </w:r>
    <w:r w:rsidR="006854AB">
      <w:fldChar w:fldCharType="begin"/>
    </w:r>
    <w:r w:rsidR="006854AB">
      <w:instrText xml:space="preserve">page </w:instrText>
    </w:r>
    <w:r w:rsidR="006854AB">
      <w:fldChar w:fldCharType="separate"/>
    </w:r>
    <w:r w:rsidR="009C4594">
      <w:rPr>
        <w:noProof/>
      </w:rPr>
      <w:t>3</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56535" w14:textId="77777777" w:rsidR="00F859AC" w:rsidRDefault="00F859AC">
      <w:r>
        <w:separator/>
      </w:r>
    </w:p>
  </w:footnote>
  <w:footnote w:type="continuationSeparator" w:id="0">
    <w:p w14:paraId="257A9686" w14:textId="77777777" w:rsidR="00F859AC" w:rsidRDefault="00F8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54FCA97A" w:rsidR="006854AB" w:rsidRDefault="006E405B">
    <w:pPr>
      <w:pStyle w:val="Header"/>
      <w:tabs>
        <w:tab w:val="clear" w:pos="6480"/>
        <w:tab w:val="center" w:pos="4680"/>
        <w:tab w:val="right" w:pos="9360"/>
      </w:tabs>
      <w:rPr>
        <w:lang w:eastAsia="ko-KR"/>
      </w:rPr>
    </w:pPr>
    <w:r>
      <w:rPr>
        <w:lang w:eastAsia="ko-KR"/>
      </w:rPr>
      <w:t>Jan</w:t>
    </w:r>
    <w:r w:rsidR="006854AB">
      <w:rPr>
        <w:lang w:eastAsia="ko-KR"/>
      </w:rPr>
      <w:t>. 201</w:t>
    </w:r>
    <w:r>
      <w:rPr>
        <w:lang w:eastAsia="ko-KR"/>
      </w:rPr>
      <w:t>9</w:t>
    </w:r>
    <w:r w:rsidR="006854AB">
      <w:tab/>
    </w:r>
    <w:r w:rsidR="006854AB">
      <w:tab/>
    </w:r>
    <w:r w:rsidR="006854AB">
      <w:fldChar w:fldCharType="begin"/>
    </w:r>
    <w:r w:rsidR="006854AB">
      <w:instrText xml:space="preserve"> TITLE  \* MERGEFORMAT </w:instrText>
    </w:r>
    <w:r w:rsidR="006854AB">
      <w:fldChar w:fldCharType="end"/>
    </w:r>
    <w:r w:rsidR="00F859AC">
      <w:fldChar w:fldCharType="begin"/>
    </w:r>
    <w:r w:rsidR="00F859AC">
      <w:instrText xml:space="preserve"> TITLE  \* MERGEFORMAT </w:instrText>
    </w:r>
    <w:r w:rsidR="00F859AC">
      <w:fldChar w:fldCharType="separate"/>
    </w:r>
    <w:r w:rsidR="00642B89">
      <w:t>doc.: IEEE 802.11-1</w:t>
    </w:r>
    <w:r>
      <w:t>9</w:t>
    </w:r>
    <w:r w:rsidR="00642B89">
      <w:t>/</w:t>
    </w:r>
    <w:r w:rsidR="009C4594">
      <w:t>0117</w:t>
    </w:r>
    <w:r w:rsidR="006854AB">
      <w:rPr>
        <w:lang w:eastAsia="ko-KR"/>
      </w:rPr>
      <w:t>r</w:t>
    </w:r>
    <w:r w:rsidR="00F859AC">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4C0E"/>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B0001"/>
    <w:rsid w:val="001B05CC"/>
    <w:rsid w:val="001B24E8"/>
    <w:rsid w:val="001B252D"/>
    <w:rsid w:val="001B2904"/>
    <w:rsid w:val="001B4811"/>
    <w:rsid w:val="001B4D66"/>
    <w:rsid w:val="001B5561"/>
    <w:rsid w:val="001B63BC"/>
    <w:rsid w:val="001B7137"/>
    <w:rsid w:val="001C07E0"/>
    <w:rsid w:val="001C0FA3"/>
    <w:rsid w:val="001C1FCC"/>
    <w:rsid w:val="001C2534"/>
    <w:rsid w:val="001C343F"/>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2FC3"/>
    <w:rsid w:val="00233E60"/>
    <w:rsid w:val="00234B0A"/>
    <w:rsid w:val="00234C13"/>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780"/>
    <w:rsid w:val="004B7ADA"/>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405B"/>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395"/>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61B7"/>
    <w:rsid w:val="00917161"/>
    <w:rsid w:val="00920771"/>
    <w:rsid w:val="00920ABB"/>
    <w:rsid w:val="00920BF0"/>
    <w:rsid w:val="00920C8A"/>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6F6"/>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32F3D-A3E1-42BA-9330-8F401694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4583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33</cp:revision>
  <cp:lastPrinted>2010-05-04T03:47:00Z</cp:lastPrinted>
  <dcterms:created xsi:type="dcterms:W3CDTF">2019-01-02T20:01:00Z</dcterms:created>
  <dcterms:modified xsi:type="dcterms:W3CDTF">2019-01-14T16:46:00Z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