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6011B" w:rsidR="005E768D" w:rsidRPr="00183F4C" w:rsidRDefault="00E56075" w:rsidP="003972A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3972AE">
              <w:rPr>
                <w:lang w:eastAsia="ko-KR"/>
              </w:rPr>
              <w:t>MAC Miscellaneous Part 2</w:t>
            </w:r>
          </w:p>
        </w:tc>
      </w:tr>
      <w:tr w:rsidR="005E768D" w:rsidRPr="00183F4C" w14:paraId="21DB67C5" w14:textId="77777777" w:rsidTr="00CF2532">
        <w:trPr>
          <w:trHeight w:val="359"/>
          <w:jc w:val="center"/>
        </w:trPr>
        <w:tc>
          <w:tcPr>
            <w:tcW w:w="9576" w:type="dxa"/>
            <w:gridSpan w:val="5"/>
            <w:vAlign w:val="center"/>
          </w:tcPr>
          <w:p w14:paraId="5E774D40" w14:textId="3E655468" w:rsidR="005E768D" w:rsidRPr="00183F4C" w:rsidRDefault="005E768D" w:rsidP="009A7313">
            <w:pPr>
              <w:pStyle w:val="T2"/>
              <w:ind w:left="0"/>
              <w:rPr>
                <w:b w:val="0"/>
                <w:sz w:val="20"/>
              </w:rPr>
            </w:pPr>
            <w:r w:rsidRPr="00183F4C">
              <w:rPr>
                <w:sz w:val="20"/>
              </w:rPr>
              <w:t>Date:</w:t>
            </w:r>
            <w:r w:rsidR="00596413" w:rsidRPr="00183F4C">
              <w:rPr>
                <w:b w:val="0"/>
                <w:sz w:val="20"/>
              </w:rPr>
              <w:t xml:space="preserve">  201</w:t>
            </w:r>
            <w:r w:rsidR="009A7313">
              <w:rPr>
                <w:b w:val="0"/>
                <w:sz w:val="20"/>
              </w:rPr>
              <w:t>9</w:t>
            </w:r>
            <w:r w:rsidR="003B797C">
              <w:rPr>
                <w:b w:val="0"/>
                <w:sz w:val="20"/>
              </w:rPr>
              <w:t>-</w:t>
            </w:r>
            <w:r w:rsidR="009A7313">
              <w:rPr>
                <w:b w:val="0"/>
                <w:sz w:val="20"/>
              </w:rPr>
              <w:t>01</w:t>
            </w:r>
            <w:r w:rsidR="0088012D">
              <w:rPr>
                <w:rFonts w:hint="eastAsia"/>
                <w:b w:val="0"/>
                <w:sz w:val="20"/>
                <w:lang w:eastAsia="ko-KR"/>
              </w:rPr>
              <w:t>-</w:t>
            </w:r>
            <w:r w:rsidR="00B257CD">
              <w:rPr>
                <w:b w:val="0"/>
                <w:sz w:val="20"/>
                <w:lang w:eastAsia="ko-KR"/>
              </w:rPr>
              <w:t>1</w:t>
            </w:r>
            <w:r w:rsidR="003972AE">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F27D4D"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47A02650" w:rsidR="00DF2968" w:rsidRDefault="009A7313" w:rsidP="00DF2968">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9A7313" w:rsidRPr="00183F4C" w14:paraId="75DD21AE" w14:textId="77777777" w:rsidTr="00CF2532">
        <w:trPr>
          <w:jc w:val="center"/>
        </w:trPr>
        <w:tc>
          <w:tcPr>
            <w:tcW w:w="1548" w:type="dxa"/>
            <w:vAlign w:val="center"/>
          </w:tcPr>
          <w:p w14:paraId="156949F3" w14:textId="6727059E" w:rsidR="009A7313" w:rsidRDefault="009A7313" w:rsidP="009A7313">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5F0F6413" w:rsidR="009A7313" w:rsidRDefault="009A7313" w:rsidP="009A7313">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9A7313" w:rsidRPr="00CB4F2F" w:rsidRDefault="009A7313" w:rsidP="009A7313">
            <w:pPr>
              <w:pStyle w:val="T2"/>
              <w:spacing w:after="0"/>
              <w:ind w:left="0" w:right="0"/>
              <w:jc w:val="left"/>
              <w:rPr>
                <w:b w:val="0"/>
                <w:sz w:val="18"/>
                <w:szCs w:val="18"/>
              </w:rPr>
            </w:pPr>
          </w:p>
        </w:tc>
        <w:tc>
          <w:tcPr>
            <w:tcW w:w="1186" w:type="dxa"/>
            <w:vAlign w:val="center"/>
          </w:tcPr>
          <w:p w14:paraId="48EE468F" w14:textId="77777777" w:rsidR="009A7313" w:rsidRPr="00183F4C" w:rsidRDefault="009A7313" w:rsidP="009A7313">
            <w:pPr>
              <w:pStyle w:val="T2"/>
              <w:spacing w:after="0"/>
              <w:ind w:left="0" w:right="0"/>
              <w:rPr>
                <w:b w:val="0"/>
                <w:sz w:val="18"/>
                <w:szCs w:val="18"/>
                <w:lang w:eastAsia="ko-KR"/>
              </w:rPr>
            </w:pPr>
          </w:p>
        </w:tc>
        <w:tc>
          <w:tcPr>
            <w:tcW w:w="2522" w:type="dxa"/>
            <w:vAlign w:val="center"/>
          </w:tcPr>
          <w:p w14:paraId="7815C2BF" w14:textId="77777777" w:rsidR="009A7313" w:rsidRDefault="009A7313" w:rsidP="009A7313">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sidR="009A7313">
                              <w:rPr>
                                <w:lang w:eastAsia="ko-KR"/>
                              </w:rPr>
                              <w:t>3</w:t>
                            </w:r>
                            <w:r>
                              <w:rPr>
                                <w:rFonts w:hint="eastAsia"/>
                                <w:lang w:eastAsia="ko-KR"/>
                              </w:rPr>
                              <w:t>.</w:t>
                            </w:r>
                            <w:r>
                              <w:rPr>
                                <w:lang w:eastAsia="ko-KR"/>
                              </w:rPr>
                              <w:t>)</w:t>
                            </w:r>
                          </w:p>
                          <w:p w14:paraId="40E6C576" w14:textId="2815904D" w:rsidR="003972AE" w:rsidRDefault="003552E4" w:rsidP="003972AE">
                            <w:pPr>
                              <w:pStyle w:val="ListParagraph"/>
                              <w:numPr>
                                <w:ilvl w:val="0"/>
                                <w:numId w:val="1"/>
                              </w:numPr>
                              <w:ind w:leftChars="0"/>
                              <w:jc w:val="both"/>
                              <w:rPr>
                                <w:lang w:eastAsia="ko-KR"/>
                              </w:rPr>
                            </w:pPr>
                            <w:r>
                              <w:rPr>
                                <w:rFonts w:hint="eastAsia"/>
                                <w:lang w:eastAsia="ko-KR"/>
                              </w:rPr>
                              <w:t xml:space="preserve">CIDs: </w:t>
                            </w:r>
                            <w:r w:rsidR="003972AE">
                              <w:rPr>
                                <w:lang w:eastAsia="ko-KR"/>
                              </w:rPr>
                              <w:t xml:space="preserve">16441, 16738, 17046, 15939, </w:t>
                            </w:r>
                            <w:r w:rsidR="003972AE" w:rsidRPr="00C157EF">
                              <w:rPr>
                                <w:strike/>
                                <w:lang w:eastAsia="ko-KR"/>
                              </w:rPr>
                              <w:t>15023</w:t>
                            </w:r>
                            <w:r w:rsidR="003972AE">
                              <w:rPr>
                                <w:lang w:eastAsia="ko-KR"/>
                              </w:rPr>
                              <w:t>, 15835 (</w:t>
                            </w:r>
                            <w:r w:rsidR="00C157EF">
                              <w:rPr>
                                <w:lang w:eastAsia="ko-KR"/>
                              </w:rPr>
                              <w:t>5</w:t>
                            </w:r>
                            <w:r w:rsidR="003972AE">
                              <w:rPr>
                                <w:lang w:eastAsia="ko-KR"/>
                              </w:rPr>
                              <w:t xml:space="preserve"> CIDs)</w:t>
                            </w:r>
                          </w:p>
                          <w:p w14:paraId="4E4EC185" w14:textId="010519C9" w:rsidR="003972AE" w:rsidRDefault="003972AE"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3972AE" w:rsidRDefault="003972AE"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3972AE" w:rsidRDefault="003972AE" w:rsidP="003972AE">
                            <w:pPr>
                              <w:pStyle w:val="ListParagraph"/>
                              <w:numPr>
                                <w:ilvl w:val="0"/>
                                <w:numId w:val="1"/>
                              </w:numPr>
                              <w:ind w:leftChars="0"/>
                              <w:jc w:val="both"/>
                              <w:rPr>
                                <w:lang w:eastAsia="ko-KR"/>
                              </w:rPr>
                            </w:pPr>
                            <w:r w:rsidRPr="00C157EF">
                              <w:rPr>
                                <w:highlight w:val="yellow"/>
                                <w:lang w:eastAsia="ko-KR"/>
                              </w:rPr>
                              <w:t xml:space="preserve">NOTE3- 15023 </w:t>
                            </w:r>
                            <w:r w:rsidR="00DD2D4B" w:rsidRPr="00C157EF">
                              <w:rPr>
                                <w:highlight w:val="yellow"/>
                                <w:lang w:eastAsia="ko-KR"/>
                              </w:rPr>
                              <w:t xml:space="preserve">should be resolved in </w:t>
                            </w:r>
                            <w:r w:rsidRPr="00C157EF">
                              <w:rPr>
                                <w:highlight w:val="yellow"/>
                                <w:lang w:eastAsia="ko-KR"/>
                              </w:rPr>
                              <w:t xml:space="preserve">6 GHz </w:t>
                            </w:r>
                            <w:r w:rsidR="00DD2D4B" w:rsidRPr="00C157EF">
                              <w:rPr>
                                <w:highlight w:val="yellow"/>
                                <w:lang w:eastAsia="ko-KR"/>
                              </w:rPr>
                              <w:t>discovery proposal.</w:t>
                            </w:r>
                            <w:r w:rsidR="00C157EF" w:rsidRPr="00C157EF">
                              <w:rPr>
                                <w:highlight w:val="yellow"/>
                                <w:lang w:eastAsia="ko-KR"/>
                              </w:rPr>
                              <w:t xml:space="preserve"> </w:t>
                            </w:r>
                          </w:p>
                          <w:p w14:paraId="3E36FC3B" w14:textId="0A5F0977" w:rsidR="003552E4" w:rsidRDefault="003972AE"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sidR="003552E4">
                              <w:rPr>
                                <w:rFonts w:hint="eastAsia"/>
                                <w:lang w:eastAsia="ko-KR"/>
                              </w:rPr>
                              <w:t>(</w:t>
                            </w:r>
                            <w:r>
                              <w:rPr>
                                <w:lang w:eastAsia="ko-KR"/>
                              </w:rPr>
                              <w:t>6</w:t>
                            </w:r>
                            <w:r w:rsidR="003552E4">
                              <w:rPr>
                                <w:lang w:eastAsia="ko-KR"/>
                              </w:rPr>
                              <w:t xml:space="preserve"> </w:t>
                            </w:r>
                            <w:r w:rsidR="003552E4">
                              <w:rPr>
                                <w:rFonts w:hint="eastAsia"/>
                                <w:lang w:eastAsia="ko-KR"/>
                              </w:rPr>
                              <w:t>CID</w:t>
                            </w:r>
                            <w:r w:rsidR="003552E4">
                              <w:rPr>
                                <w:lang w:eastAsia="ko-KR"/>
                              </w:rPr>
                              <w:t>s</w:t>
                            </w:r>
                            <w:r w:rsidR="003552E4">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sidR="009A7313">
                        <w:rPr>
                          <w:lang w:eastAsia="ko-KR"/>
                        </w:rPr>
                        <w:t>3</w:t>
                      </w:r>
                      <w:r>
                        <w:rPr>
                          <w:rFonts w:hint="eastAsia"/>
                          <w:lang w:eastAsia="ko-KR"/>
                        </w:rPr>
                        <w:t>.</w:t>
                      </w:r>
                      <w:r>
                        <w:rPr>
                          <w:lang w:eastAsia="ko-KR"/>
                        </w:rPr>
                        <w:t>)</w:t>
                      </w:r>
                    </w:p>
                    <w:p w14:paraId="40E6C576" w14:textId="2815904D" w:rsidR="003972AE" w:rsidRDefault="003552E4" w:rsidP="003972AE">
                      <w:pPr>
                        <w:pStyle w:val="ListParagraph"/>
                        <w:numPr>
                          <w:ilvl w:val="0"/>
                          <w:numId w:val="1"/>
                        </w:numPr>
                        <w:ind w:leftChars="0"/>
                        <w:jc w:val="both"/>
                        <w:rPr>
                          <w:lang w:eastAsia="ko-KR"/>
                        </w:rPr>
                      </w:pPr>
                      <w:r>
                        <w:rPr>
                          <w:rFonts w:hint="eastAsia"/>
                          <w:lang w:eastAsia="ko-KR"/>
                        </w:rPr>
                        <w:t xml:space="preserve">CIDs: </w:t>
                      </w:r>
                      <w:r w:rsidR="003972AE">
                        <w:rPr>
                          <w:lang w:eastAsia="ko-KR"/>
                        </w:rPr>
                        <w:t xml:space="preserve">16441, 16738, 17046, 15939, </w:t>
                      </w:r>
                      <w:r w:rsidR="003972AE" w:rsidRPr="00C157EF">
                        <w:rPr>
                          <w:strike/>
                          <w:lang w:eastAsia="ko-KR"/>
                        </w:rPr>
                        <w:t>15023</w:t>
                      </w:r>
                      <w:r w:rsidR="003972AE">
                        <w:rPr>
                          <w:lang w:eastAsia="ko-KR"/>
                        </w:rPr>
                        <w:t>, 15835 (</w:t>
                      </w:r>
                      <w:r w:rsidR="00C157EF">
                        <w:rPr>
                          <w:lang w:eastAsia="ko-KR"/>
                        </w:rPr>
                        <w:t>5</w:t>
                      </w:r>
                      <w:r w:rsidR="003972AE">
                        <w:rPr>
                          <w:lang w:eastAsia="ko-KR"/>
                        </w:rPr>
                        <w:t xml:space="preserve"> CIDs)</w:t>
                      </w:r>
                    </w:p>
                    <w:p w14:paraId="4E4EC185" w14:textId="010519C9" w:rsidR="003972AE" w:rsidRDefault="003972AE"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3972AE" w:rsidRDefault="003972AE"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3972AE" w:rsidRDefault="003972AE" w:rsidP="003972AE">
                      <w:pPr>
                        <w:pStyle w:val="ListParagraph"/>
                        <w:numPr>
                          <w:ilvl w:val="0"/>
                          <w:numId w:val="1"/>
                        </w:numPr>
                        <w:ind w:leftChars="0"/>
                        <w:jc w:val="both"/>
                        <w:rPr>
                          <w:lang w:eastAsia="ko-KR"/>
                        </w:rPr>
                      </w:pPr>
                      <w:r w:rsidRPr="00C157EF">
                        <w:rPr>
                          <w:highlight w:val="yellow"/>
                          <w:lang w:eastAsia="ko-KR"/>
                        </w:rPr>
                        <w:t xml:space="preserve">NOTE3- 15023 </w:t>
                      </w:r>
                      <w:r w:rsidR="00DD2D4B" w:rsidRPr="00C157EF">
                        <w:rPr>
                          <w:highlight w:val="yellow"/>
                          <w:lang w:eastAsia="ko-KR"/>
                        </w:rPr>
                        <w:t xml:space="preserve">should be resolved in </w:t>
                      </w:r>
                      <w:r w:rsidRPr="00C157EF">
                        <w:rPr>
                          <w:highlight w:val="yellow"/>
                          <w:lang w:eastAsia="ko-KR"/>
                        </w:rPr>
                        <w:t xml:space="preserve">6 GHz </w:t>
                      </w:r>
                      <w:r w:rsidR="00DD2D4B" w:rsidRPr="00C157EF">
                        <w:rPr>
                          <w:highlight w:val="yellow"/>
                          <w:lang w:eastAsia="ko-KR"/>
                        </w:rPr>
                        <w:t>discovery proposal.</w:t>
                      </w:r>
                      <w:r w:rsidR="00C157EF" w:rsidRPr="00C157EF">
                        <w:rPr>
                          <w:highlight w:val="yellow"/>
                          <w:lang w:eastAsia="ko-KR"/>
                        </w:rPr>
                        <w:t xml:space="preserve"> </w:t>
                      </w:r>
                    </w:p>
                    <w:p w14:paraId="3E36FC3B" w14:textId="0A5F0977" w:rsidR="003552E4" w:rsidRDefault="003972AE"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sidR="003552E4">
                        <w:rPr>
                          <w:rFonts w:hint="eastAsia"/>
                          <w:lang w:eastAsia="ko-KR"/>
                        </w:rPr>
                        <w:t>(</w:t>
                      </w:r>
                      <w:r>
                        <w:rPr>
                          <w:lang w:eastAsia="ko-KR"/>
                        </w:rPr>
                        <w:t>6</w:t>
                      </w:r>
                      <w:r w:rsidR="003552E4">
                        <w:rPr>
                          <w:lang w:eastAsia="ko-KR"/>
                        </w:rPr>
                        <w:t xml:space="preserve"> </w:t>
                      </w:r>
                      <w:r w:rsidR="003552E4">
                        <w:rPr>
                          <w:rFonts w:hint="eastAsia"/>
                          <w:lang w:eastAsia="ko-KR"/>
                        </w:rPr>
                        <w:t>CID</w:t>
                      </w:r>
                      <w:r w:rsidR="003552E4">
                        <w:rPr>
                          <w:lang w:eastAsia="ko-KR"/>
                        </w:rPr>
                        <w:t>s</w:t>
                      </w:r>
                      <w:r w:rsidR="003552E4">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972AE" w:rsidRPr="00B4526A" w14:paraId="51063E3A"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7604B12" w14:textId="6F4E5A72" w:rsidR="003972AE" w:rsidRPr="00E750EE" w:rsidRDefault="003972AE" w:rsidP="00E750EE">
            <w:pPr>
              <w:rPr>
                <w:rFonts w:ascii="Arial" w:eastAsia="Gulim" w:hAnsi="Arial" w:cs="Arial"/>
                <w:bCs/>
                <w:color w:val="000000"/>
                <w:sz w:val="20"/>
                <w:lang w:val="en-US" w:eastAsia="ko-KR"/>
              </w:rPr>
            </w:pPr>
            <w:r w:rsidRPr="00E750EE">
              <w:rPr>
                <w:rFonts w:ascii="Arial" w:eastAsia="Gulim" w:hAnsi="Arial" w:cs="Arial"/>
                <w:bCs/>
                <w:color w:val="000000"/>
                <w:sz w:val="20"/>
                <w:lang w:val="en-US" w:eastAsia="ko-KR"/>
              </w:rPr>
              <w:t>16441</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42CA099" w14:textId="3F66AC01"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78.25</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0F19C3C2" w14:textId="60E18B69"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9.2.4.6a.5</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6A77A977" w14:textId="47AE2E4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It would be useful to have a way to signal that the recipient of DATA MPDUs is experiencing </w:t>
            </w:r>
            <w:proofErr w:type="spellStart"/>
            <w:r w:rsidRPr="00E750EE">
              <w:rPr>
                <w:rFonts w:ascii="Arial" w:hAnsi="Arial" w:cs="Arial"/>
                <w:sz w:val="20"/>
              </w:rPr>
              <w:t>eithe</w:t>
            </w:r>
            <w:proofErr w:type="spellEnd"/>
            <w:r w:rsidRPr="00E750EE">
              <w:rPr>
                <w:rFonts w:ascii="Arial" w:hAnsi="Arial" w:cs="Arial"/>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BAD18B8" w14:textId="00336D83"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Add a </w:t>
            </w:r>
            <w:proofErr w:type="spellStart"/>
            <w:r w:rsidRPr="00E750EE">
              <w:rPr>
                <w:rFonts w:ascii="Arial" w:hAnsi="Arial" w:cs="Arial"/>
                <w:sz w:val="20"/>
              </w:rPr>
              <w:t>signaling</w:t>
            </w:r>
            <w:proofErr w:type="spellEnd"/>
            <w:r w:rsidRPr="00E750EE">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4FFCE1C7" w14:textId="77777777" w:rsidR="003972AE" w:rsidRPr="00E750EE" w:rsidRDefault="003972AE" w:rsidP="003972AE">
            <w:pPr>
              <w:rPr>
                <w:rFonts w:ascii="Arial" w:hAnsi="Arial" w:cs="Arial"/>
                <w:sz w:val="20"/>
              </w:rPr>
            </w:pPr>
            <w:r w:rsidRPr="00E750EE">
              <w:rPr>
                <w:rFonts w:ascii="Arial" w:hAnsi="Arial" w:cs="Arial"/>
                <w:sz w:val="20"/>
              </w:rPr>
              <w:t>Rejected-</w:t>
            </w:r>
          </w:p>
          <w:p w14:paraId="0A9A0032" w14:textId="336E690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w:t>
            </w:r>
            <w:r w:rsidRPr="00E750EE">
              <w:rPr>
                <w:rFonts w:ascii="Arial" w:hAnsi="Arial" w:cs="Arial"/>
                <w:sz w:val="20"/>
              </w:rPr>
              <w:t>16441</w:t>
            </w:r>
            <w:r w:rsidRPr="00E750EE">
              <w:rPr>
                <w:rFonts w:ascii="Arial" w:hAnsi="Arial" w:cs="Arial"/>
                <w:sz w:val="20"/>
                <w:lang w:val="en-US"/>
              </w:rPr>
              <w:t>. It fails to identify changes in sufficient detail so that the specific wording of the changes that will satisfy the commenter can be determined.</w:t>
            </w:r>
            <w:r w:rsidRPr="00E750EE">
              <w:rPr>
                <w:rFonts w:ascii="Arial" w:hAnsi="Arial" w:cs="Arial"/>
                <w:sz w:val="20"/>
              </w:rPr>
              <w:t xml:space="preserve"> </w:t>
            </w:r>
          </w:p>
        </w:tc>
      </w:tr>
      <w:tr w:rsidR="003972AE" w:rsidRPr="00B4526A" w14:paraId="574E1519"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5C24594" w14:textId="1A600A8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16738</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8F3E8E1" w14:textId="717F9BA6"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78.60</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039B65D" w14:textId="478336A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9.2.4.6a.6</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1115D139" w14:textId="0FD373C4"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The channel availability bit map has the lowest resolution of 20 </w:t>
            </w:r>
            <w:proofErr w:type="spellStart"/>
            <w:r w:rsidRPr="00E750EE">
              <w:rPr>
                <w:rFonts w:ascii="Arial" w:hAnsi="Arial" w:cs="Arial"/>
                <w:sz w:val="20"/>
              </w:rPr>
              <w:t>MHz.</w:t>
            </w:r>
            <w:proofErr w:type="spellEnd"/>
            <w:r w:rsidRPr="00E750EE">
              <w:rPr>
                <w:rFonts w:ascii="Arial" w:hAnsi="Arial" w:cs="Arial"/>
                <w:sz w:val="20"/>
              </w:rPr>
              <w:t xml:space="preserve"> But there may be </w:t>
            </w:r>
            <w:proofErr w:type="spellStart"/>
            <w:r w:rsidRPr="00E750EE">
              <w:rPr>
                <w:rFonts w:ascii="Arial" w:hAnsi="Arial" w:cs="Arial"/>
                <w:sz w:val="20"/>
              </w:rPr>
              <w:t>colocated</w:t>
            </w:r>
            <w:proofErr w:type="spellEnd"/>
            <w:r w:rsidRPr="00E750EE">
              <w:rPr>
                <w:rFonts w:ascii="Arial" w:hAnsi="Arial" w:cs="Arial"/>
                <w:sz w:val="20"/>
              </w:rPr>
              <w:t xml:space="preserve"> radios in future in the field. In those case it may be the case that they require finer resolution </w:t>
            </w:r>
            <w:proofErr w:type="spellStart"/>
            <w:r w:rsidRPr="00E750EE">
              <w:rPr>
                <w:rFonts w:ascii="Arial" w:hAnsi="Arial" w:cs="Arial"/>
                <w:sz w:val="20"/>
              </w:rPr>
              <w:t>atleast</w:t>
            </w:r>
            <w:proofErr w:type="spellEnd"/>
            <w:r w:rsidRPr="00E750EE">
              <w:rPr>
                <w:rFonts w:ascii="Arial" w:hAnsi="Arial" w:cs="Arial"/>
                <w:sz w:val="20"/>
              </w:rPr>
              <w:t xml:space="preserve"> in the order of 26 tone or 52 tone RU that is interfered or not interfered. This information when communicated to AP, the scheduler in AP can make RU allocation appropriately to that STA</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D083D78" w14:textId="3E0CDF4D" w:rsidR="003972AE" w:rsidRPr="003972AE" w:rsidRDefault="003972AE" w:rsidP="00E750EE">
            <w:pPr>
              <w:rPr>
                <w:rFonts w:ascii="Arial" w:eastAsia="Gulim" w:hAnsi="Arial" w:cs="Arial"/>
                <w:b/>
                <w:bCs/>
                <w:color w:val="000000"/>
                <w:sz w:val="20"/>
                <w:lang w:val="en-US" w:eastAsia="ko-KR"/>
              </w:rPr>
            </w:pPr>
            <w:proofErr w:type="spellStart"/>
            <w:r w:rsidRPr="00E750EE">
              <w:rPr>
                <w:rFonts w:ascii="Arial" w:hAnsi="Arial" w:cs="Arial"/>
                <w:sz w:val="20"/>
              </w:rPr>
              <w:t>Whenvever</w:t>
            </w:r>
            <w:proofErr w:type="spellEnd"/>
            <w:r w:rsidRPr="00E750EE">
              <w:rPr>
                <w:rFonts w:ascii="Arial" w:hAnsi="Arial" w:cs="Arial"/>
                <w:sz w:val="20"/>
              </w:rPr>
              <w:t xml:space="preserve"> only one 20 MHz channel is available out of entire 80 MHz/160 MHz operating channel, then there are two ways to solve this. First </w:t>
            </w:r>
            <w:proofErr w:type="spellStart"/>
            <w:r w:rsidRPr="00E750EE">
              <w:rPr>
                <w:rFonts w:ascii="Arial" w:hAnsi="Arial" w:cs="Arial"/>
                <w:sz w:val="20"/>
              </w:rPr>
              <w:t>way</w:t>
            </w:r>
            <w:proofErr w:type="gramStart"/>
            <w:r w:rsidRPr="00E750EE">
              <w:rPr>
                <w:rFonts w:ascii="Arial" w:hAnsi="Arial" w:cs="Arial"/>
                <w:sz w:val="20"/>
              </w:rPr>
              <w:t>:.</w:t>
            </w:r>
            <w:proofErr w:type="gramEnd"/>
            <w:r w:rsidRPr="00E750EE">
              <w:rPr>
                <w:rFonts w:ascii="Arial" w:hAnsi="Arial" w:cs="Arial"/>
                <w:sz w:val="20"/>
              </w:rPr>
              <w:t>There</w:t>
            </w:r>
            <w:proofErr w:type="spellEnd"/>
            <w:r w:rsidRPr="00E750EE">
              <w:rPr>
                <w:rFonts w:ascii="Arial" w:hAnsi="Arial" w:cs="Arial"/>
                <w:sz w:val="20"/>
              </w:rPr>
              <w:t xml:space="preserv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0EDF5030" w14:textId="77777777" w:rsidR="003972AE" w:rsidRPr="00E750EE" w:rsidRDefault="003972AE" w:rsidP="003972AE">
            <w:pPr>
              <w:rPr>
                <w:rFonts w:ascii="Arial" w:hAnsi="Arial" w:cs="Arial"/>
                <w:sz w:val="20"/>
              </w:rPr>
            </w:pPr>
            <w:r w:rsidRPr="00E750EE">
              <w:rPr>
                <w:rFonts w:ascii="Arial" w:hAnsi="Arial" w:cs="Arial"/>
                <w:sz w:val="20"/>
              </w:rPr>
              <w:t>Rejected-</w:t>
            </w:r>
          </w:p>
          <w:p w14:paraId="102ADC32" w14:textId="2813F24B"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3972AE" w:rsidRPr="00B4526A" w14:paraId="3A2D3D8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24D4A52D" w14:textId="45D93F04" w:rsidR="003972AE" w:rsidRPr="003972AE" w:rsidRDefault="003972AE" w:rsidP="003972AE">
            <w:pPr>
              <w:rPr>
                <w:rFonts w:ascii="Arial" w:hAnsi="Arial" w:cs="Arial"/>
                <w:sz w:val="20"/>
              </w:rPr>
            </w:pPr>
            <w:r>
              <w:rPr>
                <w:rFonts w:ascii="Arial" w:hAnsi="Arial" w:cs="Arial"/>
                <w:sz w:val="20"/>
              </w:rPr>
              <w:lastRenderedPageBreak/>
              <w:t>17046</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CD16513" w14:textId="3A535804" w:rsidR="003972AE" w:rsidRPr="003972AE" w:rsidRDefault="003972AE" w:rsidP="003972AE">
            <w:pPr>
              <w:rPr>
                <w:rFonts w:ascii="Arial" w:hAnsi="Arial" w:cs="Arial"/>
                <w:sz w:val="20"/>
              </w:rPr>
            </w:pPr>
            <w:r>
              <w:rPr>
                <w:rFonts w:ascii="Arial" w:hAnsi="Arial" w:cs="Arial"/>
                <w:sz w:val="20"/>
              </w:rPr>
              <w:t>243.31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581F4671" w14:textId="2A6469F2"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42DE5443" w14:textId="6941303E" w:rsidR="003972AE" w:rsidRPr="003972AE" w:rsidRDefault="003972AE" w:rsidP="003972AE">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665367CD" w14:textId="04E4B7BC" w:rsidR="003972AE" w:rsidRPr="003972AE" w:rsidRDefault="003972AE" w:rsidP="003972AE">
            <w:pPr>
              <w:rPr>
                <w:rFonts w:ascii="Arial" w:hAnsi="Arial" w:cs="Arial"/>
                <w:sz w:val="20"/>
              </w:rPr>
            </w:pPr>
            <w:r>
              <w:rPr>
                <w:rFonts w:ascii="Arial" w:hAnsi="Arial" w:cs="Arial"/>
                <w:sz w:val="20"/>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5569486A" w14:textId="77777777" w:rsidR="003972AE" w:rsidRDefault="003972AE" w:rsidP="003972AE">
            <w:pPr>
              <w:rPr>
                <w:rFonts w:ascii="Arial" w:hAnsi="Arial" w:cs="Arial"/>
                <w:sz w:val="20"/>
              </w:rPr>
            </w:pPr>
            <w:r>
              <w:rPr>
                <w:rFonts w:ascii="Arial" w:hAnsi="Arial" w:cs="Arial"/>
                <w:sz w:val="20"/>
              </w:rPr>
              <w:t xml:space="preserve">Revised- </w:t>
            </w:r>
          </w:p>
          <w:p w14:paraId="430BEF49" w14:textId="77777777" w:rsidR="003972AE" w:rsidRDefault="003972AE" w:rsidP="003972AE">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64A6C475" w14:textId="77777777" w:rsidR="003972AE" w:rsidRDefault="003972AE" w:rsidP="003972AE">
            <w:pPr>
              <w:rPr>
                <w:rFonts w:ascii="Arial" w:hAnsi="Arial" w:cs="Arial"/>
                <w:sz w:val="20"/>
              </w:rPr>
            </w:pPr>
          </w:p>
          <w:p w14:paraId="1FA46DA8" w14:textId="4D9A9430"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6CCBA69A" w14:textId="59D6C730" w:rsidR="003972AE" w:rsidRDefault="003972AE" w:rsidP="003972AE">
            <w:pPr>
              <w:rPr>
                <w:rFonts w:ascii="Arial" w:hAnsi="Arial" w:cs="Arial"/>
                <w:sz w:val="20"/>
              </w:rPr>
            </w:pPr>
            <w:r>
              <w:rPr>
                <w:rFonts w:ascii="Arial" w:hAnsi="Arial" w:cs="Arial"/>
                <w:sz w:val="20"/>
              </w:rPr>
              <w:t xml:space="preserve"> </w:t>
            </w:r>
          </w:p>
          <w:p w14:paraId="28C21F08" w14:textId="3E33C6CF"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tr>
      <w:tr w:rsidR="003972AE" w:rsidRPr="00B4526A" w14:paraId="2C8EA454"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BB10748" w14:textId="020F8B1F" w:rsidR="003972AE" w:rsidRPr="003972AE" w:rsidRDefault="003972AE" w:rsidP="003972AE">
            <w:pPr>
              <w:rPr>
                <w:rFonts w:ascii="Arial" w:hAnsi="Arial" w:cs="Arial"/>
                <w:sz w:val="20"/>
              </w:rPr>
            </w:pPr>
            <w:r>
              <w:rPr>
                <w:rFonts w:ascii="Arial" w:hAnsi="Arial" w:cs="Arial"/>
                <w:sz w:val="20"/>
              </w:rPr>
              <w:t>15939</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17118F8" w14:textId="7D445E3A" w:rsidR="003972AE" w:rsidRPr="003972AE" w:rsidRDefault="003972AE" w:rsidP="003972AE">
            <w:pPr>
              <w:rPr>
                <w:rFonts w:ascii="Arial" w:hAnsi="Arial" w:cs="Arial"/>
                <w:sz w:val="20"/>
              </w:rPr>
            </w:pPr>
            <w:r>
              <w:rPr>
                <w:rFonts w:ascii="Arial" w:hAnsi="Arial" w:cs="Arial"/>
                <w:sz w:val="20"/>
              </w:rPr>
              <w:t>243.26</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3AD7A455" w14:textId="42DFDFBD"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7DC81A3B" w14:textId="21973B7D" w:rsidR="003972AE" w:rsidRPr="003972AE" w:rsidRDefault="003972AE" w:rsidP="003972AE">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0A342F9" w14:textId="41D1FE7B" w:rsidR="003972AE" w:rsidRPr="003972AE" w:rsidRDefault="003972AE" w:rsidP="003972AE">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301C86E2" w14:textId="77777777" w:rsidR="003972AE" w:rsidRDefault="003972AE" w:rsidP="003972AE">
            <w:pPr>
              <w:rPr>
                <w:rFonts w:ascii="Arial" w:hAnsi="Arial" w:cs="Arial"/>
                <w:sz w:val="20"/>
              </w:rPr>
            </w:pPr>
            <w:r>
              <w:rPr>
                <w:rFonts w:ascii="Arial" w:hAnsi="Arial" w:cs="Arial"/>
                <w:sz w:val="20"/>
              </w:rPr>
              <w:t xml:space="preserve">Revised- </w:t>
            </w:r>
          </w:p>
          <w:p w14:paraId="516F498B" w14:textId="77777777" w:rsidR="003972AE" w:rsidRDefault="003972AE" w:rsidP="003972AE">
            <w:pPr>
              <w:rPr>
                <w:rFonts w:ascii="Arial" w:hAnsi="Arial" w:cs="Arial"/>
                <w:sz w:val="20"/>
              </w:rPr>
            </w:pPr>
            <w:r>
              <w:rPr>
                <w:rFonts w:ascii="Arial" w:hAnsi="Arial" w:cs="Arial"/>
                <w:sz w:val="20"/>
              </w:rPr>
              <w:t xml:space="preserve">Agree in principle. </w:t>
            </w:r>
          </w:p>
          <w:p w14:paraId="3565313D" w14:textId="77777777" w:rsidR="003972AE" w:rsidRDefault="003972AE" w:rsidP="003972AE">
            <w:pPr>
              <w:rPr>
                <w:rFonts w:ascii="Arial" w:hAnsi="Arial" w:cs="Arial"/>
                <w:sz w:val="20"/>
              </w:rPr>
            </w:pPr>
          </w:p>
          <w:p w14:paraId="2B3198EC" w14:textId="77777777"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28C470A0" w14:textId="77777777" w:rsidR="003972AE" w:rsidRDefault="003972AE" w:rsidP="003972AE">
            <w:pPr>
              <w:rPr>
                <w:rFonts w:ascii="Arial" w:hAnsi="Arial" w:cs="Arial"/>
                <w:sz w:val="20"/>
              </w:rPr>
            </w:pPr>
            <w:r>
              <w:rPr>
                <w:rFonts w:ascii="Arial" w:hAnsi="Arial" w:cs="Arial"/>
                <w:sz w:val="20"/>
              </w:rPr>
              <w:t xml:space="preserve"> </w:t>
            </w:r>
          </w:p>
          <w:p w14:paraId="124CEF8D" w14:textId="13216A44"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bookmarkStart w:id="0" w:name="_GoBack"/>
        <w:bookmarkEnd w:id="0"/>
      </w:tr>
      <w:tr w:rsidR="00E750EE" w:rsidRPr="00B4526A" w14:paraId="38DD22D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2BD9D50" w14:textId="168EDC0A"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15023</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2F48C3E1" w14:textId="3197A419"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134.01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58F62F6" w14:textId="217F24C2"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9.4.2.37</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38D43123" w14:textId="6939167C"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 xml:space="preserve">Add a bit to indicate that the reported </w:t>
            </w:r>
            <w:proofErr w:type="spellStart"/>
            <w:r w:rsidRPr="00C157EF">
              <w:rPr>
                <w:rFonts w:ascii="Arial" w:hAnsi="Arial" w:cs="Arial"/>
                <w:strike/>
                <w:sz w:val="20"/>
                <w:highlight w:val="yellow"/>
              </w:rPr>
              <w:t>neighbor</w:t>
            </w:r>
            <w:proofErr w:type="spellEnd"/>
            <w:r w:rsidRPr="00C157EF">
              <w:rPr>
                <w:rFonts w:ascii="Arial" w:hAnsi="Arial" w:cs="Arial"/>
                <w:strike/>
                <w:sz w:val="20"/>
                <w:highlight w:val="yellow"/>
              </w:rPr>
              <w:t xml:space="preserve"> is a co-located BSS. This will be useful for discovery of a co-located ER BSS or 6GHz BSS</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3F6DE747" w14:textId="4E208E74"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764E6748" w14:textId="1F8B593F" w:rsidR="00E750EE" w:rsidRPr="00C157EF" w:rsidRDefault="00DD2D4B" w:rsidP="00DD2D4B">
            <w:pPr>
              <w:rPr>
                <w:rFonts w:ascii="Arial" w:hAnsi="Arial" w:cs="Arial"/>
                <w:strike/>
                <w:sz w:val="20"/>
                <w:highlight w:val="yellow"/>
              </w:rPr>
            </w:pPr>
            <w:r w:rsidRPr="00C157EF">
              <w:rPr>
                <w:rFonts w:ascii="Arial" w:hAnsi="Arial" w:cs="Arial"/>
                <w:strike/>
                <w:sz w:val="20"/>
                <w:highlight w:val="yellow"/>
              </w:rPr>
              <w:t xml:space="preserve">Should be resolved in </w:t>
            </w:r>
            <w:r w:rsidR="00E06159" w:rsidRPr="00C157EF">
              <w:rPr>
                <w:rFonts w:ascii="Arial" w:hAnsi="Arial" w:cs="Arial"/>
                <w:strike/>
                <w:sz w:val="20"/>
                <w:highlight w:val="yellow"/>
              </w:rPr>
              <w:t xml:space="preserve">6 GHz </w:t>
            </w:r>
            <w:r w:rsidRPr="00C157EF">
              <w:rPr>
                <w:rFonts w:ascii="Arial" w:hAnsi="Arial" w:cs="Arial"/>
                <w:strike/>
                <w:sz w:val="20"/>
                <w:highlight w:val="yellow"/>
              </w:rPr>
              <w:t xml:space="preserve">discovery proposal. </w:t>
            </w:r>
          </w:p>
        </w:tc>
      </w:tr>
      <w:tr w:rsidR="003972A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3972AE" w:rsidRPr="002A2E6F" w:rsidRDefault="003972AE" w:rsidP="003972A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3972AE" w:rsidRDefault="003972AE" w:rsidP="003972AE">
            <w:pPr>
              <w:jc w:val="right"/>
              <w:rPr>
                <w:rFonts w:ascii="Arial" w:hAnsi="Arial" w:cs="Arial"/>
                <w:sz w:val="20"/>
                <w:lang w:val="en-US" w:eastAsia="ko-KR"/>
              </w:rPr>
            </w:pPr>
            <w:r>
              <w:rPr>
                <w:rFonts w:ascii="Arial" w:hAnsi="Arial" w:cs="Arial"/>
                <w:sz w:val="20"/>
              </w:rPr>
              <w:t>138.60</w:t>
            </w:r>
          </w:p>
          <w:p w14:paraId="68833897" w14:textId="77777777" w:rsidR="003972AE" w:rsidRPr="002A2E6F" w:rsidRDefault="003972AE" w:rsidP="003972A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3972AE" w:rsidRPr="002A2E6F" w:rsidRDefault="003972AE" w:rsidP="003972A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3972AE" w:rsidRPr="002A2E6F" w:rsidRDefault="003972AE" w:rsidP="003972A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3972AE" w:rsidRPr="002A2E6F" w:rsidRDefault="003972AE" w:rsidP="003972AE">
            <w:pPr>
              <w:rPr>
                <w:rFonts w:ascii="Arial" w:hAnsi="Arial" w:cs="Arial"/>
                <w:sz w:val="20"/>
              </w:rPr>
            </w:pPr>
            <w:r>
              <w:rPr>
                <w:rFonts w:ascii="Arial" w:hAnsi="Arial" w:cs="Arial"/>
                <w:sz w:val="20"/>
              </w:rPr>
              <w:t xml:space="preserve">Define the rules to derive max </w:t>
            </w:r>
            <w:proofErr w:type="spellStart"/>
            <w:r>
              <w:rPr>
                <w:rFonts w:ascii="Arial" w:hAnsi="Arial" w:cs="Arial"/>
                <w:sz w:val="20"/>
              </w:rPr>
              <w:t>TxPower</w:t>
            </w:r>
            <w:proofErr w:type="spellEnd"/>
            <w:r>
              <w:rPr>
                <w:rFonts w:ascii="Arial" w:hAnsi="Arial" w:cs="Arial"/>
                <w:sz w:val="20"/>
              </w:rPr>
              <w:t xml:space="preserve">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3972AE" w:rsidRPr="00A43E0E" w:rsidRDefault="003972AE" w:rsidP="003972AE">
            <w:pPr>
              <w:rPr>
                <w:rFonts w:ascii="Arial" w:hAnsi="Arial" w:cs="Arial"/>
                <w:sz w:val="20"/>
              </w:rPr>
            </w:pPr>
            <w:r w:rsidRPr="00A43E0E">
              <w:rPr>
                <w:rFonts w:ascii="Arial" w:hAnsi="Arial" w:cs="Arial"/>
                <w:sz w:val="20"/>
              </w:rPr>
              <w:t xml:space="preserve">Revised- </w:t>
            </w:r>
          </w:p>
          <w:p w14:paraId="71477E11" w14:textId="77777777" w:rsidR="003972AE" w:rsidRDefault="003972AE" w:rsidP="003972AE">
            <w:pPr>
              <w:rPr>
                <w:rFonts w:ascii="Arial" w:hAnsi="Arial" w:cs="Arial"/>
                <w:sz w:val="20"/>
              </w:rPr>
            </w:pPr>
            <w:r w:rsidRPr="00A43E0E">
              <w:rPr>
                <w:rFonts w:ascii="Arial" w:hAnsi="Arial" w:cs="Arial"/>
                <w:sz w:val="20"/>
              </w:rPr>
              <w:t xml:space="preserve">Agree in principle. </w:t>
            </w:r>
          </w:p>
          <w:p w14:paraId="5EBC3B73" w14:textId="0C30B707" w:rsidR="003972AE" w:rsidRPr="00A43E0E" w:rsidRDefault="003972AE" w:rsidP="003972AE">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w:t>
            </w:r>
            <w:r>
              <w:rPr>
                <w:rFonts w:ascii="Arial" w:hAnsi="Arial" w:cs="Arial"/>
                <w:sz w:val="20"/>
              </w:rPr>
              <w:t>9</w:t>
            </w:r>
            <w:r w:rsidRPr="00A43E0E">
              <w:rPr>
                <w:rFonts w:ascii="Arial" w:hAnsi="Arial" w:cs="Arial"/>
                <w:sz w:val="20"/>
              </w:rPr>
              <w:t>/</w:t>
            </w:r>
            <w:r w:rsidR="00AE1803">
              <w:rPr>
                <w:rFonts w:ascii="Arial" w:hAnsi="Arial" w:cs="Arial"/>
                <w:sz w:val="20"/>
              </w:rPr>
              <w:t>0085</w:t>
            </w:r>
            <w:r>
              <w:rPr>
                <w:rFonts w:ascii="Arial" w:hAnsi="Arial" w:cs="Arial"/>
                <w:sz w:val="20"/>
              </w:rPr>
              <w:t>r0</w:t>
            </w:r>
            <w:r w:rsidRPr="00A43E0E">
              <w:rPr>
                <w:rFonts w:ascii="Arial" w:hAnsi="Arial" w:cs="Arial"/>
                <w:sz w:val="20"/>
              </w:rPr>
              <w:t>.</w:t>
            </w:r>
          </w:p>
          <w:p w14:paraId="76418C8E" w14:textId="77777777" w:rsidR="003972AE" w:rsidRPr="00A43E0E" w:rsidRDefault="003972AE" w:rsidP="003972AE">
            <w:pPr>
              <w:rPr>
                <w:rFonts w:ascii="Arial" w:hAnsi="Arial" w:cs="Arial"/>
                <w:sz w:val="20"/>
              </w:rPr>
            </w:pPr>
          </w:p>
          <w:p w14:paraId="6889A25C" w14:textId="43EA2C42" w:rsidR="003972AE" w:rsidRDefault="003972AE" w:rsidP="003972AE">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w:t>
            </w:r>
            <w:r>
              <w:rPr>
                <w:rFonts w:ascii="Arial" w:hAnsi="Arial" w:cs="Arial"/>
                <w:sz w:val="20"/>
              </w:rPr>
              <w:t>9</w:t>
            </w:r>
            <w:r w:rsidRPr="00A43E0E">
              <w:rPr>
                <w:rFonts w:ascii="Arial" w:hAnsi="Arial" w:cs="Arial"/>
                <w:sz w:val="20"/>
              </w:rPr>
              <w:t>/</w:t>
            </w:r>
            <w:r w:rsidR="00AE1803">
              <w:rPr>
                <w:rFonts w:ascii="Arial" w:hAnsi="Arial" w:cs="Arial"/>
                <w:sz w:val="20"/>
              </w:rPr>
              <w:t>0085</w:t>
            </w:r>
            <w:r>
              <w:rPr>
                <w:rFonts w:ascii="Arial" w:hAnsi="Arial" w:cs="Arial"/>
                <w:sz w:val="20"/>
              </w:rPr>
              <w:t>r0</w:t>
            </w:r>
            <w:r w:rsidRPr="00A43E0E">
              <w:rPr>
                <w:rFonts w:ascii="Arial" w:hAnsi="Arial" w:cs="Arial"/>
                <w:sz w:val="20"/>
              </w:rPr>
              <w:t>.</w:t>
            </w:r>
          </w:p>
          <w:p w14:paraId="251655A1" w14:textId="7D4AF97C" w:rsidR="003972AE" w:rsidRDefault="003972AE" w:rsidP="003972AE">
            <w:pPr>
              <w:rPr>
                <w:rFonts w:ascii="Arial" w:hAnsi="Arial" w:cs="Arial"/>
                <w:sz w:val="20"/>
              </w:rPr>
            </w:pPr>
          </w:p>
        </w:tc>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 xml:space="preserve">In the Transmit Power Envelope element, the Local Maximum Transmit Power </w:t>
      </w:r>
      <w:proofErr w:type="gramStart"/>
      <w:r w:rsidRPr="008D3B3F">
        <w:rPr>
          <w:sz w:val="20"/>
        </w:rPr>
        <w:t>For</w:t>
      </w:r>
      <w:proofErr w:type="gramEnd"/>
      <w:r w:rsidRPr="008D3B3F">
        <w:rPr>
          <w:sz w:val="20"/>
        </w:rPr>
        <w:t xml:space="preserve">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 xml:space="preserve">n 802.11ax, the X MHz </w:t>
      </w:r>
      <w:proofErr w:type="spellStart"/>
      <w:r w:rsidR="00E8071D" w:rsidRPr="008D3B3F">
        <w:rPr>
          <w:sz w:val="20"/>
        </w:rPr>
        <w:t>PPDUs’s</w:t>
      </w:r>
      <w:proofErr w:type="spellEnd"/>
      <w:r w:rsidR="00E8071D" w:rsidRPr="008D3B3F">
        <w:rPr>
          <w:sz w:val="20"/>
        </w:rPr>
        <w:t xml:space="preserve">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lastRenderedPageBreak/>
        <w:t xml:space="preserve"> </w:t>
      </w:r>
    </w:p>
    <w:p w14:paraId="061F09F1" w14:textId="7945517C"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r w:rsidR="00E056A7">
        <w:rPr>
          <w:sz w:val="20"/>
        </w:rPr>
        <w:t xml:space="preserve">For example, the </w:t>
      </w:r>
      <w:proofErr w:type="spellStart"/>
      <w:r w:rsidR="00E056A7">
        <w:rPr>
          <w:sz w:val="20"/>
        </w:rPr>
        <w:t>the</w:t>
      </w:r>
      <w:proofErr w:type="spellEnd"/>
      <w:r w:rsidR="00E056A7">
        <w:rPr>
          <w:sz w:val="20"/>
        </w:rPr>
        <w:t xml:space="preserve"> HE TB PPDU occupying only 242-tone RU can have the </w:t>
      </w:r>
      <w:r w:rsidR="00E056A7" w:rsidRPr="008D3B3F">
        <w:rPr>
          <w:sz w:val="20"/>
        </w:rPr>
        <w:t>local maximum transmit power</w:t>
      </w:r>
      <w:r w:rsidR="00E056A7">
        <w:rPr>
          <w:sz w:val="20"/>
        </w:rPr>
        <w:t xml:space="preserve"> corresponding to 2×996-tone RU. </w:t>
      </w:r>
    </w:p>
    <w:p w14:paraId="20AA2AC0" w14:textId="77777777" w:rsidR="00E8071D" w:rsidRPr="008D3B3F" w:rsidRDefault="00E8071D" w:rsidP="008D3B3F">
      <w:pPr>
        <w:jc w:val="both"/>
        <w:rPr>
          <w:sz w:val="20"/>
        </w:rPr>
      </w:pPr>
    </w:p>
    <w:p w14:paraId="15D7D81F" w14:textId="77777777" w:rsidR="00A90E47" w:rsidRPr="008D3B3F" w:rsidRDefault="00A90E47" w:rsidP="008D3B3F">
      <w:pPr>
        <w:jc w:val="both"/>
        <w:rPr>
          <w:sz w:val="20"/>
          <w:lang w:val="en-US"/>
        </w:rPr>
      </w:pPr>
    </w:p>
    <w:p w14:paraId="148AEB44" w14:textId="77777777" w:rsidR="00A90E47" w:rsidRPr="008D3B3F" w:rsidRDefault="00A90E47" w:rsidP="008D3B3F">
      <w:pPr>
        <w:autoSpaceDE w:val="0"/>
        <w:autoSpaceDN w:val="0"/>
        <w:adjustRightInd w:val="0"/>
        <w:jc w:val="both"/>
        <w:rPr>
          <w:b/>
          <w:bCs/>
          <w:i/>
          <w:iCs/>
          <w:sz w:val="20"/>
        </w:rPr>
      </w:pPr>
      <w:proofErr w:type="spellStart"/>
      <w:r w:rsidRPr="008D3B3F">
        <w:rPr>
          <w:b/>
          <w:bCs/>
          <w:i/>
          <w:iCs/>
          <w:sz w:val="20"/>
          <w:highlight w:val="yellow"/>
        </w:rPr>
        <w:t>TGax</w:t>
      </w:r>
      <w:proofErr w:type="spellEnd"/>
      <w:r w:rsidRPr="008D3B3F">
        <w:rPr>
          <w:b/>
          <w:bCs/>
          <w:i/>
          <w:iCs/>
          <w:sz w:val="20"/>
          <w:highlight w:val="yellow"/>
        </w:rPr>
        <w:t xml:space="preserve"> Editor: Change the </w:t>
      </w:r>
      <w:proofErr w:type="spellStart"/>
      <w:r w:rsidRPr="008D3B3F">
        <w:rPr>
          <w:b/>
          <w:bCs/>
          <w:i/>
          <w:iCs/>
          <w:sz w:val="20"/>
          <w:highlight w:val="yellow"/>
        </w:rPr>
        <w:t>subclause</w:t>
      </w:r>
      <w:proofErr w:type="spellEnd"/>
      <w:r w:rsidRPr="008D3B3F">
        <w:rPr>
          <w:b/>
          <w:bCs/>
          <w:i/>
          <w:iCs/>
          <w:sz w:val="20"/>
          <w:highlight w:val="yellow"/>
        </w:rPr>
        <w:t xml:space="preserv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43F6C77B" w:rsidR="00EE7A81" w:rsidRDefault="00A90E47" w:rsidP="008D3B3F">
      <w:pPr>
        <w:pStyle w:val="T"/>
        <w:rPr>
          <w:w w:val="100"/>
        </w:rPr>
      </w:pPr>
      <w:r w:rsidRPr="008D3B3F">
        <w:rPr>
          <w:w w:val="100"/>
        </w:rPr>
        <w:t xml:space="preserve">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w:t>
      </w:r>
      <w:r w:rsidRPr="00E056A7">
        <w:rPr>
          <w:color w:val="FF0000"/>
          <w:w w:val="100"/>
          <w:u w:val="single"/>
        </w:rPr>
        <w:t xml:space="preserve">except when the PPDU is an HE TB PPDU. In which case, </w:t>
      </w:r>
      <w:r w:rsidR="00E056A7" w:rsidRPr="00E056A7">
        <w:rPr>
          <w:color w:val="FF0000"/>
          <w:w w:val="100"/>
          <w:u w:val="single"/>
        </w:rPr>
        <w:t xml:space="preserve">Local Maximum Transmit Power For </w:t>
      </w:r>
      <w:r w:rsidR="00E056A7">
        <w:rPr>
          <w:color w:val="FF0000"/>
          <w:w w:val="100"/>
          <w:u w:val="single"/>
        </w:rPr>
        <w:t>X</w:t>
      </w:r>
      <w:r w:rsidR="00E056A7" w:rsidRPr="00E056A7">
        <w:rPr>
          <w:color w:val="FF0000"/>
          <w:w w:val="100"/>
          <w:u w:val="single"/>
        </w:rPr>
        <w:t xml:space="preserve"> MHz fields </w:t>
      </w:r>
      <w:r w:rsidR="00E056A7" w:rsidRPr="00E056A7">
        <w:rPr>
          <w:color w:val="FF0000"/>
          <w:w w:val="100"/>
          <w:u w:val="single"/>
        </w:rPr>
        <w:t xml:space="preserve">defines the local </w:t>
      </w:r>
      <w:r w:rsidR="00E056A7" w:rsidRPr="00E056A7">
        <w:rPr>
          <w:color w:val="FF0000"/>
          <w:w w:val="100"/>
          <w:u w:val="single"/>
        </w:rPr>
        <w:t xml:space="preserve">maximum transmit power limit of </w:t>
      </w:r>
      <w:r w:rsidR="00E056A7" w:rsidRPr="00E056A7">
        <w:rPr>
          <w:color w:val="FF0000"/>
          <w:u w:val="single"/>
        </w:rPr>
        <w:t>the HE TB PPDU</w:t>
      </w:r>
      <w:r w:rsidR="00E056A7">
        <w:rPr>
          <w:color w:val="FF0000"/>
          <w:u w:val="single"/>
        </w:rPr>
        <w:t xml:space="preserve"> of which </w:t>
      </w:r>
      <w:r w:rsidR="00E056A7">
        <w:rPr>
          <w:color w:val="FF0000"/>
          <w:w w:val="100"/>
          <w:u w:val="single"/>
        </w:rPr>
        <w:t xml:space="preserve">the </w:t>
      </w:r>
      <w:r w:rsidR="00E056A7" w:rsidRPr="00E056A7">
        <w:rPr>
          <w:color w:val="FF0000"/>
          <w:u w:val="single"/>
        </w:rPr>
        <w:t xml:space="preserve">bandwidth of the pre-HE modulated fields </w:t>
      </w:r>
      <w:r w:rsidR="00E056A7">
        <w:rPr>
          <w:color w:val="FF0000"/>
          <w:u w:val="single"/>
        </w:rPr>
        <w:t xml:space="preserve">is X </w:t>
      </w:r>
      <w:proofErr w:type="spellStart"/>
      <w:r w:rsidR="00E056A7">
        <w:rPr>
          <w:color w:val="FF0000"/>
          <w:u w:val="single"/>
        </w:rPr>
        <w:t>MHz</w:t>
      </w:r>
      <w:r w:rsidRPr="00E056A7">
        <w:rPr>
          <w:color w:val="FF0000"/>
          <w:u w:val="single"/>
        </w:rPr>
        <w:t>.</w:t>
      </w:r>
      <w:proofErr w:type="spellEnd"/>
      <w:r w:rsidR="00E056A7" w:rsidRPr="00713F80">
        <w:rPr>
          <w:color w:val="FF0000"/>
        </w:rPr>
        <w:t xml:space="preserve"> (#15835)</w:t>
      </w:r>
      <w:r w:rsidRPr="00713F80" w:rsidDel="004051BB">
        <w:rPr>
          <w:color w:val="FF0000"/>
          <w:w w:val="100"/>
        </w:rPr>
        <w:t xml:space="preserve"> </w:t>
      </w:r>
      <w:r w:rsidRPr="008D3B3F">
        <w:rPr>
          <w:w w:val="100"/>
        </w:rPr>
        <w:t xml:space="preserve">Each Local Maximum Transmit Power For </w:t>
      </w:r>
      <w:r w:rsidRPr="008D3B3F">
        <w:rPr>
          <w:i/>
          <w:iCs/>
          <w:w w:val="100"/>
        </w:rPr>
        <w:t>X</w:t>
      </w:r>
      <w:r w:rsidRPr="008D3B3F">
        <w:rPr>
          <w:w w:val="100"/>
        </w:rPr>
        <w:t xml:space="preserve"> MHz field is encoded as an 8-bit 2s complement signed integer in the range –64 </w:t>
      </w:r>
      <w:proofErr w:type="spellStart"/>
      <w:r w:rsidRPr="008D3B3F">
        <w:rPr>
          <w:w w:val="100"/>
        </w:rPr>
        <w:t>dBm</w:t>
      </w:r>
      <w:proofErr w:type="spellEnd"/>
      <w:r w:rsidRPr="008D3B3F">
        <w:rPr>
          <w:w w:val="100"/>
        </w:rPr>
        <w:t xml:space="preserve"> to 63 </w:t>
      </w:r>
      <w:proofErr w:type="spellStart"/>
      <w:r w:rsidRPr="008D3B3F">
        <w:rPr>
          <w:w w:val="100"/>
        </w:rPr>
        <w:t>dBm</w:t>
      </w:r>
      <w:proofErr w:type="spellEnd"/>
      <w:r w:rsidRPr="008D3B3F">
        <w:rPr>
          <w:w w:val="100"/>
        </w:rPr>
        <w:t xml:space="preserve"> with a 0.5 dB step. The value of 63.5 </w:t>
      </w:r>
      <w:proofErr w:type="spellStart"/>
      <w:r w:rsidRPr="008D3B3F">
        <w:rPr>
          <w:w w:val="100"/>
        </w:rPr>
        <w:t>dBm</w:t>
      </w:r>
      <w:proofErr w:type="spellEnd"/>
      <w:r w:rsidRPr="008D3B3F">
        <w:rPr>
          <w:w w:val="100"/>
        </w:rPr>
        <w:t xml:space="preserve"> indicates 63.5 </w:t>
      </w:r>
      <w:proofErr w:type="spellStart"/>
      <w:r w:rsidRPr="008D3B3F">
        <w:rPr>
          <w:w w:val="100"/>
        </w:rPr>
        <w:t>dBm</w:t>
      </w:r>
      <w:proofErr w:type="spellEnd"/>
      <w:r w:rsidRPr="008D3B3F">
        <w:rPr>
          <w:w w:val="100"/>
        </w:rPr>
        <w:t xml:space="preserve"> or higher (i.e., no local maximum transmit power constraint). </w:t>
      </w: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2C53F" w14:textId="77777777" w:rsidR="00F27D4D" w:rsidRDefault="00F27D4D">
      <w:r>
        <w:separator/>
      </w:r>
    </w:p>
  </w:endnote>
  <w:endnote w:type="continuationSeparator" w:id="0">
    <w:p w14:paraId="7FBAA8E7" w14:textId="77777777" w:rsidR="00F27D4D" w:rsidRDefault="00F2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4D1D5A">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C157EF">
      <w:rPr>
        <w:noProof/>
      </w:rPr>
      <w:t>1</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89FA0" w14:textId="77777777" w:rsidR="00F27D4D" w:rsidRDefault="00F27D4D">
      <w:r>
        <w:separator/>
      </w:r>
    </w:p>
  </w:footnote>
  <w:footnote w:type="continuationSeparator" w:id="0">
    <w:p w14:paraId="7224E89C" w14:textId="77777777" w:rsidR="00F27D4D" w:rsidRDefault="00F27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9B0B9F8" w:rsidR="003552E4" w:rsidRDefault="009A7313">
    <w:pPr>
      <w:pStyle w:val="Header"/>
      <w:tabs>
        <w:tab w:val="clear" w:pos="6480"/>
        <w:tab w:val="center" w:pos="4680"/>
        <w:tab w:val="right" w:pos="9360"/>
      </w:tabs>
      <w:rPr>
        <w:lang w:eastAsia="ko-KR"/>
      </w:rPr>
    </w:pPr>
    <w:r>
      <w:rPr>
        <w:lang w:eastAsia="ko-KR"/>
      </w:rPr>
      <w:t xml:space="preserve">January </w:t>
    </w:r>
    <w:r w:rsidR="003552E4">
      <w:rPr>
        <w:rFonts w:hint="eastAsia"/>
        <w:lang w:eastAsia="ko-KR"/>
      </w:rPr>
      <w:t>201</w:t>
    </w:r>
    <w:r>
      <w:rPr>
        <w:lang w:eastAsia="ko-KR"/>
      </w:rPr>
      <w:t>9</w:t>
    </w:r>
    <w:r w:rsidR="003552E4">
      <w:tab/>
    </w:r>
    <w:r w:rsidR="003552E4">
      <w:tab/>
    </w:r>
    <w:fldSimple w:instr=" TITLE  \* MERGEFORMAT ">
      <w:r w:rsidR="003552E4">
        <w:t>doc.: IEEE 802.11-1</w:t>
      </w:r>
      <w:r>
        <w:t>9</w:t>
      </w:r>
      <w:r w:rsidR="003552E4">
        <w:t>/</w:t>
      </w:r>
      <w:r w:rsidR="00AE1803">
        <w:t>0085</w:t>
      </w:r>
      <w:r w:rsidR="003552E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28DD"/>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2AE"/>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3F9"/>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1D5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C11"/>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3F80"/>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293"/>
    <w:rsid w:val="0091446E"/>
    <w:rsid w:val="00914648"/>
    <w:rsid w:val="009149BA"/>
    <w:rsid w:val="009151F0"/>
    <w:rsid w:val="00915881"/>
    <w:rsid w:val="00915CA5"/>
    <w:rsid w:val="009163E8"/>
    <w:rsid w:val="0092075E"/>
    <w:rsid w:val="009225A7"/>
    <w:rsid w:val="009237A3"/>
    <w:rsid w:val="00925D30"/>
    <w:rsid w:val="0092754A"/>
    <w:rsid w:val="009276A3"/>
    <w:rsid w:val="00927FEB"/>
    <w:rsid w:val="009310FD"/>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A7313"/>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803"/>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7EF"/>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2D4B"/>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56A7"/>
    <w:rsid w:val="00E06159"/>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50EE"/>
    <w:rsid w:val="00E76F5A"/>
    <w:rsid w:val="00E772DB"/>
    <w:rsid w:val="00E7740B"/>
    <w:rsid w:val="00E80182"/>
    <w:rsid w:val="00E8027B"/>
    <w:rsid w:val="00E8071D"/>
    <w:rsid w:val="00E81437"/>
    <w:rsid w:val="00E81D5D"/>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2BF4"/>
    <w:rsid w:val="00F0401B"/>
    <w:rsid w:val="00F042D5"/>
    <w:rsid w:val="00F04A27"/>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27D4D"/>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44721027">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8C4A0BDA-AA86-4C07-97A8-4C66CD18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956</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6399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25</cp:revision>
  <cp:lastPrinted>2010-05-04T00:47:00Z</cp:lastPrinted>
  <dcterms:created xsi:type="dcterms:W3CDTF">2018-11-08T02:07:00Z</dcterms:created>
  <dcterms:modified xsi:type="dcterms:W3CDTF">2019-01-14T05:42:00Z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