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F78B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2"/>
        <w:gridCol w:w="2814"/>
        <w:gridCol w:w="982"/>
        <w:gridCol w:w="2380"/>
      </w:tblGrid>
      <w:tr w:rsidR="00CA09B2" w14:paraId="408F5E07" w14:textId="77777777">
        <w:trPr>
          <w:trHeight w:val="485"/>
          <w:jc w:val="center"/>
        </w:trPr>
        <w:tc>
          <w:tcPr>
            <w:tcW w:w="9576" w:type="dxa"/>
            <w:gridSpan w:val="5"/>
            <w:vAlign w:val="center"/>
          </w:tcPr>
          <w:p w14:paraId="77B6F2D9" w14:textId="155EEFAA" w:rsidR="00CA09B2" w:rsidRDefault="00B60748">
            <w:pPr>
              <w:pStyle w:val="T2"/>
            </w:pPr>
            <w:r>
              <w:t>CR</w:t>
            </w:r>
            <w:r w:rsidR="00AA67EE">
              <w:t>s on symbol design</w:t>
            </w:r>
            <w:r>
              <w:t xml:space="preserve"> in Section 32</w:t>
            </w:r>
          </w:p>
        </w:tc>
      </w:tr>
      <w:tr w:rsidR="00CA09B2" w14:paraId="27B37AC3" w14:textId="77777777">
        <w:trPr>
          <w:trHeight w:val="359"/>
          <w:jc w:val="center"/>
        </w:trPr>
        <w:tc>
          <w:tcPr>
            <w:tcW w:w="9576" w:type="dxa"/>
            <w:gridSpan w:val="5"/>
            <w:vAlign w:val="center"/>
          </w:tcPr>
          <w:p w14:paraId="5716FB4C" w14:textId="77777777" w:rsidR="00CA09B2" w:rsidRDefault="00CA09B2">
            <w:pPr>
              <w:pStyle w:val="T2"/>
              <w:ind w:left="0"/>
              <w:rPr>
                <w:sz w:val="20"/>
              </w:rPr>
            </w:pPr>
            <w:r>
              <w:rPr>
                <w:sz w:val="20"/>
              </w:rPr>
              <w:t>Date:</w:t>
            </w:r>
            <w:r>
              <w:rPr>
                <w:b w:val="0"/>
                <w:sz w:val="20"/>
              </w:rPr>
              <w:t xml:space="preserve">  </w:t>
            </w:r>
            <w:r w:rsidR="008D0F68">
              <w:rPr>
                <w:b w:val="0"/>
                <w:sz w:val="20"/>
              </w:rPr>
              <w:t>2019</w:t>
            </w:r>
            <w:r>
              <w:rPr>
                <w:b w:val="0"/>
                <w:sz w:val="20"/>
              </w:rPr>
              <w:t>-</w:t>
            </w:r>
            <w:r w:rsidR="008D0F68">
              <w:rPr>
                <w:b w:val="0"/>
                <w:sz w:val="20"/>
              </w:rPr>
              <w:t>01</w:t>
            </w:r>
            <w:r>
              <w:rPr>
                <w:b w:val="0"/>
                <w:sz w:val="20"/>
              </w:rPr>
              <w:t>-</w:t>
            </w:r>
            <w:r w:rsidR="008D0F68">
              <w:rPr>
                <w:b w:val="0"/>
                <w:sz w:val="20"/>
              </w:rPr>
              <w:t>11</w:t>
            </w:r>
          </w:p>
        </w:tc>
      </w:tr>
      <w:tr w:rsidR="00CA09B2" w14:paraId="681B9B48" w14:textId="77777777">
        <w:trPr>
          <w:cantSplit/>
          <w:jc w:val="center"/>
        </w:trPr>
        <w:tc>
          <w:tcPr>
            <w:tcW w:w="9576" w:type="dxa"/>
            <w:gridSpan w:val="5"/>
            <w:vAlign w:val="center"/>
          </w:tcPr>
          <w:p w14:paraId="2B7950C0" w14:textId="77777777" w:rsidR="00CA09B2" w:rsidRDefault="00CA09B2">
            <w:pPr>
              <w:pStyle w:val="T2"/>
              <w:spacing w:after="0"/>
              <w:ind w:left="0" w:right="0"/>
              <w:jc w:val="left"/>
              <w:rPr>
                <w:sz w:val="20"/>
              </w:rPr>
            </w:pPr>
            <w:r>
              <w:rPr>
                <w:sz w:val="20"/>
              </w:rPr>
              <w:t>Author(s):</w:t>
            </w:r>
          </w:p>
        </w:tc>
      </w:tr>
      <w:tr w:rsidR="00CA09B2" w14:paraId="17AD7423" w14:textId="77777777" w:rsidTr="008D0F68">
        <w:trPr>
          <w:jc w:val="center"/>
        </w:trPr>
        <w:tc>
          <w:tcPr>
            <w:tcW w:w="1668" w:type="dxa"/>
            <w:vAlign w:val="center"/>
          </w:tcPr>
          <w:p w14:paraId="06210894" w14:textId="77777777" w:rsidR="00CA09B2" w:rsidRDefault="00CA09B2">
            <w:pPr>
              <w:pStyle w:val="T2"/>
              <w:spacing w:after="0"/>
              <w:ind w:left="0" w:right="0"/>
              <w:jc w:val="left"/>
              <w:rPr>
                <w:sz w:val="20"/>
              </w:rPr>
            </w:pPr>
            <w:r>
              <w:rPr>
                <w:sz w:val="20"/>
              </w:rPr>
              <w:t>Name</w:t>
            </w:r>
          </w:p>
        </w:tc>
        <w:tc>
          <w:tcPr>
            <w:tcW w:w="1732" w:type="dxa"/>
            <w:vAlign w:val="center"/>
          </w:tcPr>
          <w:p w14:paraId="3C52CD10" w14:textId="77777777" w:rsidR="00CA09B2" w:rsidRDefault="0062440B">
            <w:pPr>
              <w:pStyle w:val="T2"/>
              <w:spacing w:after="0"/>
              <w:ind w:left="0" w:right="0"/>
              <w:jc w:val="left"/>
              <w:rPr>
                <w:sz w:val="20"/>
              </w:rPr>
            </w:pPr>
            <w:r>
              <w:rPr>
                <w:sz w:val="20"/>
              </w:rPr>
              <w:t>Affiliation</w:t>
            </w:r>
          </w:p>
        </w:tc>
        <w:tc>
          <w:tcPr>
            <w:tcW w:w="2814" w:type="dxa"/>
            <w:vAlign w:val="center"/>
          </w:tcPr>
          <w:p w14:paraId="4F91BA99" w14:textId="77777777" w:rsidR="00CA09B2" w:rsidRDefault="00CA09B2">
            <w:pPr>
              <w:pStyle w:val="T2"/>
              <w:spacing w:after="0"/>
              <w:ind w:left="0" w:right="0"/>
              <w:jc w:val="left"/>
              <w:rPr>
                <w:sz w:val="20"/>
              </w:rPr>
            </w:pPr>
            <w:r>
              <w:rPr>
                <w:sz w:val="20"/>
              </w:rPr>
              <w:t>Address</w:t>
            </w:r>
          </w:p>
        </w:tc>
        <w:tc>
          <w:tcPr>
            <w:tcW w:w="982" w:type="dxa"/>
            <w:vAlign w:val="center"/>
          </w:tcPr>
          <w:p w14:paraId="24B06CFB" w14:textId="77777777" w:rsidR="00CA09B2" w:rsidRDefault="00CA09B2">
            <w:pPr>
              <w:pStyle w:val="T2"/>
              <w:spacing w:after="0"/>
              <w:ind w:left="0" w:right="0"/>
              <w:jc w:val="left"/>
              <w:rPr>
                <w:sz w:val="20"/>
              </w:rPr>
            </w:pPr>
            <w:r>
              <w:rPr>
                <w:sz w:val="20"/>
              </w:rPr>
              <w:t>Phone</w:t>
            </w:r>
          </w:p>
        </w:tc>
        <w:tc>
          <w:tcPr>
            <w:tcW w:w="2380" w:type="dxa"/>
            <w:vAlign w:val="center"/>
          </w:tcPr>
          <w:p w14:paraId="1F519428" w14:textId="77777777" w:rsidR="00CA09B2" w:rsidRDefault="00CA09B2">
            <w:pPr>
              <w:pStyle w:val="T2"/>
              <w:spacing w:after="0"/>
              <w:ind w:left="0" w:right="0"/>
              <w:jc w:val="left"/>
              <w:rPr>
                <w:sz w:val="20"/>
              </w:rPr>
            </w:pPr>
            <w:r>
              <w:rPr>
                <w:sz w:val="20"/>
              </w:rPr>
              <w:t>email</w:t>
            </w:r>
          </w:p>
        </w:tc>
      </w:tr>
      <w:tr w:rsidR="00CA09B2" w14:paraId="4DA86A94" w14:textId="77777777" w:rsidTr="008D0F68">
        <w:trPr>
          <w:jc w:val="center"/>
        </w:trPr>
        <w:tc>
          <w:tcPr>
            <w:tcW w:w="1668" w:type="dxa"/>
            <w:vAlign w:val="center"/>
          </w:tcPr>
          <w:p w14:paraId="744D1FA1" w14:textId="77777777" w:rsidR="00CA09B2" w:rsidRDefault="008D0F68">
            <w:pPr>
              <w:pStyle w:val="T2"/>
              <w:spacing w:after="0"/>
              <w:ind w:left="0" w:right="0"/>
              <w:rPr>
                <w:b w:val="0"/>
                <w:sz w:val="20"/>
              </w:rPr>
            </w:pPr>
            <w:r>
              <w:rPr>
                <w:b w:val="0"/>
                <w:sz w:val="20"/>
              </w:rPr>
              <w:t>Dennis Sundman</w:t>
            </w:r>
          </w:p>
        </w:tc>
        <w:tc>
          <w:tcPr>
            <w:tcW w:w="1732" w:type="dxa"/>
            <w:vAlign w:val="center"/>
          </w:tcPr>
          <w:p w14:paraId="4DC3572D" w14:textId="77777777" w:rsidR="00CA09B2" w:rsidRDefault="008D0F68">
            <w:pPr>
              <w:pStyle w:val="T2"/>
              <w:spacing w:after="0"/>
              <w:ind w:left="0" w:right="0"/>
              <w:rPr>
                <w:b w:val="0"/>
                <w:sz w:val="20"/>
              </w:rPr>
            </w:pPr>
            <w:r>
              <w:rPr>
                <w:b w:val="0"/>
                <w:sz w:val="20"/>
              </w:rPr>
              <w:t>Ericsson</w:t>
            </w:r>
          </w:p>
        </w:tc>
        <w:tc>
          <w:tcPr>
            <w:tcW w:w="2814" w:type="dxa"/>
            <w:vAlign w:val="center"/>
          </w:tcPr>
          <w:p w14:paraId="59F44492" w14:textId="77777777" w:rsidR="00CA09B2" w:rsidRDefault="00CA09B2">
            <w:pPr>
              <w:pStyle w:val="T2"/>
              <w:spacing w:after="0"/>
              <w:ind w:left="0" w:right="0"/>
              <w:rPr>
                <w:b w:val="0"/>
                <w:sz w:val="20"/>
              </w:rPr>
            </w:pPr>
          </w:p>
        </w:tc>
        <w:tc>
          <w:tcPr>
            <w:tcW w:w="982" w:type="dxa"/>
            <w:vAlign w:val="center"/>
          </w:tcPr>
          <w:p w14:paraId="0AF76C1C" w14:textId="77777777" w:rsidR="00CA09B2" w:rsidRDefault="00CA09B2">
            <w:pPr>
              <w:pStyle w:val="T2"/>
              <w:spacing w:after="0"/>
              <w:ind w:left="0" w:right="0"/>
              <w:rPr>
                <w:b w:val="0"/>
                <w:sz w:val="20"/>
              </w:rPr>
            </w:pPr>
          </w:p>
        </w:tc>
        <w:tc>
          <w:tcPr>
            <w:tcW w:w="2380" w:type="dxa"/>
            <w:vAlign w:val="center"/>
          </w:tcPr>
          <w:p w14:paraId="50FB2432" w14:textId="77777777" w:rsidR="00CA09B2" w:rsidRDefault="008D0F68">
            <w:pPr>
              <w:pStyle w:val="T2"/>
              <w:spacing w:after="0"/>
              <w:ind w:left="0" w:right="0"/>
              <w:rPr>
                <w:b w:val="0"/>
                <w:sz w:val="16"/>
              </w:rPr>
            </w:pPr>
            <w:r>
              <w:rPr>
                <w:b w:val="0"/>
                <w:sz w:val="16"/>
              </w:rPr>
              <w:t>dennis.sundman@ericsson.com</w:t>
            </w:r>
          </w:p>
        </w:tc>
      </w:tr>
      <w:tr w:rsidR="00CA09B2" w14:paraId="5F012168" w14:textId="77777777" w:rsidTr="008D0F68">
        <w:trPr>
          <w:jc w:val="center"/>
        </w:trPr>
        <w:tc>
          <w:tcPr>
            <w:tcW w:w="1668" w:type="dxa"/>
            <w:vAlign w:val="center"/>
          </w:tcPr>
          <w:p w14:paraId="510D967E" w14:textId="77777777" w:rsidR="00CA09B2" w:rsidRDefault="00CA09B2">
            <w:pPr>
              <w:pStyle w:val="T2"/>
              <w:spacing w:after="0"/>
              <w:ind w:left="0" w:right="0"/>
              <w:rPr>
                <w:b w:val="0"/>
                <w:sz w:val="20"/>
              </w:rPr>
            </w:pPr>
          </w:p>
        </w:tc>
        <w:tc>
          <w:tcPr>
            <w:tcW w:w="1732" w:type="dxa"/>
            <w:vAlign w:val="center"/>
          </w:tcPr>
          <w:p w14:paraId="11533ABD" w14:textId="77777777" w:rsidR="00CA09B2" w:rsidRDefault="00CA09B2">
            <w:pPr>
              <w:pStyle w:val="T2"/>
              <w:spacing w:after="0"/>
              <w:ind w:left="0" w:right="0"/>
              <w:rPr>
                <w:b w:val="0"/>
                <w:sz w:val="20"/>
              </w:rPr>
            </w:pPr>
          </w:p>
        </w:tc>
        <w:tc>
          <w:tcPr>
            <w:tcW w:w="2814" w:type="dxa"/>
            <w:vAlign w:val="center"/>
          </w:tcPr>
          <w:p w14:paraId="41012BC4" w14:textId="77777777" w:rsidR="00CA09B2" w:rsidRDefault="00CA09B2">
            <w:pPr>
              <w:pStyle w:val="T2"/>
              <w:spacing w:after="0"/>
              <w:ind w:left="0" w:right="0"/>
              <w:rPr>
                <w:b w:val="0"/>
                <w:sz w:val="20"/>
              </w:rPr>
            </w:pPr>
          </w:p>
        </w:tc>
        <w:tc>
          <w:tcPr>
            <w:tcW w:w="982" w:type="dxa"/>
            <w:vAlign w:val="center"/>
          </w:tcPr>
          <w:p w14:paraId="64F8E680" w14:textId="77777777" w:rsidR="00CA09B2" w:rsidRDefault="00CA09B2">
            <w:pPr>
              <w:pStyle w:val="T2"/>
              <w:spacing w:after="0"/>
              <w:ind w:left="0" w:right="0"/>
              <w:rPr>
                <w:b w:val="0"/>
                <w:sz w:val="20"/>
              </w:rPr>
            </w:pPr>
          </w:p>
        </w:tc>
        <w:tc>
          <w:tcPr>
            <w:tcW w:w="2380" w:type="dxa"/>
            <w:vAlign w:val="center"/>
          </w:tcPr>
          <w:p w14:paraId="3BAFB6B5" w14:textId="77777777" w:rsidR="00CA09B2" w:rsidRDefault="00CA09B2">
            <w:pPr>
              <w:pStyle w:val="T2"/>
              <w:spacing w:after="0"/>
              <w:ind w:left="0" w:right="0"/>
              <w:rPr>
                <w:b w:val="0"/>
                <w:sz w:val="16"/>
              </w:rPr>
            </w:pPr>
          </w:p>
        </w:tc>
        <w:bookmarkStart w:id="0" w:name="_GoBack"/>
        <w:bookmarkEnd w:id="0"/>
      </w:tr>
    </w:tbl>
    <w:p w14:paraId="496B82F3" w14:textId="445F7239" w:rsidR="00CA09B2" w:rsidRDefault="008D0F68">
      <w:pPr>
        <w:pStyle w:val="T1"/>
        <w:spacing w:after="120"/>
        <w:rPr>
          <w:sz w:val="22"/>
        </w:rPr>
      </w:pPr>
      <w:r>
        <w:rPr>
          <w:noProof/>
        </w:rPr>
        <mc:AlternateContent>
          <mc:Choice Requires="wps">
            <w:drawing>
              <wp:inline distT="0" distB="0" distL="0" distR="0" wp14:anchorId="01929843" wp14:editId="283640C4">
                <wp:extent cx="5943600" cy="2844800"/>
                <wp:effectExtent l="0" t="0" r="0" b="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557EE3" w14:textId="77777777" w:rsidR="0029020B" w:rsidRDefault="0029020B">
                            <w:pPr>
                              <w:pStyle w:val="T1"/>
                              <w:spacing w:after="120"/>
                            </w:pPr>
                            <w:r>
                              <w:t>Abstract</w:t>
                            </w:r>
                          </w:p>
                          <w:p w14:paraId="6FF1ADE4" w14:textId="3C21C38C" w:rsidR="0029020B" w:rsidRDefault="008D0F68" w:rsidP="00AA67EE">
                            <w:pPr>
                              <w:jc w:val="both"/>
                            </w:pPr>
                            <w:r>
                              <w:t xml:space="preserve">This contribution </w:t>
                            </w:r>
                            <w:proofErr w:type="spellStart"/>
                            <w:r>
                              <w:t>poposes</w:t>
                            </w:r>
                            <w:proofErr w:type="spellEnd"/>
                            <w:r>
                              <w:t xml:space="preserve"> comment resolutions for the CIDs:</w:t>
                            </w:r>
                            <w:r w:rsidR="00AA67EE">
                              <w:t xml:space="preserve"> 185, 255, 303, 306, 440, 441, 442, 443, 767, 1045, 1046, 1047, 1049, 1153, 1199.</w:t>
                            </w:r>
                          </w:p>
                        </w:txbxContent>
                      </wps:txbx>
                      <wps:bodyPr rot="0" vert="horz" wrap="square" lIns="91440" tIns="45720" rIns="91440" bIns="45720" anchor="t" anchorCtr="0" upright="1">
                        <a:noAutofit/>
                      </wps:bodyPr>
                    </wps:wsp>
                  </a:graphicData>
                </a:graphic>
              </wp:inline>
            </w:drawing>
          </mc:Choice>
          <mc:Fallback>
            <w:pict>
              <v:shapetype w14:anchorId="01929843" id="_x0000_t202" coordsize="21600,21600" o:spt="202" path="m,l,21600r21600,l21600,xe">
                <v:stroke joinstyle="miter"/>
                <v:path gradientshapeok="t" o:connecttype="rect"/>
              </v:shapetype>
              <v:shape id="Text Box 3" o:spid="_x0000_s1026" type="#_x0000_t202" style="width:468pt;height: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" stroked="f">
                <v:textbox>
                  <w:txbxContent>
                    <w:p w14:paraId="49557EE3" w14:textId="77777777" w:rsidR="0029020B" w:rsidRDefault="0029020B">
                      <w:pPr>
                        <w:pStyle w:val="T1"/>
                        <w:spacing w:after="120"/>
                      </w:pPr>
                      <w:r>
                        <w:t>Abstract</w:t>
                      </w:r>
                    </w:p>
                    <w:p w14:paraId="6FF1ADE4" w14:textId="3C21C38C" w:rsidR="0029020B" w:rsidRDefault="008D0F68" w:rsidP="00AA67EE">
                      <w:pPr>
                        <w:jc w:val="both"/>
                      </w:pPr>
                      <w:r>
                        <w:t xml:space="preserve">This contribution </w:t>
                      </w:r>
                      <w:proofErr w:type="spellStart"/>
                      <w:r>
                        <w:t>poposes</w:t>
                      </w:r>
                      <w:proofErr w:type="spellEnd"/>
                      <w:r>
                        <w:t xml:space="preserve"> comment resolutions for the CIDs:</w:t>
                      </w:r>
                      <w:r w:rsidR="00AA67EE">
                        <w:t xml:space="preserve"> 185, 255, 303, 306, 440, 441, 442, 443, 767, 1045, 1046, 1047, 1049, 1153, 1199.</w:t>
                      </w:r>
                    </w:p>
                  </w:txbxContent>
                </v:textbox>
                <w10:anchorlock/>
              </v:shape>
            </w:pict>
          </mc:Fallback>
        </mc:AlternateContent>
      </w:r>
    </w:p>
    <w:p w14:paraId="1CADD870" w14:textId="62C86241" w:rsidR="00BA06F2" w:rsidRDefault="00BA06F2">
      <w:pPr>
        <w:rPr>
          <w:b/>
        </w:rPr>
      </w:pPr>
      <w:r>
        <w:br w:type="page"/>
      </w:r>
    </w:p>
    <w:p w14:paraId="19A1F79C" w14:textId="75A4CFF8" w:rsidR="00B37A69" w:rsidRDefault="00B37A69"/>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900"/>
        <w:gridCol w:w="900"/>
        <w:gridCol w:w="2679"/>
        <w:gridCol w:w="2678"/>
        <w:gridCol w:w="2678"/>
      </w:tblGrid>
      <w:tr w:rsidR="00B37A69" w:rsidRPr="00B37A69" w14:paraId="5C324403" w14:textId="77777777" w:rsidTr="00B37A69">
        <w:trPr>
          <w:trHeight w:val="765"/>
        </w:trPr>
        <w:tc>
          <w:tcPr>
            <w:tcW w:w="585" w:type="dxa"/>
            <w:shd w:val="clear" w:color="auto" w:fill="auto"/>
            <w:hideMark/>
          </w:tcPr>
          <w:p w14:paraId="35F4546A" w14:textId="77777777" w:rsidR="00B37A69" w:rsidRPr="00B37A69" w:rsidRDefault="00B37A69" w:rsidP="00B37A69">
            <w:pPr>
              <w:rPr>
                <w:rFonts w:ascii="Arial" w:hAnsi="Arial" w:cs="Arial"/>
                <w:b/>
                <w:bCs/>
                <w:sz w:val="20"/>
                <w:lang w:val="sv-SE" w:eastAsia="sv-SE"/>
              </w:rPr>
            </w:pPr>
            <w:r w:rsidRPr="00B37A69">
              <w:rPr>
                <w:rFonts w:ascii="Arial" w:hAnsi="Arial" w:cs="Arial"/>
                <w:b/>
                <w:bCs/>
                <w:sz w:val="20"/>
                <w:lang w:val="sv-SE" w:eastAsia="sv-SE"/>
              </w:rPr>
              <w:t>CID</w:t>
            </w:r>
          </w:p>
        </w:tc>
        <w:tc>
          <w:tcPr>
            <w:tcW w:w="900" w:type="dxa"/>
            <w:shd w:val="clear" w:color="auto" w:fill="auto"/>
            <w:hideMark/>
          </w:tcPr>
          <w:p w14:paraId="79573328" w14:textId="77777777" w:rsidR="00B37A69" w:rsidRPr="00B37A69" w:rsidRDefault="00B37A69" w:rsidP="00B37A69">
            <w:pPr>
              <w:rPr>
                <w:rFonts w:ascii="Arial" w:hAnsi="Arial" w:cs="Arial"/>
                <w:b/>
                <w:bCs/>
                <w:sz w:val="20"/>
                <w:lang w:val="sv-SE" w:eastAsia="sv-SE"/>
              </w:rPr>
            </w:pPr>
            <w:r w:rsidRPr="00B37A69">
              <w:rPr>
                <w:rFonts w:ascii="Arial" w:hAnsi="Arial" w:cs="Arial"/>
                <w:b/>
                <w:bCs/>
                <w:sz w:val="20"/>
                <w:lang w:val="sv-SE" w:eastAsia="sv-SE"/>
              </w:rPr>
              <w:t>Page</w:t>
            </w:r>
          </w:p>
        </w:tc>
        <w:tc>
          <w:tcPr>
            <w:tcW w:w="900" w:type="dxa"/>
            <w:shd w:val="clear" w:color="auto" w:fill="auto"/>
            <w:hideMark/>
          </w:tcPr>
          <w:p w14:paraId="21527EC4" w14:textId="77777777" w:rsidR="00B37A69" w:rsidRPr="00B37A69" w:rsidRDefault="00B37A69" w:rsidP="00B37A69">
            <w:pPr>
              <w:rPr>
                <w:rFonts w:ascii="Arial" w:hAnsi="Arial" w:cs="Arial"/>
                <w:b/>
                <w:bCs/>
                <w:sz w:val="20"/>
                <w:lang w:val="sv-SE" w:eastAsia="sv-SE"/>
              </w:rPr>
            </w:pPr>
            <w:r w:rsidRPr="00B37A69">
              <w:rPr>
                <w:rFonts w:ascii="Arial" w:hAnsi="Arial" w:cs="Arial"/>
                <w:b/>
                <w:bCs/>
                <w:sz w:val="20"/>
                <w:lang w:val="sv-SE" w:eastAsia="sv-SE"/>
              </w:rPr>
              <w:t>Clause</w:t>
            </w:r>
          </w:p>
        </w:tc>
        <w:tc>
          <w:tcPr>
            <w:tcW w:w="2679" w:type="dxa"/>
            <w:shd w:val="clear" w:color="auto" w:fill="auto"/>
            <w:hideMark/>
          </w:tcPr>
          <w:p w14:paraId="74D5FB25" w14:textId="77777777" w:rsidR="00B37A69" w:rsidRPr="00B37A69" w:rsidRDefault="00B37A69" w:rsidP="00B37A69">
            <w:pPr>
              <w:rPr>
                <w:rFonts w:ascii="Arial" w:hAnsi="Arial" w:cs="Arial"/>
                <w:b/>
                <w:bCs/>
                <w:sz w:val="20"/>
                <w:lang w:val="sv-SE" w:eastAsia="sv-SE"/>
              </w:rPr>
            </w:pPr>
            <w:r w:rsidRPr="00B37A69">
              <w:rPr>
                <w:rFonts w:ascii="Arial" w:hAnsi="Arial" w:cs="Arial"/>
                <w:b/>
                <w:bCs/>
                <w:sz w:val="20"/>
                <w:lang w:val="sv-SE" w:eastAsia="sv-SE"/>
              </w:rPr>
              <w:t>Comment</w:t>
            </w:r>
          </w:p>
        </w:tc>
        <w:tc>
          <w:tcPr>
            <w:tcW w:w="2678" w:type="dxa"/>
            <w:shd w:val="clear" w:color="auto" w:fill="auto"/>
            <w:hideMark/>
          </w:tcPr>
          <w:p w14:paraId="5010A164" w14:textId="77777777" w:rsidR="00B37A69" w:rsidRPr="00B37A69" w:rsidRDefault="00B37A69" w:rsidP="00B37A69">
            <w:pPr>
              <w:rPr>
                <w:rFonts w:ascii="Arial" w:hAnsi="Arial" w:cs="Arial"/>
                <w:b/>
                <w:bCs/>
                <w:sz w:val="20"/>
                <w:lang w:val="sv-SE" w:eastAsia="sv-SE"/>
              </w:rPr>
            </w:pPr>
            <w:r w:rsidRPr="00B37A69">
              <w:rPr>
                <w:rFonts w:ascii="Arial" w:hAnsi="Arial" w:cs="Arial"/>
                <w:b/>
                <w:bCs/>
                <w:sz w:val="20"/>
                <w:lang w:val="sv-SE" w:eastAsia="sv-SE"/>
              </w:rPr>
              <w:t>Proposed Change</w:t>
            </w:r>
          </w:p>
        </w:tc>
        <w:tc>
          <w:tcPr>
            <w:tcW w:w="2678" w:type="dxa"/>
            <w:shd w:val="clear" w:color="auto" w:fill="auto"/>
            <w:hideMark/>
          </w:tcPr>
          <w:p w14:paraId="290C6959" w14:textId="77777777" w:rsidR="00B37A69" w:rsidRPr="00B37A69" w:rsidRDefault="00B37A69" w:rsidP="00B37A69">
            <w:pPr>
              <w:rPr>
                <w:rFonts w:ascii="Arial" w:hAnsi="Arial" w:cs="Arial"/>
                <w:b/>
                <w:bCs/>
                <w:sz w:val="20"/>
                <w:lang w:val="sv-SE" w:eastAsia="sv-SE"/>
              </w:rPr>
            </w:pPr>
            <w:r w:rsidRPr="00B37A69">
              <w:rPr>
                <w:rFonts w:ascii="Arial" w:hAnsi="Arial" w:cs="Arial"/>
                <w:b/>
                <w:bCs/>
                <w:sz w:val="20"/>
                <w:lang w:val="sv-SE" w:eastAsia="sv-SE"/>
              </w:rPr>
              <w:t>Resolution</w:t>
            </w:r>
          </w:p>
        </w:tc>
      </w:tr>
      <w:tr w:rsidR="00B37A69" w:rsidRPr="00B37A69" w14:paraId="6F540E9F" w14:textId="77777777" w:rsidTr="00B37A69">
        <w:trPr>
          <w:trHeight w:val="4590"/>
        </w:trPr>
        <w:tc>
          <w:tcPr>
            <w:tcW w:w="585" w:type="dxa"/>
            <w:shd w:val="clear" w:color="auto" w:fill="auto"/>
            <w:hideMark/>
          </w:tcPr>
          <w:p w14:paraId="0F680846" w14:textId="77777777" w:rsidR="00B37A69" w:rsidRPr="00B37A69" w:rsidRDefault="00B37A69" w:rsidP="00B37A69">
            <w:pPr>
              <w:jc w:val="right"/>
              <w:rPr>
                <w:rFonts w:ascii="Arial" w:hAnsi="Arial" w:cs="Arial"/>
                <w:sz w:val="20"/>
                <w:lang w:val="sv-SE" w:eastAsia="sv-SE"/>
              </w:rPr>
            </w:pPr>
            <w:r w:rsidRPr="00B37A69">
              <w:rPr>
                <w:rFonts w:ascii="Arial" w:hAnsi="Arial" w:cs="Arial"/>
                <w:sz w:val="20"/>
                <w:lang w:val="sv-SE" w:eastAsia="sv-SE"/>
              </w:rPr>
              <w:t>185</w:t>
            </w:r>
          </w:p>
        </w:tc>
        <w:tc>
          <w:tcPr>
            <w:tcW w:w="900" w:type="dxa"/>
            <w:shd w:val="clear" w:color="auto" w:fill="auto"/>
            <w:hideMark/>
          </w:tcPr>
          <w:p w14:paraId="25122F76" w14:textId="77777777" w:rsidR="00B37A69" w:rsidRPr="00B37A69" w:rsidRDefault="00B37A69" w:rsidP="00B37A69">
            <w:pPr>
              <w:jc w:val="right"/>
              <w:rPr>
                <w:rFonts w:ascii="Arial" w:hAnsi="Arial" w:cs="Arial"/>
                <w:sz w:val="20"/>
                <w:lang w:val="sv-SE" w:eastAsia="sv-SE"/>
              </w:rPr>
            </w:pPr>
            <w:r w:rsidRPr="00B37A69">
              <w:rPr>
                <w:rFonts w:ascii="Arial" w:hAnsi="Arial" w:cs="Arial"/>
                <w:sz w:val="20"/>
                <w:lang w:val="sv-SE" w:eastAsia="sv-SE"/>
              </w:rPr>
              <w:t>69.36</w:t>
            </w:r>
          </w:p>
        </w:tc>
        <w:tc>
          <w:tcPr>
            <w:tcW w:w="900" w:type="dxa"/>
            <w:shd w:val="clear" w:color="auto" w:fill="auto"/>
            <w:hideMark/>
          </w:tcPr>
          <w:p w14:paraId="45B38707" w14:textId="77777777" w:rsidR="00B37A69" w:rsidRPr="00B37A69" w:rsidRDefault="00B37A69" w:rsidP="00B37A69">
            <w:pPr>
              <w:rPr>
                <w:rFonts w:ascii="Arial" w:hAnsi="Arial" w:cs="Arial"/>
                <w:sz w:val="20"/>
                <w:lang w:val="sv-SE" w:eastAsia="sv-SE"/>
              </w:rPr>
            </w:pPr>
            <w:r w:rsidRPr="00B37A69">
              <w:rPr>
                <w:rFonts w:ascii="Arial" w:hAnsi="Arial" w:cs="Arial"/>
                <w:sz w:val="20"/>
                <w:lang w:val="sv-SE" w:eastAsia="sv-SE"/>
              </w:rPr>
              <w:t>32.2.3</w:t>
            </w:r>
          </w:p>
        </w:tc>
        <w:tc>
          <w:tcPr>
            <w:tcW w:w="2679" w:type="dxa"/>
            <w:shd w:val="clear" w:color="auto" w:fill="auto"/>
            <w:hideMark/>
          </w:tcPr>
          <w:p w14:paraId="134FE41F" w14:textId="77777777" w:rsidR="00B37A69" w:rsidRPr="00B37A69" w:rsidRDefault="00B37A69" w:rsidP="00B37A69">
            <w:pPr>
              <w:rPr>
                <w:rFonts w:ascii="Arial" w:hAnsi="Arial" w:cs="Arial"/>
                <w:sz w:val="20"/>
                <w:lang w:val="sv-SE" w:eastAsia="sv-SE"/>
              </w:rPr>
            </w:pPr>
            <w:r w:rsidRPr="00B37A69">
              <w:rPr>
                <w:rFonts w:ascii="Arial" w:hAnsi="Arial" w:cs="Arial"/>
                <w:sz w:val="20"/>
                <w:lang w:val="sv-SE" w:eastAsia="sv-SE"/>
              </w:rPr>
              <w:t>Line 36 to Line 46 needs to be polished. Should start with WUR-PPDU includes legacy portion and WUR-portion. The generation of legacy portion  described in 21.3.3. The genreatin of the WUR portion is ...... The text  "The generation of each field in a WUR-PPDU uses the following blocks:" is wrong since the the WUR SYNC doesn't need to use the Manchest encorder. Also need to add per antenna CSD handling in both texts and block diagram 32-4 and 32-5</w:t>
            </w:r>
          </w:p>
        </w:tc>
        <w:tc>
          <w:tcPr>
            <w:tcW w:w="2678" w:type="dxa"/>
            <w:shd w:val="clear" w:color="auto" w:fill="auto"/>
            <w:hideMark/>
          </w:tcPr>
          <w:p w14:paraId="7AEF4529" w14:textId="77777777" w:rsidR="00B37A69" w:rsidRPr="00B37A69" w:rsidRDefault="00B37A69" w:rsidP="00B37A69">
            <w:pPr>
              <w:rPr>
                <w:rFonts w:ascii="Arial" w:hAnsi="Arial" w:cs="Arial"/>
                <w:sz w:val="20"/>
                <w:lang w:val="sv-SE" w:eastAsia="sv-SE"/>
              </w:rPr>
            </w:pPr>
          </w:p>
        </w:tc>
        <w:tc>
          <w:tcPr>
            <w:tcW w:w="2678" w:type="dxa"/>
            <w:shd w:val="clear" w:color="auto" w:fill="auto"/>
            <w:hideMark/>
          </w:tcPr>
          <w:p w14:paraId="1A99DDFB" w14:textId="77777777" w:rsidR="00695374" w:rsidRDefault="00695374" w:rsidP="00B37A69">
            <w:pPr>
              <w:rPr>
                <w:rFonts w:ascii="Arial" w:hAnsi="Arial" w:cs="Arial"/>
                <w:sz w:val="20"/>
                <w:lang w:val="sv-SE" w:eastAsia="sv-SE"/>
              </w:rPr>
            </w:pPr>
            <w:r>
              <w:rPr>
                <w:rFonts w:ascii="Arial" w:hAnsi="Arial" w:cs="Arial"/>
                <w:sz w:val="20"/>
                <w:lang w:val="sv-SE" w:eastAsia="sv-SE"/>
              </w:rPr>
              <w:t>Revised.</w:t>
            </w:r>
          </w:p>
          <w:p w14:paraId="51EE7DF2" w14:textId="77777777" w:rsidR="00695374" w:rsidRDefault="00695374" w:rsidP="00B37A69">
            <w:pPr>
              <w:rPr>
                <w:rFonts w:ascii="Arial" w:hAnsi="Arial" w:cs="Arial"/>
                <w:sz w:val="20"/>
                <w:lang w:val="sv-SE" w:eastAsia="sv-SE"/>
              </w:rPr>
            </w:pPr>
          </w:p>
          <w:p w14:paraId="19ACA2FD" w14:textId="77777777" w:rsidR="00B37A69" w:rsidRDefault="00B37A69" w:rsidP="00B37A69">
            <w:pPr>
              <w:rPr>
                <w:rFonts w:ascii="Arial" w:hAnsi="Arial" w:cs="Arial"/>
                <w:sz w:val="20"/>
                <w:lang w:val="sv-SE" w:eastAsia="sv-SE"/>
              </w:rPr>
            </w:pPr>
            <w:r w:rsidRPr="00B37A69">
              <w:rPr>
                <w:rFonts w:ascii="Arial" w:hAnsi="Arial" w:cs="Arial"/>
                <w:sz w:val="20"/>
                <w:lang w:val="sv-SE" w:eastAsia="sv-SE"/>
              </w:rPr>
              <w:t>The Manchester-based encoder is removed and the text updated. The per antenna CSD is not needed in Figures 32-4 and 32-5 since this is part of the symbol randomizer shown in Figure 32-6 and 32-7.</w:t>
            </w:r>
          </w:p>
          <w:p w14:paraId="7A9E5AE0" w14:textId="77777777" w:rsidR="008A30A4" w:rsidRDefault="008A30A4" w:rsidP="00B37A69">
            <w:pPr>
              <w:rPr>
                <w:rFonts w:ascii="Arial" w:hAnsi="Arial" w:cs="Arial"/>
                <w:sz w:val="20"/>
                <w:lang w:val="sv-SE" w:eastAsia="sv-SE"/>
              </w:rPr>
            </w:pPr>
          </w:p>
          <w:p w14:paraId="483D362C" w14:textId="66409825" w:rsidR="008A30A4" w:rsidRPr="00B37A69" w:rsidRDefault="008A30A4" w:rsidP="00B37A69">
            <w:pPr>
              <w:rPr>
                <w:rFonts w:ascii="Arial" w:hAnsi="Arial" w:cs="Arial"/>
                <w:sz w:val="20"/>
                <w:lang w:val="sv-SE" w:eastAsia="sv-SE"/>
              </w:rPr>
            </w:pPr>
            <w:r w:rsidRPr="008A30A4">
              <w:rPr>
                <w:rFonts w:ascii="Arial" w:hAnsi="Arial" w:cs="Arial"/>
                <w:sz w:val="20"/>
                <w:lang w:val="sv-SE" w:eastAsia="sv-SE"/>
              </w:rPr>
              <w:t>TGba editor to make the changes shown in doc.: IEEE 802.11-19/006</w:t>
            </w:r>
            <w:r>
              <w:rPr>
                <w:rFonts w:ascii="Arial" w:hAnsi="Arial" w:cs="Arial"/>
                <w:sz w:val="20"/>
                <w:lang w:val="sv-SE" w:eastAsia="sv-SE"/>
              </w:rPr>
              <w:t>8</w:t>
            </w:r>
            <w:r w:rsidRPr="008A30A4">
              <w:rPr>
                <w:rFonts w:ascii="Arial" w:hAnsi="Arial" w:cs="Arial"/>
                <w:sz w:val="20"/>
                <w:lang w:val="sv-SE" w:eastAsia="sv-SE"/>
              </w:rPr>
              <w:t>r</w:t>
            </w:r>
            <w:r>
              <w:rPr>
                <w:rFonts w:ascii="Arial" w:hAnsi="Arial" w:cs="Arial"/>
                <w:sz w:val="20"/>
                <w:lang w:val="sv-SE" w:eastAsia="sv-SE"/>
              </w:rPr>
              <w:t>0</w:t>
            </w:r>
            <w:r w:rsidRPr="008A30A4">
              <w:rPr>
                <w:rFonts w:ascii="Arial" w:hAnsi="Arial" w:cs="Arial"/>
                <w:sz w:val="20"/>
                <w:lang w:val="sv-SE" w:eastAsia="sv-SE"/>
              </w:rPr>
              <w:t xml:space="preserve"> under all headings that include CID </w:t>
            </w:r>
            <w:r>
              <w:rPr>
                <w:rFonts w:ascii="Arial" w:hAnsi="Arial" w:cs="Arial"/>
                <w:sz w:val="20"/>
                <w:lang w:val="sv-SE" w:eastAsia="sv-SE"/>
              </w:rPr>
              <w:t>185</w:t>
            </w:r>
            <w:r w:rsidRPr="008A30A4">
              <w:rPr>
                <w:rFonts w:ascii="Arial" w:hAnsi="Arial" w:cs="Arial"/>
                <w:sz w:val="20"/>
                <w:lang w:val="sv-SE" w:eastAsia="sv-SE"/>
              </w:rPr>
              <w:t>.</w:t>
            </w:r>
          </w:p>
        </w:tc>
      </w:tr>
    </w:tbl>
    <w:p w14:paraId="4ECB550E" w14:textId="58CBBDCC" w:rsidR="00B37A69" w:rsidRDefault="00B37A69"/>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900"/>
        <w:gridCol w:w="900"/>
        <w:gridCol w:w="2679"/>
        <w:gridCol w:w="2678"/>
        <w:gridCol w:w="2678"/>
      </w:tblGrid>
      <w:tr w:rsidR="00B37A69" w:rsidRPr="00B37A69" w14:paraId="71C7A70E" w14:textId="77777777" w:rsidTr="00B37A69">
        <w:trPr>
          <w:trHeight w:val="765"/>
        </w:trPr>
        <w:tc>
          <w:tcPr>
            <w:tcW w:w="585" w:type="dxa"/>
            <w:shd w:val="clear" w:color="auto" w:fill="auto"/>
            <w:hideMark/>
          </w:tcPr>
          <w:p w14:paraId="4707B346" w14:textId="77777777" w:rsidR="00B37A69" w:rsidRPr="00B37A69" w:rsidRDefault="00B37A69" w:rsidP="00B37A69">
            <w:pPr>
              <w:rPr>
                <w:rFonts w:ascii="Arial" w:hAnsi="Arial" w:cs="Arial"/>
                <w:b/>
                <w:bCs/>
                <w:sz w:val="20"/>
                <w:lang w:val="sv-SE" w:eastAsia="sv-SE"/>
              </w:rPr>
            </w:pPr>
            <w:r w:rsidRPr="00B37A69">
              <w:rPr>
                <w:rFonts w:ascii="Arial" w:hAnsi="Arial" w:cs="Arial"/>
                <w:b/>
                <w:bCs/>
                <w:sz w:val="20"/>
                <w:lang w:val="sv-SE" w:eastAsia="sv-SE"/>
              </w:rPr>
              <w:t>CID</w:t>
            </w:r>
          </w:p>
        </w:tc>
        <w:tc>
          <w:tcPr>
            <w:tcW w:w="900" w:type="dxa"/>
            <w:shd w:val="clear" w:color="auto" w:fill="auto"/>
            <w:hideMark/>
          </w:tcPr>
          <w:p w14:paraId="0D755954" w14:textId="77777777" w:rsidR="00B37A69" w:rsidRPr="00B37A69" w:rsidRDefault="00B37A69" w:rsidP="00B37A69">
            <w:pPr>
              <w:rPr>
                <w:rFonts w:ascii="Arial" w:hAnsi="Arial" w:cs="Arial"/>
                <w:b/>
                <w:bCs/>
                <w:sz w:val="20"/>
                <w:lang w:val="sv-SE" w:eastAsia="sv-SE"/>
              </w:rPr>
            </w:pPr>
            <w:r w:rsidRPr="00B37A69">
              <w:rPr>
                <w:rFonts w:ascii="Arial" w:hAnsi="Arial" w:cs="Arial"/>
                <w:b/>
                <w:bCs/>
                <w:sz w:val="20"/>
                <w:lang w:val="sv-SE" w:eastAsia="sv-SE"/>
              </w:rPr>
              <w:t>Page</w:t>
            </w:r>
          </w:p>
        </w:tc>
        <w:tc>
          <w:tcPr>
            <w:tcW w:w="900" w:type="dxa"/>
            <w:shd w:val="clear" w:color="auto" w:fill="auto"/>
            <w:hideMark/>
          </w:tcPr>
          <w:p w14:paraId="69F09746" w14:textId="77777777" w:rsidR="00B37A69" w:rsidRPr="00B37A69" w:rsidRDefault="00B37A69" w:rsidP="00B37A69">
            <w:pPr>
              <w:rPr>
                <w:rFonts w:ascii="Arial" w:hAnsi="Arial" w:cs="Arial"/>
                <w:b/>
                <w:bCs/>
                <w:sz w:val="20"/>
                <w:lang w:val="sv-SE" w:eastAsia="sv-SE"/>
              </w:rPr>
            </w:pPr>
            <w:r w:rsidRPr="00B37A69">
              <w:rPr>
                <w:rFonts w:ascii="Arial" w:hAnsi="Arial" w:cs="Arial"/>
                <w:b/>
                <w:bCs/>
                <w:sz w:val="20"/>
                <w:lang w:val="sv-SE" w:eastAsia="sv-SE"/>
              </w:rPr>
              <w:t>Clause</w:t>
            </w:r>
          </w:p>
        </w:tc>
        <w:tc>
          <w:tcPr>
            <w:tcW w:w="2679" w:type="dxa"/>
            <w:shd w:val="clear" w:color="auto" w:fill="auto"/>
            <w:hideMark/>
          </w:tcPr>
          <w:p w14:paraId="4DE83544" w14:textId="77777777" w:rsidR="00B37A69" w:rsidRPr="00B37A69" w:rsidRDefault="00B37A69" w:rsidP="00B37A69">
            <w:pPr>
              <w:rPr>
                <w:rFonts w:ascii="Arial" w:hAnsi="Arial" w:cs="Arial"/>
                <w:b/>
                <w:bCs/>
                <w:sz w:val="20"/>
                <w:lang w:val="sv-SE" w:eastAsia="sv-SE"/>
              </w:rPr>
            </w:pPr>
            <w:r w:rsidRPr="00B37A69">
              <w:rPr>
                <w:rFonts w:ascii="Arial" w:hAnsi="Arial" w:cs="Arial"/>
                <w:b/>
                <w:bCs/>
                <w:sz w:val="20"/>
                <w:lang w:val="sv-SE" w:eastAsia="sv-SE"/>
              </w:rPr>
              <w:t>Comment</w:t>
            </w:r>
          </w:p>
        </w:tc>
        <w:tc>
          <w:tcPr>
            <w:tcW w:w="2678" w:type="dxa"/>
            <w:shd w:val="clear" w:color="auto" w:fill="auto"/>
            <w:hideMark/>
          </w:tcPr>
          <w:p w14:paraId="60504D90" w14:textId="77777777" w:rsidR="00B37A69" w:rsidRPr="00B37A69" w:rsidRDefault="00B37A69" w:rsidP="00B37A69">
            <w:pPr>
              <w:rPr>
                <w:rFonts w:ascii="Arial" w:hAnsi="Arial" w:cs="Arial"/>
                <w:b/>
                <w:bCs/>
                <w:sz w:val="20"/>
                <w:lang w:val="sv-SE" w:eastAsia="sv-SE"/>
              </w:rPr>
            </w:pPr>
            <w:r w:rsidRPr="00B37A69">
              <w:rPr>
                <w:rFonts w:ascii="Arial" w:hAnsi="Arial" w:cs="Arial"/>
                <w:b/>
                <w:bCs/>
                <w:sz w:val="20"/>
                <w:lang w:val="sv-SE" w:eastAsia="sv-SE"/>
              </w:rPr>
              <w:t>Proposed Change</w:t>
            </w:r>
          </w:p>
        </w:tc>
        <w:tc>
          <w:tcPr>
            <w:tcW w:w="2678" w:type="dxa"/>
            <w:shd w:val="clear" w:color="auto" w:fill="auto"/>
            <w:hideMark/>
          </w:tcPr>
          <w:p w14:paraId="03BC81AE" w14:textId="77777777" w:rsidR="00B37A69" w:rsidRPr="00B37A69" w:rsidRDefault="00B37A69" w:rsidP="00B37A69">
            <w:pPr>
              <w:rPr>
                <w:rFonts w:ascii="Arial" w:hAnsi="Arial" w:cs="Arial"/>
                <w:b/>
                <w:bCs/>
                <w:sz w:val="20"/>
                <w:lang w:val="sv-SE" w:eastAsia="sv-SE"/>
              </w:rPr>
            </w:pPr>
            <w:r w:rsidRPr="00B37A69">
              <w:rPr>
                <w:rFonts w:ascii="Arial" w:hAnsi="Arial" w:cs="Arial"/>
                <w:b/>
                <w:bCs/>
                <w:sz w:val="20"/>
                <w:lang w:val="sv-SE" w:eastAsia="sv-SE"/>
              </w:rPr>
              <w:t>Resolution</w:t>
            </w:r>
          </w:p>
        </w:tc>
      </w:tr>
      <w:tr w:rsidR="00B37A69" w:rsidRPr="00B37A69" w14:paraId="6361C05E" w14:textId="77777777" w:rsidTr="00B37A69">
        <w:trPr>
          <w:trHeight w:val="1275"/>
        </w:trPr>
        <w:tc>
          <w:tcPr>
            <w:tcW w:w="585" w:type="dxa"/>
            <w:shd w:val="clear" w:color="auto" w:fill="auto"/>
            <w:hideMark/>
          </w:tcPr>
          <w:p w14:paraId="5ED8493C" w14:textId="77777777" w:rsidR="00B37A69" w:rsidRPr="00B37A69" w:rsidRDefault="00B37A69" w:rsidP="00B37A69">
            <w:pPr>
              <w:jc w:val="right"/>
              <w:rPr>
                <w:rFonts w:ascii="Arial" w:hAnsi="Arial" w:cs="Arial"/>
                <w:sz w:val="20"/>
                <w:lang w:val="sv-SE" w:eastAsia="sv-SE"/>
              </w:rPr>
            </w:pPr>
            <w:r w:rsidRPr="00B37A69">
              <w:rPr>
                <w:rFonts w:ascii="Arial" w:hAnsi="Arial" w:cs="Arial"/>
                <w:sz w:val="20"/>
                <w:lang w:val="sv-SE" w:eastAsia="sv-SE"/>
              </w:rPr>
              <w:t>255</w:t>
            </w:r>
          </w:p>
        </w:tc>
        <w:tc>
          <w:tcPr>
            <w:tcW w:w="900" w:type="dxa"/>
            <w:shd w:val="clear" w:color="auto" w:fill="auto"/>
            <w:hideMark/>
          </w:tcPr>
          <w:p w14:paraId="2A7E59DD" w14:textId="77777777" w:rsidR="00B37A69" w:rsidRPr="00B37A69" w:rsidRDefault="00B37A69" w:rsidP="00B37A69">
            <w:pPr>
              <w:jc w:val="right"/>
              <w:rPr>
                <w:rFonts w:ascii="Arial" w:hAnsi="Arial" w:cs="Arial"/>
                <w:sz w:val="20"/>
                <w:lang w:val="sv-SE" w:eastAsia="sv-SE"/>
              </w:rPr>
            </w:pPr>
            <w:r w:rsidRPr="00B37A69">
              <w:rPr>
                <w:rFonts w:ascii="Arial" w:hAnsi="Arial" w:cs="Arial"/>
                <w:sz w:val="20"/>
                <w:lang w:val="sv-SE" w:eastAsia="sv-SE"/>
              </w:rPr>
              <w:t>73.32</w:t>
            </w:r>
          </w:p>
        </w:tc>
        <w:tc>
          <w:tcPr>
            <w:tcW w:w="900" w:type="dxa"/>
            <w:shd w:val="clear" w:color="auto" w:fill="auto"/>
            <w:hideMark/>
          </w:tcPr>
          <w:p w14:paraId="4C4A4FAC" w14:textId="77777777" w:rsidR="00B37A69" w:rsidRPr="00B37A69" w:rsidRDefault="00B37A69" w:rsidP="00B37A69">
            <w:pPr>
              <w:rPr>
                <w:rFonts w:ascii="Arial" w:hAnsi="Arial" w:cs="Arial"/>
                <w:sz w:val="20"/>
                <w:lang w:val="sv-SE" w:eastAsia="sv-SE"/>
              </w:rPr>
            </w:pPr>
            <w:r w:rsidRPr="00B37A69">
              <w:rPr>
                <w:rFonts w:ascii="Arial" w:hAnsi="Arial" w:cs="Arial"/>
                <w:sz w:val="20"/>
                <w:lang w:val="sv-SE" w:eastAsia="sv-SE"/>
              </w:rPr>
              <w:t>32.2.3.3</w:t>
            </w:r>
          </w:p>
        </w:tc>
        <w:tc>
          <w:tcPr>
            <w:tcW w:w="2679" w:type="dxa"/>
            <w:shd w:val="clear" w:color="auto" w:fill="auto"/>
            <w:hideMark/>
          </w:tcPr>
          <w:p w14:paraId="59DF51E6" w14:textId="77777777" w:rsidR="00B37A69" w:rsidRPr="00B37A69" w:rsidRDefault="00B37A69" w:rsidP="00B37A69">
            <w:pPr>
              <w:rPr>
                <w:rFonts w:ascii="Arial" w:hAnsi="Arial" w:cs="Arial"/>
                <w:sz w:val="20"/>
                <w:lang w:val="sv-SE" w:eastAsia="sv-SE"/>
              </w:rPr>
            </w:pPr>
            <w:r w:rsidRPr="00B37A69">
              <w:rPr>
                <w:rFonts w:ascii="Arial" w:hAnsi="Arial" w:cs="Arial"/>
                <w:sz w:val="20"/>
                <w:lang w:val="sv-SE" w:eastAsia="sv-SE"/>
              </w:rPr>
              <w:t>11ac already supports 160 MHz transmission, and thus, WUR can also consider supporting it.</w:t>
            </w:r>
          </w:p>
        </w:tc>
        <w:tc>
          <w:tcPr>
            <w:tcW w:w="2678" w:type="dxa"/>
            <w:shd w:val="clear" w:color="auto" w:fill="auto"/>
            <w:hideMark/>
          </w:tcPr>
          <w:p w14:paraId="6755CB48" w14:textId="77777777" w:rsidR="00B37A69" w:rsidRPr="00B37A69" w:rsidRDefault="00B37A69" w:rsidP="00B37A69">
            <w:pPr>
              <w:rPr>
                <w:rFonts w:ascii="Arial" w:hAnsi="Arial" w:cs="Arial"/>
                <w:sz w:val="20"/>
                <w:lang w:val="sv-SE" w:eastAsia="sv-SE"/>
              </w:rPr>
            </w:pPr>
            <w:r w:rsidRPr="00B37A69">
              <w:rPr>
                <w:rFonts w:ascii="Arial" w:hAnsi="Arial" w:cs="Arial"/>
                <w:sz w:val="20"/>
                <w:lang w:val="sv-SE" w:eastAsia="sv-SE"/>
              </w:rPr>
              <w:t>Change the sentence as follows:</w:t>
            </w:r>
            <w:r w:rsidRPr="00B37A69">
              <w:rPr>
                <w:rFonts w:ascii="Arial" w:hAnsi="Arial" w:cs="Arial"/>
                <w:sz w:val="20"/>
                <w:lang w:val="sv-SE" w:eastAsia="sv-SE"/>
              </w:rPr>
              <w:br/>
              <w:t>"The 40 MHz, 80 MHz or 160 MHz FDMA WUR PPDU can be generated by ..."</w:t>
            </w:r>
          </w:p>
        </w:tc>
        <w:tc>
          <w:tcPr>
            <w:tcW w:w="2678" w:type="dxa"/>
            <w:shd w:val="clear" w:color="auto" w:fill="auto"/>
            <w:hideMark/>
          </w:tcPr>
          <w:p w14:paraId="2F8A3EB5" w14:textId="77777777" w:rsidR="00B37A69" w:rsidRDefault="00B37A69" w:rsidP="00B37A69">
            <w:pPr>
              <w:rPr>
                <w:rFonts w:ascii="Arial" w:hAnsi="Arial" w:cs="Arial"/>
                <w:sz w:val="20"/>
                <w:lang w:val="sv-SE" w:eastAsia="sv-SE"/>
              </w:rPr>
            </w:pPr>
            <w:r w:rsidRPr="00B37A69">
              <w:rPr>
                <w:rFonts w:ascii="Arial" w:hAnsi="Arial" w:cs="Arial"/>
                <w:sz w:val="20"/>
                <w:lang w:val="sv-SE" w:eastAsia="sv-SE"/>
              </w:rPr>
              <w:t>Accepted.</w:t>
            </w:r>
          </w:p>
          <w:p w14:paraId="0D7F756D" w14:textId="77777777" w:rsidR="008A30A4" w:rsidRDefault="008A30A4" w:rsidP="00B37A69">
            <w:pPr>
              <w:rPr>
                <w:rFonts w:ascii="Arial" w:hAnsi="Arial" w:cs="Arial"/>
                <w:sz w:val="20"/>
                <w:lang w:val="sv-SE" w:eastAsia="sv-SE"/>
              </w:rPr>
            </w:pPr>
          </w:p>
          <w:p w14:paraId="6164641E" w14:textId="0F915999" w:rsidR="008A30A4" w:rsidRPr="00B37A69" w:rsidRDefault="008A30A4" w:rsidP="00B37A69">
            <w:pPr>
              <w:rPr>
                <w:rFonts w:ascii="Arial" w:hAnsi="Arial" w:cs="Arial"/>
                <w:sz w:val="20"/>
                <w:lang w:val="sv-SE" w:eastAsia="sv-SE"/>
              </w:rPr>
            </w:pPr>
            <w:r w:rsidRPr="008A30A4">
              <w:rPr>
                <w:rFonts w:ascii="Arial" w:hAnsi="Arial" w:cs="Arial"/>
                <w:sz w:val="20"/>
                <w:lang w:val="sv-SE" w:eastAsia="sv-SE"/>
              </w:rPr>
              <w:t>TGba editor to make the changes shown in doc.: IEEE 802.11-19/006</w:t>
            </w:r>
            <w:r>
              <w:rPr>
                <w:rFonts w:ascii="Arial" w:hAnsi="Arial" w:cs="Arial"/>
                <w:sz w:val="20"/>
                <w:lang w:val="sv-SE" w:eastAsia="sv-SE"/>
              </w:rPr>
              <w:t>8</w:t>
            </w:r>
            <w:r w:rsidRPr="008A30A4">
              <w:rPr>
                <w:rFonts w:ascii="Arial" w:hAnsi="Arial" w:cs="Arial"/>
                <w:sz w:val="20"/>
                <w:lang w:val="sv-SE" w:eastAsia="sv-SE"/>
              </w:rPr>
              <w:t>r</w:t>
            </w:r>
            <w:r>
              <w:rPr>
                <w:rFonts w:ascii="Arial" w:hAnsi="Arial" w:cs="Arial"/>
                <w:sz w:val="20"/>
                <w:lang w:val="sv-SE" w:eastAsia="sv-SE"/>
              </w:rPr>
              <w:t>0</w:t>
            </w:r>
            <w:r w:rsidRPr="008A30A4">
              <w:rPr>
                <w:rFonts w:ascii="Arial" w:hAnsi="Arial" w:cs="Arial"/>
                <w:sz w:val="20"/>
                <w:lang w:val="sv-SE" w:eastAsia="sv-SE"/>
              </w:rPr>
              <w:t xml:space="preserve"> under all headings that include CID </w:t>
            </w:r>
            <w:r>
              <w:rPr>
                <w:rFonts w:ascii="Arial" w:hAnsi="Arial" w:cs="Arial"/>
                <w:sz w:val="20"/>
                <w:lang w:val="sv-SE" w:eastAsia="sv-SE"/>
              </w:rPr>
              <w:t>255</w:t>
            </w:r>
            <w:r w:rsidRPr="008A30A4">
              <w:rPr>
                <w:rFonts w:ascii="Arial" w:hAnsi="Arial" w:cs="Arial"/>
                <w:sz w:val="20"/>
                <w:lang w:val="sv-SE" w:eastAsia="sv-SE"/>
              </w:rPr>
              <w:t>.</w:t>
            </w:r>
          </w:p>
        </w:tc>
      </w:tr>
    </w:tbl>
    <w:p w14:paraId="1B3D1241" w14:textId="6A82415B" w:rsidR="00B37A69" w:rsidRDefault="00B37A69"/>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900"/>
        <w:gridCol w:w="900"/>
        <w:gridCol w:w="2680"/>
        <w:gridCol w:w="2680"/>
        <w:gridCol w:w="2680"/>
      </w:tblGrid>
      <w:tr w:rsidR="00FC0AD8" w:rsidRPr="00FC0AD8" w14:paraId="53BB8E93" w14:textId="77777777" w:rsidTr="00FC0AD8">
        <w:trPr>
          <w:trHeight w:val="765"/>
        </w:trPr>
        <w:tc>
          <w:tcPr>
            <w:tcW w:w="580" w:type="dxa"/>
            <w:shd w:val="clear" w:color="auto" w:fill="auto"/>
            <w:hideMark/>
          </w:tcPr>
          <w:p w14:paraId="23C4DBA5"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CID</w:t>
            </w:r>
          </w:p>
        </w:tc>
        <w:tc>
          <w:tcPr>
            <w:tcW w:w="900" w:type="dxa"/>
            <w:shd w:val="clear" w:color="auto" w:fill="auto"/>
            <w:hideMark/>
          </w:tcPr>
          <w:p w14:paraId="522B0E53"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Page</w:t>
            </w:r>
          </w:p>
        </w:tc>
        <w:tc>
          <w:tcPr>
            <w:tcW w:w="900" w:type="dxa"/>
            <w:shd w:val="clear" w:color="auto" w:fill="auto"/>
            <w:hideMark/>
          </w:tcPr>
          <w:p w14:paraId="58D167A2"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Clause</w:t>
            </w:r>
          </w:p>
        </w:tc>
        <w:tc>
          <w:tcPr>
            <w:tcW w:w="2680" w:type="dxa"/>
            <w:shd w:val="clear" w:color="auto" w:fill="auto"/>
            <w:hideMark/>
          </w:tcPr>
          <w:p w14:paraId="748197C0"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Comment</w:t>
            </w:r>
          </w:p>
        </w:tc>
        <w:tc>
          <w:tcPr>
            <w:tcW w:w="2680" w:type="dxa"/>
            <w:shd w:val="clear" w:color="auto" w:fill="auto"/>
            <w:hideMark/>
          </w:tcPr>
          <w:p w14:paraId="2AA7A227"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Proposed Change</w:t>
            </w:r>
          </w:p>
        </w:tc>
        <w:tc>
          <w:tcPr>
            <w:tcW w:w="2680" w:type="dxa"/>
            <w:shd w:val="clear" w:color="auto" w:fill="auto"/>
            <w:hideMark/>
          </w:tcPr>
          <w:p w14:paraId="7C048051"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Resolution</w:t>
            </w:r>
          </w:p>
        </w:tc>
      </w:tr>
      <w:tr w:rsidR="00FC0AD8" w:rsidRPr="00FC0AD8" w14:paraId="4B47F988" w14:textId="77777777" w:rsidTr="00FC0AD8">
        <w:trPr>
          <w:trHeight w:val="1275"/>
        </w:trPr>
        <w:tc>
          <w:tcPr>
            <w:tcW w:w="580" w:type="dxa"/>
            <w:shd w:val="clear" w:color="auto" w:fill="auto"/>
            <w:hideMark/>
          </w:tcPr>
          <w:p w14:paraId="5D596DA6"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303</w:t>
            </w:r>
          </w:p>
        </w:tc>
        <w:tc>
          <w:tcPr>
            <w:tcW w:w="900" w:type="dxa"/>
            <w:shd w:val="clear" w:color="auto" w:fill="auto"/>
            <w:hideMark/>
          </w:tcPr>
          <w:p w14:paraId="4AD067C0"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74.17</w:t>
            </w:r>
          </w:p>
        </w:tc>
        <w:tc>
          <w:tcPr>
            <w:tcW w:w="900" w:type="dxa"/>
            <w:shd w:val="clear" w:color="auto" w:fill="auto"/>
            <w:hideMark/>
          </w:tcPr>
          <w:p w14:paraId="3829008D"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32.2.3.1</w:t>
            </w:r>
          </w:p>
        </w:tc>
        <w:tc>
          <w:tcPr>
            <w:tcW w:w="2680" w:type="dxa"/>
            <w:shd w:val="clear" w:color="auto" w:fill="auto"/>
            <w:hideMark/>
          </w:tcPr>
          <w:p w14:paraId="1806E5DC"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In figure 32-6, "First half of IDFT output" is ambiguous and depends on which particular DFT specification is used.</w:t>
            </w:r>
          </w:p>
        </w:tc>
        <w:tc>
          <w:tcPr>
            <w:tcW w:w="2680" w:type="dxa"/>
            <w:shd w:val="clear" w:color="auto" w:fill="auto"/>
            <w:hideMark/>
          </w:tcPr>
          <w:p w14:paraId="5BACEB15"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Use unambiguous language, or refer to the mathematical description of the signal.</w:t>
            </w:r>
          </w:p>
        </w:tc>
        <w:tc>
          <w:tcPr>
            <w:tcW w:w="2680" w:type="dxa"/>
            <w:shd w:val="clear" w:color="auto" w:fill="auto"/>
            <w:hideMark/>
          </w:tcPr>
          <w:p w14:paraId="7F16BC69" w14:textId="77777777" w:rsidR="00FC0AD8" w:rsidRDefault="00FC0AD8" w:rsidP="00FC0AD8">
            <w:pPr>
              <w:rPr>
                <w:rFonts w:ascii="Arial" w:hAnsi="Arial" w:cs="Arial"/>
                <w:sz w:val="20"/>
                <w:lang w:val="sv-SE" w:eastAsia="sv-SE"/>
              </w:rPr>
            </w:pPr>
            <w:r w:rsidRPr="00FC0AD8">
              <w:rPr>
                <w:rFonts w:ascii="Arial" w:hAnsi="Arial" w:cs="Arial"/>
                <w:sz w:val="20"/>
                <w:lang w:val="sv-SE" w:eastAsia="sv-SE"/>
              </w:rPr>
              <w:t>Declined.</w:t>
            </w:r>
          </w:p>
          <w:p w14:paraId="0C57A442" w14:textId="77777777" w:rsidR="00406D57" w:rsidRDefault="00406D57" w:rsidP="00FC0AD8">
            <w:pPr>
              <w:rPr>
                <w:rFonts w:ascii="Arial" w:hAnsi="Arial" w:cs="Arial"/>
                <w:sz w:val="20"/>
                <w:lang w:val="sv-SE" w:eastAsia="sv-SE"/>
              </w:rPr>
            </w:pPr>
          </w:p>
          <w:p w14:paraId="13C36D62" w14:textId="5D975307" w:rsidR="00406D57" w:rsidRPr="00FC0AD8" w:rsidRDefault="00406D57" w:rsidP="00FC0AD8">
            <w:pPr>
              <w:rPr>
                <w:rFonts w:ascii="Arial" w:hAnsi="Arial" w:cs="Arial"/>
                <w:sz w:val="20"/>
                <w:lang w:val="sv-SE" w:eastAsia="sv-SE"/>
              </w:rPr>
            </w:pPr>
            <w:r>
              <w:rPr>
                <w:rFonts w:ascii="Arial" w:hAnsi="Arial" w:cs="Arial"/>
                <w:sz w:val="20"/>
                <w:lang w:val="sv-SE" w:eastAsia="sv-SE"/>
              </w:rPr>
              <w:t>There is a DFT definition in the specification. Besides, the figure 32-6 is merely an example. Using that definition the first half is identical to the second half, so there should be no unambiguity.</w:t>
            </w:r>
          </w:p>
        </w:tc>
      </w:tr>
    </w:tbl>
    <w:p w14:paraId="6094D35B" w14:textId="487D3C06" w:rsidR="00B37A69" w:rsidRDefault="00B37A69"/>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900"/>
        <w:gridCol w:w="900"/>
        <w:gridCol w:w="2680"/>
        <w:gridCol w:w="2680"/>
        <w:gridCol w:w="2680"/>
      </w:tblGrid>
      <w:tr w:rsidR="00FC0AD8" w:rsidRPr="00FC0AD8" w14:paraId="2BBEB8CF" w14:textId="77777777" w:rsidTr="00FC0AD8">
        <w:trPr>
          <w:trHeight w:val="765"/>
        </w:trPr>
        <w:tc>
          <w:tcPr>
            <w:tcW w:w="580" w:type="dxa"/>
            <w:shd w:val="clear" w:color="auto" w:fill="auto"/>
            <w:hideMark/>
          </w:tcPr>
          <w:p w14:paraId="653064DC"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CID</w:t>
            </w:r>
          </w:p>
        </w:tc>
        <w:tc>
          <w:tcPr>
            <w:tcW w:w="900" w:type="dxa"/>
            <w:shd w:val="clear" w:color="auto" w:fill="auto"/>
            <w:hideMark/>
          </w:tcPr>
          <w:p w14:paraId="0C9A302F"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Page</w:t>
            </w:r>
          </w:p>
        </w:tc>
        <w:tc>
          <w:tcPr>
            <w:tcW w:w="900" w:type="dxa"/>
            <w:shd w:val="clear" w:color="auto" w:fill="auto"/>
            <w:hideMark/>
          </w:tcPr>
          <w:p w14:paraId="1237208B"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Clause</w:t>
            </w:r>
          </w:p>
        </w:tc>
        <w:tc>
          <w:tcPr>
            <w:tcW w:w="2680" w:type="dxa"/>
            <w:shd w:val="clear" w:color="auto" w:fill="auto"/>
            <w:hideMark/>
          </w:tcPr>
          <w:p w14:paraId="67E82114"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Comment</w:t>
            </w:r>
          </w:p>
        </w:tc>
        <w:tc>
          <w:tcPr>
            <w:tcW w:w="2680" w:type="dxa"/>
            <w:shd w:val="clear" w:color="auto" w:fill="auto"/>
            <w:hideMark/>
          </w:tcPr>
          <w:p w14:paraId="4F49D907"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Proposed Change</w:t>
            </w:r>
          </w:p>
        </w:tc>
        <w:tc>
          <w:tcPr>
            <w:tcW w:w="2680" w:type="dxa"/>
            <w:shd w:val="clear" w:color="auto" w:fill="auto"/>
            <w:hideMark/>
          </w:tcPr>
          <w:p w14:paraId="5F17B66F"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Resolution</w:t>
            </w:r>
          </w:p>
        </w:tc>
      </w:tr>
      <w:tr w:rsidR="00FC0AD8" w:rsidRPr="00FC0AD8" w14:paraId="007D5EAF" w14:textId="77777777" w:rsidTr="00FC0AD8">
        <w:trPr>
          <w:trHeight w:val="3060"/>
        </w:trPr>
        <w:tc>
          <w:tcPr>
            <w:tcW w:w="580" w:type="dxa"/>
            <w:shd w:val="clear" w:color="auto" w:fill="auto"/>
            <w:hideMark/>
          </w:tcPr>
          <w:p w14:paraId="4EC4BA09"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lastRenderedPageBreak/>
              <w:t>306</w:t>
            </w:r>
          </w:p>
        </w:tc>
        <w:tc>
          <w:tcPr>
            <w:tcW w:w="900" w:type="dxa"/>
            <w:shd w:val="clear" w:color="auto" w:fill="auto"/>
            <w:hideMark/>
          </w:tcPr>
          <w:p w14:paraId="6C21C721"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74.00</w:t>
            </w:r>
          </w:p>
        </w:tc>
        <w:tc>
          <w:tcPr>
            <w:tcW w:w="900" w:type="dxa"/>
            <w:shd w:val="clear" w:color="auto" w:fill="auto"/>
            <w:hideMark/>
          </w:tcPr>
          <w:p w14:paraId="66E1315A"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32.2.3.1</w:t>
            </w:r>
          </w:p>
        </w:tc>
        <w:tc>
          <w:tcPr>
            <w:tcW w:w="2680" w:type="dxa"/>
            <w:shd w:val="clear" w:color="auto" w:fill="auto"/>
            <w:hideMark/>
          </w:tcPr>
          <w:p w14:paraId="682F26FB"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It is not clear from the text if the modulation of On symbols can vary from PPDU to PPDU, between the sync field and the payload field, or even from bit to bit. Requiring a constant modulation throughout the packet allows for coherent receiver architectures which potentially perform better than power based receivers.</w:t>
            </w:r>
          </w:p>
        </w:tc>
        <w:tc>
          <w:tcPr>
            <w:tcW w:w="2680" w:type="dxa"/>
            <w:shd w:val="clear" w:color="auto" w:fill="auto"/>
            <w:hideMark/>
          </w:tcPr>
          <w:p w14:paraId="73F74A7D"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Specify that On symbol waveform (before symbol randomization) is constant throughput the PPDU.</w:t>
            </w:r>
          </w:p>
        </w:tc>
        <w:tc>
          <w:tcPr>
            <w:tcW w:w="2680" w:type="dxa"/>
            <w:shd w:val="clear" w:color="auto" w:fill="auto"/>
            <w:hideMark/>
          </w:tcPr>
          <w:p w14:paraId="4E1F1BAE" w14:textId="77777777" w:rsidR="00406D57" w:rsidRDefault="00AA67EE" w:rsidP="00FC0AD8">
            <w:pPr>
              <w:rPr>
                <w:rFonts w:ascii="Arial" w:hAnsi="Arial" w:cs="Arial"/>
                <w:sz w:val="20"/>
                <w:lang w:val="sv-SE" w:eastAsia="sv-SE"/>
              </w:rPr>
            </w:pPr>
            <w:r>
              <w:rPr>
                <w:rFonts w:ascii="Arial" w:hAnsi="Arial" w:cs="Arial"/>
                <w:sz w:val="20"/>
                <w:lang w:val="sv-SE" w:eastAsia="sv-SE"/>
              </w:rPr>
              <w:t>Revised</w:t>
            </w:r>
            <w:r w:rsidR="00BE620A">
              <w:rPr>
                <w:rFonts w:ascii="Arial" w:hAnsi="Arial" w:cs="Arial"/>
                <w:sz w:val="20"/>
                <w:lang w:val="sv-SE" w:eastAsia="sv-SE"/>
              </w:rPr>
              <w:t>.</w:t>
            </w:r>
          </w:p>
          <w:p w14:paraId="326888A3" w14:textId="77777777" w:rsidR="00AA67EE" w:rsidRDefault="00AA67EE" w:rsidP="00FC0AD8">
            <w:pPr>
              <w:rPr>
                <w:rFonts w:ascii="Arial" w:hAnsi="Arial" w:cs="Arial"/>
                <w:sz w:val="20"/>
                <w:lang w:val="sv-SE" w:eastAsia="sv-SE"/>
              </w:rPr>
            </w:pPr>
          </w:p>
          <w:p w14:paraId="4EBC8414" w14:textId="77777777" w:rsidR="00AA67EE" w:rsidRDefault="00A733B3" w:rsidP="00FC0AD8">
            <w:pPr>
              <w:rPr>
                <w:rFonts w:ascii="Arial" w:hAnsi="Arial" w:cs="Arial"/>
                <w:sz w:val="20"/>
                <w:lang w:val="sv-SE" w:eastAsia="sv-SE"/>
              </w:rPr>
            </w:pPr>
            <w:r>
              <w:rPr>
                <w:rFonts w:ascii="Arial" w:hAnsi="Arial" w:cs="Arial"/>
                <w:sz w:val="20"/>
                <w:lang w:val="sv-SE" w:eastAsia="sv-SE"/>
              </w:rPr>
              <w:t>In the mathematical description of the signal, we have added that the signal is the same throughout both WUR-Sync and WUR-Data for the HDR, and that it is different between WUR-Sync and WUR-Data, but the same within the fields for the LDR.</w:t>
            </w:r>
          </w:p>
          <w:p w14:paraId="482997D4" w14:textId="77777777" w:rsidR="008A30A4" w:rsidRDefault="008A30A4" w:rsidP="00FC0AD8">
            <w:pPr>
              <w:rPr>
                <w:rFonts w:ascii="Arial" w:hAnsi="Arial" w:cs="Arial"/>
                <w:sz w:val="20"/>
                <w:lang w:val="sv-SE" w:eastAsia="sv-SE"/>
              </w:rPr>
            </w:pPr>
          </w:p>
          <w:p w14:paraId="70F19F68" w14:textId="027B4E63" w:rsidR="008A30A4" w:rsidRPr="00FC0AD8" w:rsidRDefault="008A30A4" w:rsidP="00FC0AD8">
            <w:pPr>
              <w:rPr>
                <w:rFonts w:ascii="Arial" w:hAnsi="Arial" w:cs="Arial"/>
                <w:sz w:val="20"/>
                <w:lang w:val="sv-SE" w:eastAsia="sv-SE"/>
              </w:rPr>
            </w:pPr>
            <w:r w:rsidRPr="008A30A4">
              <w:rPr>
                <w:rFonts w:ascii="Arial" w:hAnsi="Arial" w:cs="Arial"/>
                <w:sz w:val="20"/>
                <w:lang w:val="sv-SE" w:eastAsia="sv-SE"/>
              </w:rPr>
              <w:t>TGba editor to make the changes shown in doc.: IEEE 802.11-19/006</w:t>
            </w:r>
            <w:r>
              <w:rPr>
                <w:rFonts w:ascii="Arial" w:hAnsi="Arial" w:cs="Arial"/>
                <w:sz w:val="20"/>
                <w:lang w:val="sv-SE" w:eastAsia="sv-SE"/>
              </w:rPr>
              <w:t>8</w:t>
            </w:r>
            <w:r w:rsidRPr="008A30A4">
              <w:rPr>
                <w:rFonts w:ascii="Arial" w:hAnsi="Arial" w:cs="Arial"/>
                <w:sz w:val="20"/>
                <w:lang w:val="sv-SE" w:eastAsia="sv-SE"/>
              </w:rPr>
              <w:t>r</w:t>
            </w:r>
            <w:r>
              <w:rPr>
                <w:rFonts w:ascii="Arial" w:hAnsi="Arial" w:cs="Arial"/>
                <w:sz w:val="20"/>
                <w:lang w:val="sv-SE" w:eastAsia="sv-SE"/>
              </w:rPr>
              <w:t>0</w:t>
            </w:r>
            <w:r w:rsidRPr="008A30A4">
              <w:rPr>
                <w:rFonts w:ascii="Arial" w:hAnsi="Arial" w:cs="Arial"/>
                <w:sz w:val="20"/>
                <w:lang w:val="sv-SE" w:eastAsia="sv-SE"/>
              </w:rPr>
              <w:t xml:space="preserve"> under all headings that include CID </w:t>
            </w:r>
            <w:r>
              <w:rPr>
                <w:rFonts w:ascii="Arial" w:hAnsi="Arial" w:cs="Arial"/>
                <w:sz w:val="20"/>
                <w:lang w:val="sv-SE" w:eastAsia="sv-SE"/>
              </w:rPr>
              <w:t>306</w:t>
            </w:r>
            <w:r w:rsidRPr="008A30A4">
              <w:rPr>
                <w:rFonts w:ascii="Arial" w:hAnsi="Arial" w:cs="Arial"/>
                <w:sz w:val="20"/>
                <w:lang w:val="sv-SE" w:eastAsia="sv-SE"/>
              </w:rPr>
              <w:t>.</w:t>
            </w:r>
          </w:p>
        </w:tc>
      </w:tr>
    </w:tbl>
    <w:p w14:paraId="07749696" w14:textId="64A60377" w:rsidR="00B37A69" w:rsidRDefault="00B37A69"/>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900"/>
        <w:gridCol w:w="900"/>
        <w:gridCol w:w="2680"/>
        <w:gridCol w:w="2680"/>
        <w:gridCol w:w="2680"/>
      </w:tblGrid>
      <w:tr w:rsidR="00FC0AD8" w:rsidRPr="00FC0AD8" w14:paraId="6BC14518" w14:textId="77777777" w:rsidTr="00FC0AD8">
        <w:trPr>
          <w:trHeight w:val="765"/>
        </w:trPr>
        <w:tc>
          <w:tcPr>
            <w:tcW w:w="580" w:type="dxa"/>
            <w:shd w:val="clear" w:color="auto" w:fill="auto"/>
            <w:hideMark/>
          </w:tcPr>
          <w:p w14:paraId="72A83058"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CID</w:t>
            </w:r>
          </w:p>
        </w:tc>
        <w:tc>
          <w:tcPr>
            <w:tcW w:w="900" w:type="dxa"/>
            <w:shd w:val="clear" w:color="auto" w:fill="auto"/>
            <w:hideMark/>
          </w:tcPr>
          <w:p w14:paraId="3953A738"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Page</w:t>
            </w:r>
          </w:p>
        </w:tc>
        <w:tc>
          <w:tcPr>
            <w:tcW w:w="900" w:type="dxa"/>
            <w:shd w:val="clear" w:color="auto" w:fill="auto"/>
            <w:hideMark/>
          </w:tcPr>
          <w:p w14:paraId="5942D480"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Clause</w:t>
            </w:r>
          </w:p>
        </w:tc>
        <w:tc>
          <w:tcPr>
            <w:tcW w:w="2680" w:type="dxa"/>
            <w:shd w:val="clear" w:color="auto" w:fill="auto"/>
            <w:hideMark/>
          </w:tcPr>
          <w:p w14:paraId="73DF2570"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Comment</w:t>
            </w:r>
          </w:p>
        </w:tc>
        <w:tc>
          <w:tcPr>
            <w:tcW w:w="2680" w:type="dxa"/>
            <w:shd w:val="clear" w:color="auto" w:fill="auto"/>
            <w:hideMark/>
          </w:tcPr>
          <w:p w14:paraId="52AC2BF4"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Proposed Change</w:t>
            </w:r>
          </w:p>
        </w:tc>
        <w:tc>
          <w:tcPr>
            <w:tcW w:w="2680" w:type="dxa"/>
            <w:shd w:val="clear" w:color="auto" w:fill="auto"/>
            <w:hideMark/>
          </w:tcPr>
          <w:p w14:paraId="321F09A1"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Resolution</w:t>
            </w:r>
          </w:p>
        </w:tc>
      </w:tr>
      <w:tr w:rsidR="00FC0AD8" w:rsidRPr="00FC0AD8" w14:paraId="541368A6" w14:textId="77777777" w:rsidTr="00FC0AD8">
        <w:trPr>
          <w:trHeight w:val="2295"/>
        </w:trPr>
        <w:tc>
          <w:tcPr>
            <w:tcW w:w="580" w:type="dxa"/>
            <w:shd w:val="clear" w:color="auto" w:fill="auto"/>
            <w:hideMark/>
          </w:tcPr>
          <w:p w14:paraId="7084A13A"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440</w:t>
            </w:r>
          </w:p>
        </w:tc>
        <w:tc>
          <w:tcPr>
            <w:tcW w:w="900" w:type="dxa"/>
            <w:shd w:val="clear" w:color="auto" w:fill="auto"/>
            <w:hideMark/>
          </w:tcPr>
          <w:p w14:paraId="2B2A237C"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70.01</w:t>
            </w:r>
          </w:p>
        </w:tc>
        <w:tc>
          <w:tcPr>
            <w:tcW w:w="900" w:type="dxa"/>
            <w:shd w:val="clear" w:color="auto" w:fill="auto"/>
            <w:hideMark/>
          </w:tcPr>
          <w:p w14:paraId="0AA017CE"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32.2.3</w:t>
            </w:r>
          </w:p>
        </w:tc>
        <w:tc>
          <w:tcPr>
            <w:tcW w:w="2680" w:type="dxa"/>
            <w:shd w:val="clear" w:color="auto" w:fill="auto"/>
            <w:hideMark/>
          </w:tcPr>
          <w:p w14:paraId="3ABDDF73"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remove the examples of a WUR signal generator. The generation of WUR signal is up to each vendor's impplementation. With WUR signal format is clearly defined. Examples are redundant. All have been well described in 32.2.4.</w:t>
            </w:r>
          </w:p>
        </w:tc>
        <w:tc>
          <w:tcPr>
            <w:tcW w:w="2680" w:type="dxa"/>
            <w:shd w:val="clear" w:color="auto" w:fill="auto"/>
            <w:hideMark/>
          </w:tcPr>
          <w:p w14:paraId="21321FA9"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delete the the examples of a WUR signal generator.</w:t>
            </w:r>
          </w:p>
        </w:tc>
        <w:tc>
          <w:tcPr>
            <w:tcW w:w="2680" w:type="dxa"/>
            <w:shd w:val="clear" w:color="auto" w:fill="auto"/>
            <w:hideMark/>
          </w:tcPr>
          <w:p w14:paraId="548A7116" w14:textId="77777777" w:rsidR="00BE620A" w:rsidRDefault="00FC0AD8" w:rsidP="00FC0AD8">
            <w:pPr>
              <w:rPr>
                <w:rFonts w:ascii="Arial" w:hAnsi="Arial" w:cs="Arial"/>
                <w:sz w:val="20"/>
                <w:lang w:val="sv-SE" w:eastAsia="sv-SE"/>
              </w:rPr>
            </w:pPr>
            <w:r w:rsidRPr="00FC0AD8">
              <w:rPr>
                <w:rFonts w:ascii="Arial" w:hAnsi="Arial" w:cs="Arial"/>
                <w:sz w:val="20"/>
                <w:lang w:val="sv-SE" w:eastAsia="sv-SE"/>
              </w:rPr>
              <w:t>Declined.</w:t>
            </w:r>
          </w:p>
          <w:p w14:paraId="3CC44EBD" w14:textId="77777777" w:rsidR="00BE620A" w:rsidRDefault="00BE620A" w:rsidP="00FC0AD8">
            <w:pPr>
              <w:rPr>
                <w:rFonts w:ascii="Arial" w:hAnsi="Arial" w:cs="Arial"/>
                <w:sz w:val="20"/>
                <w:lang w:val="sv-SE" w:eastAsia="sv-SE"/>
              </w:rPr>
            </w:pPr>
          </w:p>
          <w:p w14:paraId="1AF56AEB" w14:textId="0CA1982F"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 xml:space="preserve">Examples are illustrative and equivalent examples </w:t>
            </w:r>
            <w:r w:rsidR="00BE620A">
              <w:rPr>
                <w:rFonts w:ascii="Arial" w:hAnsi="Arial" w:cs="Arial"/>
                <w:sz w:val="20"/>
                <w:lang w:val="sv-SE" w:eastAsia="sv-SE"/>
              </w:rPr>
              <w:t xml:space="preserve">are </w:t>
            </w:r>
            <w:r w:rsidRPr="00FC0AD8">
              <w:rPr>
                <w:rFonts w:ascii="Arial" w:hAnsi="Arial" w:cs="Arial"/>
                <w:sz w:val="20"/>
                <w:lang w:val="sv-SE" w:eastAsia="sv-SE"/>
              </w:rPr>
              <w:t>available in the spec.</w:t>
            </w:r>
          </w:p>
        </w:tc>
      </w:tr>
    </w:tbl>
    <w:p w14:paraId="4FDFC64B" w14:textId="07A299C0" w:rsidR="00FC0AD8" w:rsidRDefault="00FC0AD8"/>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900"/>
        <w:gridCol w:w="900"/>
        <w:gridCol w:w="2680"/>
        <w:gridCol w:w="2680"/>
        <w:gridCol w:w="2680"/>
      </w:tblGrid>
      <w:tr w:rsidR="00FC0AD8" w:rsidRPr="00FC0AD8" w14:paraId="3BB6D039" w14:textId="77777777" w:rsidTr="00FC0AD8">
        <w:trPr>
          <w:trHeight w:val="765"/>
        </w:trPr>
        <w:tc>
          <w:tcPr>
            <w:tcW w:w="580" w:type="dxa"/>
            <w:shd w:val="clear" w:color="auto" w:fill="auto"/>
            <w:hideMark/>
          </w:tcPr>
          <w:p w14:paraId="6311545E"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CID</w:t>
            </w:r>
          </w:p>
        </w:tc>
        <w:tc>
          <w:tcPr>
            <w:tcW w:w="900" w:type="dxa"/>
            <w:shd w:val="clear" w:color="auto" w:fill="auto"/>
            <w:hideMark/>
          </w:tcPr>
          <w:p w14:paraId="2ADE85AC"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Page</w:t>
            </w:r>
          </w:p>
        </w:tc>
        <w:tc>
          <w:tcPr>
            <w:tcW w:w="900" w:type="dxa"/>
            <w:shd w:val="clear" w:color="auto" w:fill="auto"/>
            <w:hideMark/>
          </w:tcPr>
          <w:p w14:paraId="35BAE410"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Clause</w:t>
            </w:r>
          </w:p>
        </w:tc>
        <w:tc>
          <w:tcPr>
            <w:tcW w:w="2680" w:type="dxa"/>
            <w:shd w:val="clear" w:color="auto" w:fill="auto"/>
            <w:hideMark/>
          </w:tcPr>
          <w:p w14:paraId="5DCC05B7"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Comment</w:t>
            </w:r>
          </w:p>
        </w:tc>
        <w:tc>
          <w:tcPr>
            <w:tcW w:w="2680" w:type="dxa"/>
            <w:shd w:val="clear" w:color="auto" w:fill="auto"/>
            <w:hideMark/>
          </w:tcPr>
          <w:p w14:paraId="77041764"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Proposed Change</w:t>
            </w:r>
          </w:p>
        </w:tc>
        <w:tc>
          <w:tcPr>
            <w:tcW w:w="2680" w:type="dxa"/>
            <w:shd w:val="clear" w:color="auto" w:fill="auto"/>
            <w:hideMark/>
          </w:tcPr>
          <w:p w14:paraId="73025654"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Resolution</w:t>
            </w:r>
          </w:p>
        </w:tc>
      </w:tr>
      <w:tr w:rsidR="00FC0AD8" w:rsidRPr="00FC0AD8" w14:paraId="4CCB23C9" w14:textId="77777777" w:rsidTr="00FC0AD8">
        <w:trPr>
          <w:trHeight w:val="2550"/>
        </w:trPr>
        <w:tc>
          <w:tcPr>
            <w:tcW w:w="580" w:type="dxa"/>
            <w:shd w:val="clear" w:color="auto" w:fill="auto"/>
            <w:hideMark/>
          </w:tcPr>
          <w:p w14:paraId="6F5EF059"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441</w:t>
            </w:r>
          </w:p>
        </w:tc>
        <w:tc>
          <w:tcPr>
            <w:tcW w:w="900" w:type="dxa"/>
            <w:shd w:val="clear" w:color="auto" w:fill="auto"/>
            <w:hideMark/>
          </w:tcPr>
          <w:p w14:paraId="283777C6"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71.01</w:t>
            </w:r>
          </w:p>
        </w:tc>
        <w:tc>
          <w:tcPr>
            <w:tcW w:w="900" w:type="dxa"/>
            <w:shd w:val="clear" w:color="auto" w:fill="auto"/>
            <w:hideMark/>
          </w:tcPr>
          <w:p w14:paraId="72FAC111"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32.2.3.2</w:t>
            </w:r>
          </w:p>
        </w:tc>
        <w:tc>
          <w:tcPr>
            <w:tcW w:w="2680" w:type="dxa"/>
            <w:shd w:val="clear" w:color="auto" w:fill="auto"/>
            <w:hideMark/>
          </w:tcPr>
          <w:p w14:paraId="18CD96B9"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remove the Figure 32-6--An Example of an On-WG for the Sync and high rate Data fields. No need for such an example. The immplementation is straightforward and can be different from the figure.  All have been well described in 32.2.4.</w:t>
            </w:r>
          </w:p>
        </w:tc>
        <w:tc>
          <w:tcPr>
            <w:tcW w:w="2680" w:type="dxa"/>
            <w:shd w:val="clear" w:color="auto" w:fill="auto"/>
            <w:hideMark/>
          </w:tcPr>
          <w:p w14:paraId="221C0044"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as in comment</w:t>
            </w:r>
          </w:p>
        </w:tc>
        <w:tc>
          <w:tcPr>
            <w:tcW w:w="2680" w:type="dxa"/>
            <w:shd w:val="clear" w:color="auto" w:fill="auto"/>
            <w:hideMark/>
          </w:tcPr>
          <w:p w14:paraId="5486C493" w14:textId="77777777" w:rsidR="00BE620A" w:rsidRDefault="00FC0AD8" w:rsidP="00FC0AD8">
            <w:pPr>
              <w:rPr>
                <w:rFonts w:ascii="Arial" w:hAnsi="Arial" w:cs="Arial"/>
                <w:sz w:val="20"/>
                <w:lang w:val="sv-SE" w:eastAsia="sv-SE"/>
              </w:rPr>
            </w:pPr>
            <w:r w:rsidRPr="00FC0AD8">
              <w:rPr>
                <w:rFonts w:ascii="Arial" w:hAnsi="Arial" w:cs="Arial"/>
                <w:sz w:val="20"/>
                <w:lang w:val="sv-SE" w:eastAsia="sv-SE"/>
              </w:rPr>
              <w:t>Declined.</w:t>
            </w:r>
          </w:p>
          <w:p w14:paraId="3E01CDCE" w14:textId="77777777" w:rsidR="00BE620A" w:rsidRDefault="00BE620A" w:rsidP="00FC0AD8">
            <w:pPr>
              <w:rPr>
                <w:rFonts w:ascii="Arial" w:hAnsi="Arial" w:cs="Arial"/>
                <w:sz w:val="20"/>
                <w:lang w:val="sv-SE" w:eastAsia="sv-SE"/>
              </w:rPr>
            </w:pPr>
          </w:p>
          <w:p w14:paraId="2742E801" w14:textId="41198F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 xml:space="preserve">Examples are illustrative and equivalent examples </w:t>
            </w:r>
            <w:r w:rsidR="00BE620A">
              <w:rPr>
                <w:rFonts w:ascii="Arial" w:hAnsi="Arial" w:cs="Arial"/>
                <w:sz w:val="20"/>
                <w:lang w:val="sv-SE" w:eastAsia="sv-SE"/>
              </w:rPr>
              <w:t xml:space="preserve">are </w:t>
            </w:r>
            <w:r w:rsidRPr="00FC0AD8">
              <w:rPr>
                <w:rFonts w:ascii="Arial" w:hAnsi="Arial" w:cs="Arial"/>
                <w:sz w:val="20"/>
                <w:lang w:val="sv-SE" w:eastAsia="sv-SE"/>
              </w:rPr>
              <w:t>available in the spec.</w:t>
            </w:r>
          </w:p>
        </w:tc>
      </w:tr>
    </w:tbl>
    <w:p w14:paraId="03F10E61" w14:textId="2828C36B" w:rsidR="00FC0AD8" w:rsidRDefault="00FC0AD8"/>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900"/>
        <w:gridCol w:w="900"/>
        <w:gridCol w:w="2680"/>
        <w:gridCol w:w="2680"/>
        <w:gridCol w:w="2680"/>
      </w:tblGrid>
      <w:tr w:rsidR="00FC0AD8" w:rsidRPr="00FC0AD8" w14:paraId="3B66399D" w14:textId="77777777" w:rsidTr="00FC0AD8">
        <w:trPr>
          <w:trHeight w:val="765"/>
        </w:trPr>
        <w:tc>
          <w:tcPr>
            <w:tcW w:w="580" w:type="dxa"/>
            <w:shd w:val="clear" w:color="auto" w:fill="auto"/>
            <w:hideMark/>
          </w:tcPr>
          <w:p w14:paraId="43315BFF"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CID</w:t>
            </w:r>
          </w:p>
        </w:tc>
        <w:tc>
          <w:tcPr>
            <w:tcW w:w="900" w:type="dxa"/>
            <w:shd w:val="clear" w:color="auto" w:fill="auto"/>
            <w:hideMark/>
          </w:tcPr>
          <w:p w14:paraId="57A32159"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Page</w:t>
            </w:r>
          </w:p>
        </w:tc>
        <w:tc>
          <w:tcPr>
            <w:tcW w:w="900" w:type="dxa"/>
            <w:shd w:val="clear" w:color="auto" w:fill="auto"/>
            <w:hideMark/>
          </w:tcPr>
          <w:p w14:paraId="284339C3"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Clause</w:t>
            </w:r>
          </w:p>
        </w:tc>
        <w:tc>
          <w:tcPr>
            <w:tcW w:w="2680" w:type="dxa"/>
            <w:shd w:val="clear" w:color="auto" w:fill="auto"/>
            <w:hideMark/>
          </w:tcPr>
          <w:p w14:paraId="360BACEE"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Comment</w:t>
            </w:r>
          </w:p>
        </w:tc>
        <w:tc>
          <w:tcPr>
            <w:tcW w:w="2680" w:type="dxa"/>
            <w:shd w:val="clear" w:color="auto" w:fill="auto"/>
            <w:hideMark/>
          </w:tcPr>
          <w:p w14:paraId="78F5FE0D"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Proposed Change</w:t>
            </w:r>
          </w:p>
        </w:tc>
        <w:tc>
          <w:tcPr>
            <w:tcW w:w="2680" w:type="dxa"/>
            <w:shd w:val="clear" w:color="auto" w:fill="auto"/>
            <w:hideMark/>
          </w:tcPr>
          <w:p w14:paraId="10201F87"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Resolution</w:t>
            </w:r>
          </w:p>
        </w:tc>
      </w:tr>
      <w:tr w:rsidR="00FC0AD8" w:rsidRPr="00FC0AD8" w14:paraId="7CBCFBC0" w14:textId="77777777" w:rsidTr="00FC0AD8">
        <w:trPr>
          <w:trHeight w:val="2295"/>
        </w:trPr>
        <w:tc>
          <w:tcPr>
            <w:tcW w:w="580" w:type="dxa"/>
            <w:shd w:val="clear" w:color="auto" w:fill="auto"/>
            <w:hideMark/>
          </w:tcPr>
          <w:p w14:paraId="5BBCFF05"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lastRenderedPageBreak/>
              <w:t>442</w:t>
            </w:r>
          </w:p>
        </w:tc>
        <w:tc>
          <w:tcPr>
            <w:tcW w:w="900" w:type="dxa"/>
            <w:shd w:val="clear" w:color="auto" w:fill="auto"/>
            <w:hideMark/>
          </w:tcPr>
          <w:p w14:paraId="7C904B7D"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72.01</w:t>
            </w:r>
          </w:p>
        </w:tc>
        <w:tc>
          <w:tcPr>
            <w:tcW w:w="900" w:type="dxa"/>
            <w:shd w:val="clear" w:color="auto" w:fill="auto"/>
            <w:hideMark/>
          </w:tcPr>
          <w:p w14:paraId="46ACF119"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32.2.3.2</w:t>
            </w:r>
          </w:p>
        </w:tc>
        <w:tc>
          <w:tcPr>
            <w:tcW w:w="2680" w:type="dxa"/>
            <w:shd w:val="clear" w:color="auto" w:fill="auto"/>
            <w:hideMark/>
          </w:tcPr>
          <w:p w14:paraId="73AA1B21"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remove Figure 32-7--An Example of an On-WG for the low rate Data fields. No need for such an example. The immplementation is straightforward and can be different from the figure.  All have been well described in 32.2.4.</w:t>
            </w:r>
          </w:p>
        </w:tc>
        <w:tc>
          <w:tcPr>
            <w:tcW w:w="2680" w:type="dxa"/>
            <w:shd w:val="clear" w:color="auto" w:fill="auto"/>
            <w:hideMark/>
          </w:tcPr>
          <w:p w14:paraId="5FDFB307"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as in comment</w:t>
            </w:r>
          </w:p>
        </w:tc>
        <w:tc>
          <w:tcPr>
            <w:tcW w:w="2680" w:type="dxa"/>
            <w:shd w:val="clear" w:color="auto" w:fill="auto"/>
            <w:hideMark/>
          </w:tcPr>
          <w:p w14:paraId="7B20DD08" w14:textId="77777777" w:rsidR="00BE620A" w:rsidRDefault="00FC0AD8" w:rsidP="00FC0AD8">
            <w:pPr>
              <w:rPr>
                <w:rFonts w:ascii="Arial" w:hAnsi="Arial" w:cs="Arial"/>
                <w:sz w:val="20"/>
                <w:lang w:val="sv-SE" w:eastAsia="sv-SE"/>
              </w:rPr>
            </w:pPr>
            <w:r w:rsidRPr="00FC0AD8">
              <w:rPr>
                <w:rFonts w:ascii="Arial" w:hAnsi="Arial" w:cs="Arial"/>
                <w:sz w:val="20"/>
                <w:lang w:val="sv-SE" w:eastAsia="sv-SE"/>
              </w:rPr>
              <w:t>Declined.</w:t>
            </w:r>
          </w:p>
          <w:p w14:paraId="5A35B8C9" w14:textId="77777777" w:rsidR="00BE620A" w:rsidRDefault="00BE620A" w:rsidP="00FC0AD8">
            <w:pPr>
              <w:rPr>
                <w:rFonts w:ascii="Arial" w:hAnsi="Arial" w:cs="Arial"/>
                <w:sz w:val="20"/>
                <w:lang w:val="sv-SE" w:eastAsia="sv-SE"/>
              </w:rPr>
            </w:pPr>
          </w:p>
          <w:p w14:paraId="23E3FF11" w14:textId="36CC646F"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 xml:space="preserve">Examples are illustrative and equivalent examples </w:t>
            </w:r>
            <w:r w:rsidR="00BE620A">
              <w:rPr>
                <w:rFonts w:ascii="Arial" w:hAnsi="Arial" w:cs="Arial"/>
                <w:sz w:val="20"/>
                <w:lang w:val="sv-SE" w:eastAsia="sv-SE"/>
              </w:rPr>
              <w:t xml:space="preserve">are </w:t>
            </w:r>
            <w:r w:rsidRPr="00FC0AD8">
              <w:rPr>
                <w:rFonts w:ascii="Arial" w:hAnsi="Arial" w:cs="Arial"/>
                <w:sz w:val="20"/>
                <w:lang w:val="sv-SE" w:eastAsia="sv-SE"/>
              </w:rPr>
              <w:t>available in the spec.</w:t>
            </w:r>
          </w:p>
        </w:tc>
      </w:tr>
    </w:tbl>
    <w:p w14:paraId="3EDD9AD7" w14:textId="7912E703" w:rsidR="00FC0AD8" w:rsidRDefault="00FC0AD8"/>
    <w:p w14:paraId="65355E71" w14:textId="4B74F4BC" w:rsidR="00FC0AD8" w:rsidRDefault="00FC0AD8"/>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900"/>
        <w:gridCol w:w="900"/>
        <w:gridCol w:w="2680"/>
        <w:gridCol w:w="2680"/>
        <w:gridCol w:w="2680"/>
      </w:tblGrid>
      <w:tr w:rsidR="00FC0AD8" w:rsidRPr="00FC0AD8" w14:paraId="1C36A6DC" w14:textId="77777777" w:rsidTr="00FC0AD8">
        <w:trPr>
          <w:trHeight w:val="765"/>
        </w:trPr>
        <w:tc>
          <w:tcPr>
            <w:tcW w:w="580" w:type="dxa"/>
            <w:shd w:val="clear" w:color="auto" w:fill="auto"/>
            <w:hideMark/>
          </w:tcPr>
          <w:p w14:paraId="61BF491C"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CID</w:t>
            </w:r>
          </w:p>
        </w:tc>
        <w:tc>
          <w:tcPr>
            <w:tcW w:w="900" w:type="dxa"/>
            <w:shd w:val="clear" w:color="auto" w:fill="auto"/>
            <w:hideMark/>
          </w:tcPr>
          <w:p w14:paraId="0264B13C"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Page</w:t>
            </w:r>
          </w:p>
        </w:tc>
        <w:tc>
          <w:tcPr>
            <w:tcW w:w="900" w:type="dxa"/>
            <w:shd w:val="clear" w:color="auto" w:fill="auto"/>
            <w:hideMark/>
          </w:tcPr>
          <w:p w14:paraId="6BEFFA26"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Clause</w:t>
            </w:r>
          </w:p>
        </w:tc>
        <w:tc>
          <w:tcPr>
            <w:tcW w:w="2680" w:type="dxa"/>
            <w:shd w:val="clear" w:color="auto" w:fill="auto"/>
            <w:hideMark/>
          </w:tcPr>
          <w:p w14:paraId="705C7C37"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Comment</w:t>
            </w:r>
          </w:p>
        </w:tc>
        <w:tc>
          <w:tcPr>
            <w:tcW w:w="2680" w:type="dxa"/>
            <w:shd w:val="clear" w:color="auto" w:fill="auto"/>
            <w:hideMark/>
          </w:tcPr>
          <w:p w14:paraId="271636DA"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Proposed Change</w:t>
            </w:r>
          </w:p>
        </w:tc>
        <w:tc>
          <w:tcPr>
            <w:tcW w:w="2680" w:type="dxa"/>
            <w:shd w:val="clear" w:color="auto" w:fill="auto"/>
            <w:hideMark/>
          </w:tcPr>
          <w:p w14:paraId="1A432031"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Resolution</w:t>
            </w:r>
          </w:p>
        </w:tc>
      </w:tr>
      <w:tr w:rsidR="00FC0AD8" w:rsidRPr="00FC0AD8" w14:paraId="4C6BF781" w14:textId="77777777" w:rsidTr="00FC0AD8">
        <w:trPr>
          <w:trHeight w:val="3060"/>
        </w:trPr>
        <w:tc>
          <w:tcPr>
            <w:tcW w:w="580" w:type="dxa"/>
            <w:shd w:val="clear" w:color="auto" w:fill="auto"/>
            <w:hideMark/>
          </w:tcPr>
          <w:p w14:paraId="77ABFC18"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443</w:t>
            </w:r>
          </w:p>
        </w:tc>
        <w:tc>
          <w:tcPr>
            <w:tcW w:w="900" w:type="dxa"/>
            <w:shd w:val="clear" w:color="auto" w:fill="auto"/>
            <w:hideMark/>
          </w:tcPr>
          <w:p w14:paraId="1BF30B13"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73.01</w:t>
            </w:r>
          </w:p>
        </w:tc>
        <w:tc>
          <w:tcPr>
            <w:tcW w:w="900" w:type="dxa"/>
            <w:shd w:val="clear" w:color="auto" w:fill="auto"/>
            <w:hideMark/>
          </w:tcPr>
          <w:p w14:paraId="55FC902C"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32.2.3.3</w:t>
            </w:r>
          </w:p>
        </w:tc>
        <w:tc>
          <w:tcPr>
            <w:tcW w:w="2680" w:type="dxa"/>
            <w:shd w:val="clear" w:color="auto" w:fill="auto"/>
            <w:hideMark/>
          </w:tcPr>
          <w:p w14:paraId="5533D1A2"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remove Figure 32-8--An Example of a WUR Data field signal generator for the FDMA transmission. This figure just gives one example of many possible immplementations. Given the clear definition of the formates, this is redundant and causes confusion. All have been well described in 32.2.4.</w:t>
            </w:r>
          </w:p>
        </w:tc>
        <w:tc>
          <w:tcPr>
            <w:tcW w:w="2680" w:type="dxa"/>
            <w:shd w:val="clear" w:color="auto" w:fill="auto"/>
            <w:hideMark/>
          </w:tcPr>
          <w:p w14:paraId="3FFE1209"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as in comment</w:t>
            </w:r>
          </w:p>
        </w:tc>
        <w:tc>
          <w:tcPr>
            <w:tcW w:w="2680" w:type="dxa"/>
            <w:shd w:val="clear" w:color="auto" w:fill="auto"/>
            <w:hideMark/>
          </w:tcPr>
          <w:p w14:paraId="29775D29" w14:textId="77777777" w:rsidR="00BE620A" w:rsidRDefault="00FC0AD8" w:rsidP="00FC0AD8">
            <w:pPr>
              <w:rPr>
                <w:rFonts w:ascii="Arial" w:hAnsi="Arial" w:cs="Arial"/>
                <w:sz w:val="20"/>
                <w:lang w:val="sv-SE" w:eastAsia="sv-SE"/>
              </w:rPr>
            </w:pPr>
            <w:r w:rsidRPr="00FC0AD8">
              <w:rPr>
                <w:rFonts w:ascii="Arial" w:hAnsi="Arial" w:cs="Arial"/>
                <w:sz w:val="20"/>
                <w:lang w:val="sv-SE" w:eastAsia="sv-SE"/>
              </w:rPr>
              <w:t>Declined.</w:t>
            </w:r>
          </w:p>
          <w:p w14:paraId="4FF6F914" w14:textId="77777777" w:rsidR="00BE620A" w:rsidRDefault="00BE620A" w:rsidP="00FC0AD8">
            <w:pPr>
              <w:rPr>
                <w:rFonts w:ascii="Arial" w:hAnsi="Arial" w:cs="Arial"/>
                <w:sz w:val="20"/>
                <w:lang w:val="sv-SE" w:eastAsia="sv-SE"/>
              </w:rPr>
            </w:pPr>
          </w:p>
          <w:p w14:paraId="1106C97A" w14:textId="633DABDC"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 xml:space="preserve">Examples are illustrative and equivalent examples </w:t>
            </w:r>
            <w:r w:rsidR="00BE620A">
              <w:rPr>
                <w:rFonts w:ascii="Arial" w:hAnsi="Arial" w:cs="Arial"/>
                <w:sz w:val="20"/>
                <w:lang w:val="sv-SE" w:eastAsia="sv-SE"/>
              </w:rPr>
              <w:t xml:space="preserve">are </w:t>
            </w:r>
            <w:r w:rsidRPr="00FC0AD8">
              <w:rPr>
                <w:rFonts w:ascii="Arial" w:hAnsi="Arial" w:cs="Arial"/>
                <w:sz w:val="20"/>
                <w:lang w:val="sv-SE" w:eastAsia="sv-SE"/>
              </w:rPr>
              <w:t>available in the spec.</w:t>
            </w:r>
          </w:p>
        </w:tc>
      </w:tr>
    </w:tbl>
    <w:p w14:paraId="60DDA869" w14:textId="6502F3D1" w:rsidR="00FC0AD8" w:rsidRDefault="00FC0AD8"/>
    <w:p w14:paraId="3D507E9B" w14:textId="5415C671" w:rsidR="00FC0AD8" w:rsidRDefault="00FC0AD8"/>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900"/>
        <w:gridCol w:w="900"/>
        <w:gridCol w:w="2680"/>
        <w:gridCol w:w="2680"/>
        <w:gridCol w:w="2680"/>
      </w:tblGrid>
      <w:tr w:rsidR="00FC0AD8" w:rsidRPr="00FC0AD8" w14:paraId="46322E4A" w14:textId="77777777" w:rsidTr="00FC0AD8">
        <w:trPr>
          <w:trHeight w:val="765"/>
        </w:trPr>
        <w:tc>
          <w:tcPr>
            <w:tcW w:w="580" w:type="dxa"/>
            <w:shd w:val="clear" w:color="auto" w:fill="auto"/>
            <w:hideMark/>
          </w:tcPr>
          <w:p w14:paraId="54C46039"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CID</w:t>
            </w:r>
          </w:p>
        </w:tc>
        <w:tc>
          <w:tcPr>
            <w:tcW w:w="900" w:type="dxa"/>
            <w:shd w:val="clear" w:color="auto" w:fill="auto"/>
            <w:hideMark/>
          </w:tcPr>
          <w:p w14:paraId="0CAC5808"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Page</w:t>
            </w:r>
          </w:p>
        </w:tc>
        <w:tc>
          <w:tcPr>
            <w:tcW w:w="900" w:type="dxa"/>
            <w:shd w:val="clear" w:color="auto" w:fill="auto"/>
            <w:hideMark/>
          </w:tcPr>
          <w:p w14:paraId="4AB9DEE8"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Clause</w:t>
            </w:r>
          </w:p>
        </w:tc>
        <w:tc>
          <w:tcPr>
            <w:tcW w:w="2680" w:type="dxa"/>
            <w:shd w:val="clear" w:color="auto" w:fill="auto"/>
            <w:hideMark/>
          </w:tcPr>
          <w:p w14:paraId="57A9465E"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Comment</w:t>
            </w:r>
          </w:p>
        </w:tc>
        <w:tc>
          <w:tcPr>
            <w:tcW w:w="2680" w:type="dxa"/>
            <w:shd w:val="clear" w:color="auto" w:fill="auto"/>
            <w:hideMark/>
          </w:tcPr>
          <w:p w14:paraId="13FD670F"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Proposed Change</w:t>
            </w:r>
          </w:p>
        </w:tc>
        <w:tc>
          <w:tcPr>
            <w:tcW w:w="2680" w:type="dxa"/>
            <w:shd w:val="clear" w:color="auto" w:fill="auto"/>
            <w:hideMark/>
          </w:tcPr>
          <w:p w14:paraId="7B6754EE"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Resolution</w:t>
            </w:r>
          </w:p>
        </w:tc>
      </w:tr>
      <w:tr w:rsidR="00FC0AD8" w:rsidRPr="00FC0AD8" w14:paraId="299BE740" w14:textId="77777777" w:rsidTr="00FC0AD8">
        <w:trPr>
          <w:trHeight w:val="1020"/>
        </w:trPr>
        <w:tc>
          <w:tcPr>
            <w:tcW w:w="580" w:type="dxa"/>
            <w:shd w:val="clear" w:color="auto" w:fill="auto"/>
            <w:hideMark/>
          </w:tcPr>
          <w:p w14:paraId="0E26A23B"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767</w:t>
            </w:r>
          </w:p>
        </w:tc>
        <w:tc>
          <w:tcPr>
            <w:tcW w:w="900" w:type="dxa"/>
            <w:shd w:val="clear" w:color="auto" w:fill="auto"/>
            <w:hideMark/>
          </w:tcPr>
          <w:p w14:paraId="7B2A60A3"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70.00</w:t>
            </w:r>
          </w:p>
        </w:tc>
        <w:tc>
          <w:tcPr>
            <w:tcW w:w="900" w:type="dxa"/>
            <w:shd w:val="clear" w:color="auto" w:fill="auto"/>
            <w:hideMark/>
          </w:tcPr>
          <w:p w14:paraId="23CA37B1"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32.2.3</w:t>
            </w:r>
          </w:p>
        </w:tc>
        <w:tc>
          <w:tcPr>
            <w:tcW w:w="2680" w:type="dxa"/>
            <w:shd w:val="clear" w:color="auto" w:fill="auto"/>
            <w:hideMark/>
          </w:tcPr>
          <w:p w14:paraId="1FC73920"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"On waveform" and "Off waveform" should be defined.</w:t>
            </w:r>
          </w:p>
        </w:tc>
        <w:tc>
          <w:tcPr>
            <w:tcW w:w="2680" w:type="dxa"/>
            <w:shd w:val="clear" w:color="auto" w:fill="auto"/>
            <w:hideMark/>
          </w:tcPr>
          <w:p w14:paraId="38E74077"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Define these terms or refer to the other part(s) of the document</w:t>
            </w:r>
          </w:p>
        </w:tc>
        <w:tc>
          <w:tcPr>
            <w:tcW w:w="2680" w:type="dxa"/>
            <w:shd w:val="clear" w:color="auto" w:fill="auto"/>
            <w:hideMark/>
          </w:tcPr>
          <w:p w14:paraId="0A2D0E7C" w14:textId="77777777" w:rsidR="00FC0AD8" w:rsidRDefault="00AA67EE" w:rsidP="00FC0AD8">
            <w:pPr>
              <w:rPr>
                <w:rFonts w:ascii="Arial" w:hAnsi="Arial" w:cs="Arial"/>
                <w:sz w:val="20"/>
                <w:lang w:val="sv-SE" w:eastAsia="sv-SE"/>
              </w:rPr>
            </w:pPr>
            <w:r>
              <w:rPr>
                <w:rFonts w:ascii="Arial" w:hAnsi="Arial" w:cs="Arial"/>
                <w:sz w:val="20"/>
                <w:lang w:val="sv-SE" w:eastAsia="sv-SE"/>
              </w:rPr>
              <w:t>Revised.</w:t>
            </w:r>
          </w:p>
          <w:p w14:paraId="4E87B978" w14:textId="77777777" w:rsidR="00FA629E" w:rsidRDefault="00FA629E" w:rsidP="00FC0AD8">
            <w:pPr>
              <w:rPr>
                <w:rFonts w:ascii="Arial" w:hAnsi="Arial" w:cs="Arial"/>
                <w:sz w:val="20"/>
                <w:lang w:val="sv-SE" w:eastAsia="sv-SE"/>
              </w:rPr>
            </w:pPr>
          </w:p>
          <w:p w14:paraId="36149829" w14:textId="77777777" w:rsidR="00FA629E" w:rsidRDefault="00FA629E" w:rsidP="00FC0AD8">
            <w:pPr>
              <w:rPr>
                <w:rFonts w:ascii="Arial" w:hAnsi="Arial" w:cs="Arial"/>
                <w:sz w:val="20"/>
                <w:lang w:val="sv-SE" w:eastAsia="sv-SE"/>
              </w:rPr>
            </w:pPr>
            <w:r>
              <w:rPr>
                <w:rFonts w:ascii="Arial" w:hAnsi="Arial" w:cs="Arial"/>
                <w:sz w:val="20"/>
                <w:lang w:val="sv-SE" w:eastAsia="sv-SE"/>
              </w:rPr>
              <w:t>Added a better description when WG-On and WG-Off are introduced solving this problem.</w:t>
            </w:r>
          </w:p>
          <w:p w14:paraId="529FD911" w14:textId="77777777" w:rsidR="008A30A4" w:rsidRDefault="008A30A4" w:rsidP="00FC0AD8">
            <w:pPr>
              <w:rPr>
                <w:rFonts w:ascii="Arial" w:hAnsi="Arial" w:cs="Arial"/>
                <w:sz w:val="20"/>
                <w:lang w:val="sv-SE" w:eastAsia="sv-SE"/>
              </w:rPr>
            </w:pPr>
          </w:p>
          <w:p w14:paraId="1AA0E5C8" w14:textId="04AE3DDB" w:rsidR="008A30A4" w:rsidRPr="00FC0AD8" w:rsidRDefault="008A30A4" w:rsidP="00FC0AD8">
            <w:pPr>
              <w:rPr>
                <w:rFonts w:ascii="Arial" w:hAnsi="Arial" w:cs="Arial"/>
                <w:sz w:val="20"/>
                <w:lang w:val="sv-SE" w:eastAsia="sv-SE"/>
              </w:rPr>
            </w:pPr>
            <w:r w:rsidRPr="008A30A4">
              <w:rPr>
                <w:rFonts w:ascii="Arial" w:hAnsi="Arial" w:cs="Arial"/>
                <w:sz w:val="20"/>
                <w:lang w:val="sv-SE" w:eastAsia="sv-SE"/>
              </w:rPr>
              <w:t>TGba editor to make the changes shown in doc.: IEEE 802.11-19/006</w:t>
            </w:r>
            <w:r>
              <w:rPr>
                <w:rFonts w:ascii="Arial" w:hAnsi="Arial" w:cs="Arial"/>
                <w:sz w:val="20"/>
                <w:lang w:val="sv-SE" w:eastAsia="sv-SE"/>
              </w:rPr>
              <w:t>8</w:t>
            </w:r>
            <w:r w:rsidRPr="008A30A4">
              <w:rPr>
                <w:rFonts w:ascii="Arial" w:hAnsi="Arial" w:cs="Arial"/>
                <w:sz w:val="20"/>
                <w:lang w:val="sv-SE" w:eastAsia="sv-SE"/>
              </w:rPr>
              <w:t>r</w:t>
            </w:r>
            <w:r>
              <w:rPr>
                <w:rFonts w:ascii="Arial" w:hAnsi="Arial" w:cs="Arial"/>
                <w:sz w:val="20"/>
                <w:lang w:val="sv-SE" w:eastAsia="sv-SE"/>
              </w:rPr>
              <w:t>0</w:t>
            </w:r>
            <w:r w:rsidRPr="008A30A4">
              <w:rPr>
                <w:rFonts w:ascii="Arial" w:hAnsi="Arial" w:cs="Arial"/>
                <w:sz w:val="20"/>
                <w:lang w:val="sv-SE" w:eastAsia="sv-SE"/>
              </w:rPr>
              <w:t xml:space="preserve"> under all headings that include CID </w:t>
            </w:r>
            <w:r>
              <w:rPr>
                <w:rFonts w:ascii="Arial" w:hAnsi="Arial" w:cs="Arial"/>
                <w:sz w:val="20"/>
                <w:lang w:val="sv-SE" w:eastAsia="sv-SE"/>
              </w:rPr>
              <w:t>767</w:t>
            </w:r>
            <w:r w:rsidRPr="008A30A4">
              <w:rPr>
                <w:rFonts w:ascii="Arial" w:hAnsi="Arial" w:cs="Arial"/>
                <w:sz w:val="20"/>
                <w:lang w:val="sv-SE" w:eastAsia="sv-SE"/>
              </w:rPr>
              <w:t>.</w:t>
            </w:r>
          </w:p>
        </w:tc>
      </w:tr>
    </w:tbl>
    <w:p w14:paraId="626AB77D" w14:textId="5D034190" w:rsidR="00FC0AD8" w:rsidRDefault="00FC0AD8"/>
    <w:p w14:paraId="60F71DCF" w14:textId="033F68A4" w:rsidR="00FC0AD8" w:rsidRDefault="00FC0AD8"/>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900"/>
        <w:gridCol w:w="900"/>
        <w:gridCol w:w="2679"/>
        <w:gridCol w:w="2678"/>
        <w:gridCol w:w="2678"/>
      </w:tblGrid>
      <w:tr w:rsidR="00FC0AD8" w:rsidRPr="00FC0AD8" w14:paraId="64842F00" w14:textId="77777777" w:rsidTr="00FC0AD8">
        <w:trPr>
          <w:trHeight w:val="765"/>
        </w:trPr>
        <w:tc>
          <w:tcPr>
            <w:tcW w:w="580" w:type="dxa"/>
            <w:shd w:val="clear" w:color="auto" w:fill="auto"/>
            <w:hideMark/>
          </w:tcPr>
          <w:p w14:paraId="665CF416"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CID</w:t>
            </w:r>
          </w:p>
        </w:tc>
        <w:tc>
          <w:tcPr>
            <w:tcW w:w="900" w:type="dxa"/>
            <w:shd w:val="clear" w:color="auto" w:fill="auto"/>
            <w:hideMark/>
          </w:tcPr>
          <w:p w14:paraId="170CD5E6"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Page</w:t>
            </w:r>
          </w:p>
        </w:tc>
        <w:tc>
          <w:tcPr>
            <w:tcW w:w="900" w:type="dxa"/>
            <w:shd w:val="clear" w:color="auto" w:fill="auto"/>
            <w:hideMark/>
          </w:tcPr>
          <w:p w14:paraId="62768D3A"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Clause</w:t>
            </w:r>
          </w:p>
        </w:tc>
        <w:tc>
          <w:tcPr>
            <w:tcW w:w="2680" w:type="dxa"/>
            <w:shd w:val="clear" w:color="auto" w:fill="auto"/>
            <w:hideMark/>
          </w:tcPr>
          <w:p w14:paraId="7914DE81"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Comment</w:t>
            </w:r>
          </w:p>
        </w:tc>
        <w:tc>
          <w:tcPr>
            <w:tcW w:w="2680" w:type="dxa"/>
            <w:shd w:val="clear" w:color="auto" w:fill="auto"/>
            <w:hideMark/>
          </w:tcPr>
          <w:p w14:paraId="30A90568"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Proposed Change</w:t>
            </w:r>
          </w:p>
        </w:tc>
        <w:tc>
          <w:tcPr>
            <w:tcW w:w="2680" w:type="dxa"/>
            <w:shd w:val="clear" w:color="auto" w:fill="auto"/>
            <w:hideMark/>
          </w:tcPr>
          <w:p w14:paraId="5F413B13"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Resolution</w:t>
            </w:r>
          </w:p>
        </w:tc>
      </w:tr>
      <w:tr w:rsidR="00FC0AD8" w:rsidRPr="00FC0AD8" w14:paraId="15537396" w14:textId="77777777" w:rsidTr="00FC0AD8">
        <w:trPr>
          <w:trHeight w:val="2295"/>
        </w:trPr>
        <w:tc>
          <w:tcPr>
            <w:tcW w:w="580" w:type="dxa"/>
            <w:shd w:val="clear" w:color="auto" w:fill="auto"/>
            <w:hideMark/>
          </w:tcPr>
          <w:p w14:paraId="3E0C10CE"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lastRenderedPageBreak/>
              <w:t>1045</w:t>
            </w:r>
          </w:p>
        </w:tc>
        <w:tc>
          <w:tcPr>
            <w:tcW w:w="900" w:type="dxa"/>
            <w:shd w:val="clear" w:color="auto" w:fill="auto"/>
            <w:hideMark/>
          </w:tcPr>
          <w:p w14:paraId="6FED87B3"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70.15</w:t>
            </w:r>
          </w:p>
        </w:tc>
        <w:tc>
          <w:tcPr>
            <w:tcW w:w="900" w:type="dxa"/>
            <w:shd w:val="clear" w:color="auto" w:fill="auto"/>
            <w:hideMark/>
          </w:tcPr>
          <w:p w14:paraId="067BC834"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32.2.3</w:t>
            </w:r>
          </w:p>
        </w:tc>
        <w:tc>
          <w:tcPr>
            <w:tcW w:w="2680" w:type="dxa"/>
            <w:shd w:val="clear" w:color="auto" w:fill="auto"/>
            <w:hideMark/>
          </w:tcPr>
          <w:p w14:paraId="55BC3533"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In the Fig. 32-4, it is not clear if the On-WG corresponds to LDR On-WG or HDR On-WG.</w:t>
            </w:r>
            <w:r w:rsidRPr="00FC0AD8">
              <w:rPr>
                <w:rFonts w:ascii="Arial" w:hAnsi="Arial" w:cs="Arial"/>
                <w:sz w:val="20"/>
                <w:lang w:val="sv-SE" w:eastAsia="sv-SE"/>
              </w:rPr>
              <w:br/>
              <w:t>Since the Sync bit duration is 2 us, it can be explicitly mentioned here that the On-WG corresponds to HDR On-WG.</w:t>
            </w:r>
          </w:p>
        </w:tc>
        <w:tc>
          <w:tcPr>
            <w:tcW w:w="2680" w:type="dxa"/>
            <w:shd w:val="clear" w:color="auto" w:fill="auto"/>
            <w:hideMark/>
          </w:tcPr>
          <w:p w14:paraId="3051DC37"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Replace the On-WG in Fig. 32-4 with On-WG_{HDR}</w:t>
            </w:r>
          </w:p>
        </w:tc>
        <w:tc>
          <w:tcPr>
            <w:tcW w:w="2680" w:type="dxa"/>
            <w:shd w:val="clear" w:color="auto" w:fill="auto"/>
            <w:hideMark/>
          </w:tcPr>
          <w:p w14:paraId="79B3E950" w14:textId="77777777" w:rsidR="00FC0AD8" w:rsidRDefault="00AA67EE" w:rsidP="00FC0AD8">
            <w:pPr>
              <w:rPr>
                <w:rFonts w:ascii="Arial" w:hAnsi="Arial" w:cs="Arial"/>
                <w:sz w:val="20"/>
                <w:lang w:val="sv-SE" w:eastAsia="sv-SE"/>
              </w:rPr>
            </w:pPr>
            <w:r>
              <w:rPr>
                <w:rFonts w:ascii="Arial" w:hAnsi="Arial" w:cs="Arial"/>
                <w:sz w:val="20"/>
                <w:lang w:val="sv-SE" w:eastAsia="sv-SE"/>
              </w:rPr>
              <w:t>Revised.</w:t>
            </w:r>
          </w:p>
          <w:p w14:paraId="61C073DC" w14:textId="77777777" w:rsidR="00FA629E" w:rsidRDefault="00FA629E" w:rsidP="00FC0AD8">
            <w:pPr>
              <w:rPr>
                <w:rFonts w:ascii="Arial" w:hAnsi="Arial" w:cs="Arial"/>
                <w:sz w:val="20"/>
                <w:lang w:val="sv-SE" w:eastAsia="sv-SE"/>
              </w:rPr>
            </w:pPr>
          </w:p>
          <w:p w14:paraId="0FEFD827" w14:textId="77777777" w:rsidR="00FA629E" w:rsidRDefault="00FA629E" w:rsidP="00FC0AD8">
            <w:pPr>
              <w:rPr>
                <w:rFonts w:ascii="Arial" w:hAnsi="Arial" w:cs="Arial"/>
                <w:sz w:val="20"/>
                <w:lang w:val="sv-SE" w:eastAsia="sv-SE"/>
              </w:rPr>
            </w:pPr>
            <w:r>
              <w:rPr>
                <w:rFonts w:ascii="Arial" w:hAnsi="Arial" w:cs="Arial"/>
                <w:sz w:val="20"/>
                <w:lang w:val="sv-SE" w:eastAsia="sv-SE"/>
              </w:rPr>
              <w:t>Added a better description when WG-On and WG-Off are introduced solving this problem.</w:t>
            </w:r>
          </w:p>
          <w:p w14:paraId="6D7AF790" w14:textId="77777777" w:rsidR="008A30A4" w:rsidRDefault="008A30A4" w:rsidP="00FC0AD8">
            <w:pPr>
              <w:rPr>
                <w:rFonts w:ascii="Arial" w:hAnsi="Arial" w:cs="Arial"/>
                <w:sz w:val="20"/>
                <w:lang w:val="sv-SE" w:eastAsia="sv-SE"/>
              </w:rPr>
            </w:pPr>
          </w:p>
          <w:p w14:paraId="4F79F907" w14:textId="0DDCAEA4" w:rsidR="008A30A4" w:rsidRPr="00FC0AD8" w:rsidRDefault="008A30A4" w:rsidP="00FC0AD8">
            <w:pPr>
              <w:rPr>
                <w:rFonts w:ascii="Arial" w:hAnsi="Arial" w:cs="Arial"/>
                <w:sz w:val="20"/>
                <w:lang w:val="sv-SE" w:eastAsia="sv-SE"/>
              </w:rPr>
            </w:pPr>
            <w:r w:rsidRPr="008A30A4">
              <w:rPr>
                <w:rFonts w:ascii="Arial" w:hAnsi="Arial" w:cs="Arial"/>
                <w:sz w:val="20"/>
                <w:lang w:val="sv-SE" w:eastAsia="sv-SE"/>
              </w:rPr>
              <w:t>TGba editor to make the changes shown in doc.: IEEE 802.11-19/006</w:t>
            </w:r>
            <w:r>
              <w:rPr>
                <w:rFonts w:ascii="Arial" w:hAnsi="Arial" w:cs="Arial"/>
                <w:sz w:val="20"/>
                <w:lang w:val="sv-SE" w:eastAsia="sv-SE"/>
              </w:rPr>
              <w:t>8</w:t>
            </w:r>
            <w:r w:rsidRPr="008A30A4">
              <w:rPr>
                <w:rFonts w:ascii="Arial" w:hAnsi="Arial" w:cs="Arial"/>
                <w:sz w:val="20"/>
                <w:lang w:val="sv-SE" w:eastAsia="sv-SE"/>
              </w:rPr>
              <w:t>r</w:t>
            </w:r>
            <w:r>
              <w:rPr>
                <w:rFonts w:ascii="Arial" w:hAnsi="Arial" w:cs="Arial"/>
                <w:sz w:val="20"/>
                <w:lang w:val="sv-SE" w:eastAsia="sv-SE"/>
              </w:rPr>
              <w:t>0</w:t>
            </w:r>
            <w:r w:rsidRPr="008A30A4">
              <w:rPr>
                <w:rFonts w:ascii="Arial" w:hAnsi="Arial" w:cs="Arial"/>
                <w:sz w:val="20"/>
                <w:lang w:val="sv-SE" w:eastAsia="sv-SE"/>
              </w:rPr>
              <w:t xml:space="preserve"> under all headings that include CID </w:t>
            </w:r>
            <w:r>
              <w:rPr>
                <w:rFonts w:ascii="Arial" w:hAnsi="Arial" w:cs="Arial"/>
                <w:sz w:val="20"/>
                <w:lang w:val="sv-SE" w:eastAsia="sv-SE"/>
              </w:rPr>
              <w:t>1045</w:t>
            </w:r>
            <w:r w:rsidRPr="008A30A4">
              <w:rPr>
                <w:rFonts w:ascii="Arial" w:hAnsi="Arial" w:cs="Arial"/>
                <w:sz w:val="20"/>
                <w:lang w:val="sv-SE" w:eastAsia="sv-SE"/>
              </w:rPr>
              <w:t>.</w:t>
            </w:r>
          </w:p>
        </w:tc>
      </w:tr>
    </w:tbl>
    <w:p w14:paraId="329E1845" w14:textId="3D860680" w:rsidR="00FC0AD8" w:rsidRDefault="00FC0AD8"/>
    <w:p w14:paraId="59B44181" w14:textId="7341C601" w:rsidR="00FC0AD8" w:rsidRDefault="00FC0AD8"/>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900"/>
        <w:gridCol w:w="900"/>
        <w:gridCol w:w="2679"/>
        <w:gridCol w:w="2678"/>
        <w:gridCol w:w="2678"/>
      </w:tblGrid>
      <w:tr w:rsidR="00FC0AD8" w:rsidRPr="00FC0AD8" w14:paraId="4F9551CC" w14:textId="77777777" w:rsidTr="00FC0AD8">
        <w:trPr>
          <w:trHeight w:val="765"/>
        </w:trPr>
        <w:tc>
          <w:tcPr>
            <w:tcW w:w="580" w:type="dxa"/>
            <w:shd w:val="clear" w:color="auto" w:fill="auto"/>
            <w:hideMark/>
          </w:tcPr>
          <w:p w14:paraId="421F9F2F"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CID</w:t>
            </w:r>
          </w:p>
        </w:tc>
        <w:tc>
          <w:tcPr>
            <w:tcW w:w="900" w:type="dxa"/>
            <w:shd w:val="clear" w:color="auto" w:fill="auto"/>
            <w:hideMark/>
          </w:tcPr>
          <w:p w14:paraId="522AAB5C"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Page</w:t>
            </w:r>
          </w:p>
        </w:tc>
        <w:tc>
          <w:tcPr>
            <w:tcW w:w="900" w:type="dxa"/>
            <w:shd w:val="clear" w:color="auto" w:fill="auto"/>
            <w:hideMark/>
          </w:tcPr>
          <w:p w14:paraId="49FCC7BB"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Clause</w:t>
            </w:r>
          </w:p>
        </w:tc>
        <w:tc>
          <w:tcPr>
            <w:tcW w:w="2680" w:type="dxa"/>
            <w:shd w:val="clear" w:color="auto" w:fill="auto"/>
            <w:hideMark/>
          </w:tcPr>
          <w:p w14:paraId="01872C93"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Comment</w:t>
            </w:r>
          </w:p>
        </w:tc>
        <w:tc>
          <w:tcPr>
            <w:tcW w:w="2680" w:type="dxa"/>
            <w:shd w:val="clear" w:color="auto" w:fill="auto"/>
            <w:hideMark/>
          </w:tcPr>
          <w:p w14:paraId="39C5BC80"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Proposed Change</w:t>
            </w:r>
          </w:p>
        </w:tc>
        <w:tc>
          <w:tcPr>
            <w:tcW w:w="2680" w:type="dxa"/>
            <w:shd w:val="clear" w:color="auto" w:fill="auto"/>
            <w:hideMark/>
          </w:tcPr>
          <w:p w14:paraId="71DD3DB6"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Resolution</w:t>
            </w:r>
          </w:p>
        </w:tc>
      </w:tr>
      <w:tr w:rsidR="00FC0AD8" w:rsidRPr="00FC0AD8" w14:paraId="3E813996" w14:textId="77777777" w:rsidTr="00FC0AD8">
        <w:trPr>
          <w:trHeight w:val="4845"/>
        </w:trPr>
        <w:tc>
          <w:tcPr>
            <w:tcW w:w="580" w:type="dxa"/>
            <w:shd w:val="clear" w:color="auto" w:fill="auto"/>
            <w:hideMark/>
          </w:tcPr>
          <w:p w14:paraId="2E6FE17E"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1046</w:t>
            </w:r>
          </w:p>
        </w:tc>
        <w:tc>
          <w:tcPr>
            <w:tcW w:w="900" w:type="dxa"/>
            <w:shd w:val="clear" w:color="auto" w:fill="auto"/>
            <w:hideMark/>
          </w:tcPr>
          <w:p w14:paraId="152A6535"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70.23</w:t>
            </w:r>
          </w:p>
        </w:tc>
        <w:tc>
          <w:tcPr>
            <w:tcW w:w="900" w:type="dxa"/>
            <w:shd w:val="clear" w:color="auto" w:fill="auto"/>
            <w:hideMark/>
          </w:tcPr>
          <w:p w14:paraId="16797235"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32.2.3</w:t>
            </w:r>
          </w:p>
        </w:tc>
        <w:tc>
          <w:tcPr>
            <w:tcW w:w="2680" w:type="dxa"/>
            <w:shd w:val="clear" w:color="auto" w:fill="auto"/>
            <w:hideMark/>
          </w:tcPr>
          <w:p w14:paraId="4C1F0776"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In the following sentence, it is not clear if the  On-WG corresponds to LDR On-WG or HDR On-WG: "The Sync bit sequence is then used to switch between the On waveform generator (On-WG) and the Off waveform generator (Off-WG)."</w:t>
            </w:r>
            <w:r w:rsidRPr="00FC0AD8">
              <w:rPr>
                <w:rFonts w:ascii="Arial" w:hAnsi="Arial" w:cs="Arial"/>
                <w:sz w:val="20"/>
                <w:lang w:val="sv-SE" w:eastAsia="sv-SE"/>
              </w:rPr>
              <w:br/>
            </w:r>
            <w:r w:rsidRPr="00FC0AD8">
              <w:rPr>
                <w:rFonts w:ascii="Arial" w:hAnsi="Arial" w:cs="Arial"/>
                <w:sz w:val="20"/>
                <w:lang w:val="sv-SE" w:eastAsia="sv-SE"/>
              </w:rPr>
              <w:br/>
              <w:t>Since the Sync bit duration is 2 us, it can be explicitly mentioned here that the On-WG corresponds to HDR. Replace the On waveform generator (On-WG)  in the sentence with HDR On waveform generator (On-WG_{HDR}).</w:t>
            </w:r>
          </w:p>
        </w:tc>
        <w:tc>
          <w:tcPr>
            <w:tcW w:w="2680" w:type="dxa"/>
            <w:shd w:val="clear" w:color="auto" w:fill="auto"/>
            <w:hideMark/>
          </w:tcPr>
          <w:p w14:paraId="5D6E1A26"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As shown in the comment.</w:t>
            </w:r>
          </w:p>
        </w:tc>
        <w:tc>
          <w:tcPr>
            <w:tcW w:w="2680" w:type="dxa"/>
            <w:shd w:val="clear" w:color="auto" w:fill="auto"/>
            <w:hideMark/>
          </w:tcPr>
          <w:p w14:paraId="637D2257" w14:textId="77777777" w:rsidR="00FC0AD8" w:rsidRDefault="00AA67EE" w:rsidP="00FC0AD8">
            <w:pPr>
              <w:rPr>
                <w:rFonts w:ascii="Arial" w:hAnsi="Arial" w:cs="Arial"/>
                <w:sz w:val="20"/>
                <w:lang w:val="sv-SE" w:eastAsia="sv-SE"/>
              </w:rPr>
            </w:pPr>
            <w:r>
              <w:rPr>
                <w:rFonts w:ascii="Arial" w:hAnsi="Arial" w:cs="Arial"/>
                <w:sz w:val="20"/>
                <w:lang w:val="sv-SE" w:eastAsia="sv-SE"/>
              </w:rPr>
              <w:t>Revised.</w:t>
            </w:r>
          </w:p>
          <w:p w14:paraId="2B42F10D" w14:textId="77777777" w:rsidR="00FA629E" w:rsidRDefault="00FA629E" w:rsidP="00FC0AD8">
            <w:pPr>
              <w:rPr>
                <w:rFonts w:ascii="Arial" w:hAnsi="Arial" w:cs="Arial"/>
                <w:sz w:val="20"/>
                <w:lang w:val="sv-SE" w:eastAsia="sv-SE"/>
              </w:rPr>
            </w:pPr>
          </w:p>
          <w:p w14:paraId="229EBF96" w14:textId="77777777" w:rsidR="00FA629E" w:rsidRDefault="00FA629E" w:rsidP="00FC0AD8">
            <w:pPr>
              <w:rPr>
                <w:rFonts w:ascii="Arial" w:hAnsi="Arial" w:cs="Arial"/>
                <w:sz w:val="20"/>
                <w:lang w:val="sv-SE" w:eastAsia="sv-SE"/>
              </w:rPr>
            </w:pPr>
            <w:r>
              <w:rPr>
                <w:rFonts w:ascii="Arial" w:hAnsi="Arial" w:cs="Arial"/>
                <w:sz w:val="20"/>
                <w:lang w:val="sv-SE" w:eastAsia="sv-SE"/>
              </w:rPr>
              <w:t>Added a better description when WG-On and WG-Off are introduced solving this problem.</w:t>
            </w:r>
          </w:p>
          <w:p w14:paraId="13A17C82" w14:textId="77777777" w:rsidR="008A30A4" w:rsidRDefault="008A30A4" w:rsidP="00FC0AD8">
            <w:pPr>
              <w:rPr>
                <w:rFonts w:ascii="Arial" w:hAnsi="Arial" w:cs="Arial"/>
                <w:sz w:val="20"/>
                <w:lang w:val="sv-SE" w:eastAsia="sv-SE"/>
              </w:rPr>
            </w:pPr>
          </w:p>
          <w:p w14:paraId="63EE0D4D" w14:textId="5A3A4EAD" w:rsidR="008A30A4" w:rsidRPr="00FC0AD8" w:rsidRDefault="008A30A4" w:rsidP="00FC0AD8">
            <w:pPr>
              <w:rPr>
                <w:rFonts w:ascii="Arial" w:hAnsi="Arial" w:cs="Arial"/>
                <w:sz w:val="20"/>
                <w:lang w:val="sv-SE" w:eastAsia="sv-SE"/>
              </w:rPr>
            </w:pPr>
            <w:r w:rsidRPr="008A30A4">
              <w:rPr>
                <w:rFonts w:ascii="Arial" w:hAnsi="Arial" w:cs="Arial"/>
                <w:sz w:val="20"/>
                <w:lang w:val="sv-SE" w:eastAsia="sv-SE"/>
              </w:rPr>
              <w:t>TGba editor to make the changes shown in doc.: IEEE 802.11-19/006</w:t>
            </w:r>
            <w:r>
              <w:rPr>
                <w:rFonts w:ascii="Arial" w:hAnsi="Arial" w:cs="Arial"/>
                <w:sz w:val="20"/>
                <w:lang w:val="sv-SE" w:eastAsia="sv-SE"/>
              </w:rPr>
              <w:t>8</w:t>
            </w:r>
            <w:r w:rsidRPr="008A30A4">
              <w:rPr>
                <w:rFonts w:ascii="Arial" w:hAnsi="Arial" w:cs="Arial"/>
                <w:sz w:val="20"/>
                <w:lang w:val="sv-SE" w:eastAsia="sv-SE"/>
              </w:rPr>
              <w:t>r</w:t>
            </w:r>
            <w:r>
              <w:rPr>
                <w:rFonts w:ascii="Arial" w:hAnsi="Arial" w:cs="Arial"/>
                <w:sz w:val="20"/>
                <w:lang w:val="sv-SE" w:eastAsia="sv-SE"/>
              </w:rPr>
              <w:t>0</w:t>
            </w:r>
            <w:r w:rsidRPr="008A30A4">
              <w:rPr>
                <w:rFonts w:ascii="Arial" w:hAnsi="Arial" w:cs="Arial"/>
                <w:sz w:val="20"/>
                <w:lang w:val="sv-SE" w:eastAsia="sv-SE"/>
              </w:rPr>
              <w:t xml:space="preserve"> under all headings that include CID </w:t>
            </w:r>
            <w:r>
              <w:rPr>
                <w:rFonts w:ascii="Arial" w:hAnsi="Arial" w:cs="Arial"/>
                <w:sz w:val="20"/>
                <w:lang w:val="sv-SE" w:eastAsia="sv-SE"/>
              </w:rPr>
              <w:t>1046</w:t>
            </w:r>
            <w:r w:rsidRPr="008A30A4">
              <w:rPr>
                <w:rFonts w:ascii="Arial" w:hAnsi="Arial" w:cs="Arial"/>
                <w:sz w:val="20"/>
                <w:lang w:val="sv-SE" w:eastAsia="sv-SE"/>
              </w:rPr>
              <w:t>.</w:t>
            </w:r>
          </w:p>
        </w:tc>
      </w:tr>
    </w:tbl>
    <w:p w14:paraId="3D5613E4" w14:textId="7E8AF792" w:rsidR="00FC0AD8" w:rsidRDefault="00FC0AD8"/>
    <w:p w14:paraId="34489234" w14:textId="5F1D9999" w:rsidR="00FC0AD8" w:rsidRDefault="00FC0AD8"/>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900"/>
        <w:gridCol w:w="900"/>
        <w:gridCol w:w="2679"/>
        <w:gridCol w:w="2678"/>
        <w:gridCol w:w="2678"/>
      </w:tblGrid>
      <w:tr w:rsidR="00FC0AD8" w:rsidRPr="00FC0AD8" w14:paraId="378F9018" w14:textId="77777777" w:rsidTr="00FC0AD8">
        <w:trPr>
          <w:trHeight w:val="765"/>
        </w:trPr>
        <w:tc>
          <w:tcPr>
            <w:tcW w:w="580" w:type="dxa"/>
            <w:shd w:val="clear" w:color="auto" w:fill="auto"/>
            <w:hideMark/>
          </w:tcPr>
          <w:p w14:paraId="68DB25A9"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CID</w:t>
            </w:r>
          </w:p>
        </w:tc>
        <w:tc>
          <w:tcPr>
            <w:tcW w:w="900" w:type="dxa"/>
            <w:shd w:val="clear" w:color="auto" w:fill="auto"/>
            <w:hideMark/>
          </w:tcPr>
          <w:p w14:paraId="3A40BAA2"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Page</w:t>
            </w:r>
          </w:p>
        </w:tc>
        <w:tc>
          <w:tcPr>
            <w:tcW w:w="900" w:type="dxa"/>
            <w:shd w:val="clear" w:color="auto" w:fill="auto"/>
            <w:hideMark/>
          </w:tcPr>
          <w:p w14:paraId="6044A474"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Clause</w:t>
            </w:r>
          </w:p>
        </w:tc>
        <w:tc>
          <w:tcPr>
            <w:tcW w:w="2680" w:type="dxa"/>
            <w:shd w:val="clear" w:color="auto" w:fill="auto"/>
            <w:hideMark/>
          </w:tcPr>
          <w:p w14:paraId="4465DA8B"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Comment</w:t>
            </w:r>
          </w:p>
        </w:tc>
        <w:tc>
          <w:tcPr>
            <w:tcW w:w="2680" w:type="dxa"/>
            <w:shd w:val="clear" w:color="auto" w:fill="auto"/>
            <w:hideMark/>
          </w:tcPr>
          <w:p w14:paraId="127DEFA0"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Proposed Change</w:t>
            </w:r>
          </w:p>
        </w:tc>
        <w:tc>
          <w:tcPr>
            <w:tcW w:w="2680" w:type="dxa"/>
            <w:shd w:val="clear" w:color="auto" w:fill="auto"/>
            <w:hideMark/>
          </w:tcPr>
          <w:p w14:paraId="045E7A89"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Resolution</w:t>
            </w:r>
          </w:p>
        </w:tc>
      </w:tr>
      <w:tr w:rsidR="00FC0AD8" w:rsidRPr="00FC0AD8" w14:paraId="04FFEA1A" w14:textId="77777777" w:rsidTr="00FC0AD8">
        <w:trPr>
          <w:trHeight w:val="3315"/>
        </w:trPr>
        <w:tc>
          <w:tcPr>
            <w:tcW w:w="580" w:type="dxa"/>
            <w:shd w:val="clear" w:color="auto" w:fill="auto"/>
            <w:hideMark/>
          </w:tcPr>
          <w:p w14:paraId="1997B6A6"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1047</w:t>
            </w:r>
          </w:p>
        </w:tc>
        <w:tc>
          <w:tcPr>
            <w:tcW w:w="900" w:type="dxa"/>
            <w:shd w:val="clear" w:color="auto" w:fill="auto"/>
            <w:hideMark/>
          </w:tcPr>
          <w:p w14:paraId="6C46AE2E"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70.36</w:t>
            </w:r>
          </w:p>
        </w:tc>
        <w:tc>
          <w:tcPr>
            <w:tcW w:w="900" w:type="dxa"/>
            <w:shd w:val="clear" w:color="auto" w:fill="auto"/>
            <w:hideMark/>
          </w:tcPr>
          <w:p w14:paraId="6E951D89"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32.2.3</w:t>
            </w:r>
          </w:p>
        </w:tc>
        <w:tc>
          <w:tcPr>
            <w:tcW w:w="2680" w:type="dxa"/>
            <w:shd w:val="clear" w:color="auto" w:fill="auto"/>
            <w:hideMark/>
          </w:tcPr>
          <w:p w14:paraId="699AF04D"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In the Fig. 32-5, it is not clear if the On-WG corresponds to LDR On-WG or HDR On-WG and how this is determined.</w:t>
            </w:r>
            <w:r w:rsidRPr="00FC0AD8">
              <w:rPr>
                <w:rFonts w:ascii="Arial" w:hAnsi="Arial" w:cs="Arial"/>
                <w:sz w:val="20"/>
                <w:lang w:val="sv-SE" w:eastAsia="sv-SE"/>
              </w:rPr>
              <w:br/>
            </w:r>
            <w:r w:rsidRPr="00FC0AD8">
              <w:rPr>
                <w:rFonts w:ascii="Arial" w:hAnsi="Arial" w:cs="Arial"/>
                <w:sz w:val="20"/>
                <w:lang w:val="sv-SE" w:eastAsia="sv-SE"/>
              </w:rPr>
              <w:br/>
              <w:t>Replace the On-WG in Fig. 32-5 with a block comprising of On-WG_{LDR} and On-WG_{HDR} and a switch between these two based on WUR_DATARATE input, as it was done in Fig. 32-8.</w:t>
            </w:r>
          </w:p>
        </w:tc>
        <w:tc>
          <w:tcPr>
            <w:tcW w:w="2680" w:type="dxa"/>
            <w:shd w:val="clear" w:color="auto" w:fill="auto"/>
            <w:hideMark/>
          </w:tcPr>
          <w:p w14:paraId="7801AA96"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As shown in the comment.</w:t>
            </w:r>
          </w:p>
        </w:tc>
        <w:tc>
          <w:tcPr>
            <w:tcW w:w="2680" w:type="dxa"/>
            <w:shd w:val="clear" w:color="auto" w:fill="auto"/>
            <w:hideMark/>
          </w:tcPr>
          <w:p w14:paraId="54D43F53" w14:textId="77777777" w:rsidR="00FC0AD8" w:rsidRDefault="00AA67EE" w:rsidP="00FC0AD8">
            <w:pPr>
              <w:rPr>
                <w:rFonts w:ascii="Arial" w:hAnsi="Arial" w:cs="Arial"/>
                <w:sz w:val="20"/>
                <w:lang w:val="sv-SE" w:eastAsia="sv-SE"/>
              </w:rPr>
            </w:pPr>
            <w:r>
              <w:rPr>
                <w:rFonts w:ascii="Arial" w:hAnsi="Arial" w:cs="Arial"/>
                <w:sz w:val="20"/>
                <w:lang w:val="sv-SE" w:eastAsia="sv-SE"/>
              </w:rPr>
              <w:t>Revised.</w:t>
            </w:r>
          </w:p>
          <w:p w14:paraId="0696CD74" w14:textId="77777777" w:rsidR="00FA629E" w:rsidRDefault="00FA629E" w:rsidP="00FC0AD8">
            <w:pPr>
              <w:rPr>
                <w:rFonts w:ascii="Arial" w:hAnsi="Arial" w:cs="Arial"/>
                <w:sz w:val="20"/>
                <w:lang w:val="sv-SE" w:eastAsia="sv-SE"/>
              </w:rPr>
            </w:pPr>
          </w:p>
          <w:p w14:paraId="51098612" w14:textId="77777777" w:rsidR="00FA629E" w:rsidRDefault="00FA629E" w:rsidP="00FC0AD8">
            <w:pPr>
              <w:rPr>
                <w:rFonts w:ascii="Arial" w:hAnsi="Arial" w:cs="Arial"/>
                <w:sz w:val="20"/>
                <w:lang w:val="sv-SE" w:eastAsia="sv-SE"/>
              </w:rPr>
            </w:pPr>
            <w:r>
              <w:rPr>
                <w:rFonts w:ascii="Arial" w:hAnsi="Arial" w:cs="Arial"/>
                <w:sz w:val="20"/>
                <w:lang w:val="sv-SE" w:eastAsia="sv-SE"/>
              </w:rPr>
              <w:t>Added a better description when WG-On and WG-Off are introduced solving this problem.</w:t>
            </w:r>
          </w:p>
          <w:p w14:paraId="63754FF0" w14:textId="77777777" w:rsidR="008A30A4" w:rsidRDefault="008A30A4" w:rsidP="00FC0AD8">
            <w:pPr>
              <w:rPr>
                <w:rFonts w:ascii="Arial" w:hAnsi="Arial" w:cs="Arial"/>
                <w:sz w:val="20"/>
                <w:lang w:val="sv-SE" w:eastAsia="sv-SE"/>
              </w:rPr>
            </w:pPr>
          </w:p>
          <w:p w14:paraId="72FA3CEB" w14:textId="6C99BAF3" w:rsidR="008A30A4" w:rsidRPr="00FC0AD8" w:rsidRDefault="008A30A4" w:rsidP="00FC0AD8">
            <w:pPr>
              <w:rPr>
                <w:rFonts w:ascii="Arial" w:hAnsi="Arial" w:cs="Arial"/>
                <w:sz w:val="20"/>
                <w:lang w:val="sv-SE" w:eastAsia="sv-SE"/>
              </w:rPr>
            </w:pPr>
            <w:r w:rsidRPr="008A30A4">
              <w:rPr>
                <w:rFonts w:ascii="Arial" w:hAnsi="Arial" w:cs="Arial"/>
                <w:sz w:val="20"/>
                <w:lang w:val="sv-SE" w:eastAsia="sv-SE"/>
              </w:rPr>
              <w:t>TGba editor to make the changes shown in doc.: IEEE 802.11-19/006</w:t>
            </w:r>
            <w:r>
              <w:rPr>
                <w:rFonts w:ascii="Arial" w:hAnsi="Arial" w:cs="Arial"/>
                <w:sz w:val="20"/>
                <w:lang w:val="sv-SE" w:eastAsia="sv-SE"/>
              </w:rPr>
              <w:t>8</w:t>
            </w:r>
            <w:r w:rsidRPr="008A30A4">
              <w:rPr>
                <w:rFonts w:ascii="Arial" w:hAnsi="Arial" w:cs="Arial"/>
                <w:sz w:val="20"/>
                <w:lang w:val="sv-SE" w:eastAsia="sv-SE"/>
              </w:rPr>
              <w:t>r</w:t>
            </w:r>
            <w:r>
              <w:rPr>
                <w:rFonts w:ascii="Arial" w:hAnsi="Arial" w:cs="Arial"/>
                <w:sz w:val="20"/>
                <w:lang w:val="sv-SE" w:eastAsia="sv-SE"/>
              </w:rPr>
              <w:t>0</w:t>
            </w:r>
            <w:r w:rsidRPr="008A30A4">
              <w:rPr>
                <w:rFonts w:ascii="Arial" w:hAnsi="Arial" w:cs="Arial"/>
                <w:sz w:val="20"/>
                <w:lang w:val="sv-SE" w:eastAsia="sv-SE"/>
              </w:rPr>
              <w:t xml:space="preserve"> under all headings that include CID </w:t>
            </w:r>
            <w:r>
              <w:rPr>
                <w:rFonts w:ascii="Arial" w:hAnsi="Arial" w:cs="Arial"/>
                <w:sz w:val="20"/>
                <w:lang w:val="sv-SE" w:eastAsia="sv-SE"/>
              </w:rPr>
              <w:t>1047</w:t>
            </w:r>
            <w:r w:rsidRPr="008A30A4">
              <w:rPr>
                <w:rFonts w:ascii="Arial" w:hAnsi="Arial" w:cs="Arial"/>
                <w:sz w:val="20"/>
                <w:lang w:val="sv-SE" w:eastAsia="sv-SE"/>
              </w:rPr>
              <w:t>.</w:t>
            </w:r>
          </w:p>
        </w:tc>
      </w:tr>
    </w:tbl>
    <w:p w14:paraId="0D9A7214" w14:textId="68C49C1E" w:rsidR="00FC0AD8" w:rsidRDefault="00FC0AD8"/>
    <w:p w14:paraId="59A61F56" w14:textId="550D0A6C" w:rsidR="00FC0AD8" w:rsidRDefault="00FC0AD8"/>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900"/>
        <w:gridCol w:w="900"/>
        <w:gridCol w:w="2679"/>
        <w:gridCol w:w="2678"/>
        <w:gridCol w:w="2678"/>
      </w:tblGrid>
      <w:tr w:rsidR="00FC0AD8" w:rsidRPr="00FC0AD8" w14:paraId="33205300" w14:textId="77777777" w:rsidTr="00FC0AD8">
        <w:trPr>
          <w:trHeight w:val="765"/>
        </w:trPr>
        <w:tc>
          <w:tcPr>
            <w:tcW w:w="580" w:type="dxa"/>
            <w:shd w:val="clear" w:color="auto" w:fill="auto"/>
            <w:hideMark/>
          </w:tcPr>
          <w:p w14:paraId="0F6D49E8"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CID</w:t>
            </w:r>
          </w:p>
        </w:tc>
        <w:tc>
          <w:tcPr>
            <w:tcW w:w="900" w:type="dxa"/>
            <w:shd w:val="clear" w:color="auto" w:fill="auto"/>
            <w:hideMark/>
          </w:tcPr>
          <w:p w14:paraId="6EB8F7F6"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Page</w:t>
            </w:r>
          </w:p>
        </w:tc>
        <w:tc>
          <w:tcPr>
            <w:tcW w:w="900" w:type="dxa"/>
            <w:shd w:val="clear" w:color="auto" w:fill="auto"/>
            <w:hideMark/>
          </w:tcPr>
          <w:p w14:paraId="490D786D"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Clause</w:t>
            </w:r>
          </w:p>
        </w:tc>
        <w:tc>
          <w:tcPr>
            <w:tcW w:w="2680" w:type="dxa"/>
            <w:shd w:val="clear" w:color="auto" w:fill="auto"/>
            <w:hideMark/>
          </w:tcPr>
          <w:p w14:paraId="24D1C258"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Comment</w:t>
            </w:r>
          </w:p>
        </w:tc>
        <w:tc>
          <w:tcPr>
            <w:tcW w:w="2680" w:type="dxa"/>
            <w:shd w:val="clear" w:color="auto" w:fill="auto"/>
            <w:hideMark/>
          </w:tcPr>
          <w:p w14:paraId="1E196E28"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Proposed Change</w:t>
            </w:r>
          </w:p>
        </w:tc>
        <w:tc>
          <w:tcPr>
            <w:tcW w:w="2680" w:type="dxa"/>
            <w:shd w:val="clear" w:color="auto" w:fill="auto"/>
            <w:hideMark/>
          </w:tcPr>
          <w:p w14:paraId="50A3B33F"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Resolution</w:t>
            </w:r>
          </w:p>
        </w:tc>
      </w:tr>
      <w:tr w:rsidR="00FC0AD8" w:rsidRPr="00FC0AD8" w14:paraId="351B7218" w14:textId="77777777" w:rsidTr="00FC0AD8">
        <w:trPr>
          <w:trHeight w:val="5355"/>
        </w:trPr>
        <w:tc>
          <w:tcPr>
            <w:tcW w:w="580" w:type="dxa"/>
            <w:shd w:val="clear" w:color="auto" w:fill="auto"/>
            <w:hideMark/>
          </w:tcPr>
          <w:p w14:paraId="7A1CFC0A"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1049</w:t>
            </w:r>
          </w:p>
        </w:tc>
        <w:tc>
          <w:tcPr>
            <w:tcW w:w="900" w:type="dxa"/>
            <w:shd w:val="clear" w:color="auto" w:fill="auto"/>
            <w:hideMark/>
          </w:tcPr>
          <w:p w14:paraId="44FE120E"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70.46</w:t>
            </w:r>
          </w:p>
        </w:tc>
        <w:tc>
          <w:tcPr>
            <w:tcW w:w="900" w:type="dxa"/>
            <w:shd w:val="clear" w:color="auto" w:fill="auto"/>
            <w:hideMark/>
          </w:tcPr>
          <w:p w14:paraId="620777D4"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32.2.3</w:t>
            </w:r>
          </w:p>
        </w:tc>
        <w:tc>
          <w:tcPr>
            <w:tcW w:w="2680" w:type="dxa"/>
            <w:shd w:val="clear" w:color="auto" w:fill="auto"/>
            <w:hideMark/>
          </w:tcPr>
          <w:p w14:paraId="538CEA90"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In the following sentence, it is not clear if the On-WG corresponds to LDR On-WG or HDR On-WG, and how this will be determined: "Each coded bit is then used to switch between the On waveform generator (On-WG) and the Off waveform generator (Off-WG)."</w:t>
            </w:r>
            <w:r w:rsidRPr="00FC0AD8">
              <w:rPr>
                <w:rFonts w:ascii="Arial" w:hAnsi="Arial" w:cs="Arial"/>
                <w:sz w:val="20"/>
                <w:lang w:val="sv-SE" w:eastAsia="sv-SE"/>
              </w:rPr>
              <w:br/>
            </w:r>
            <w:r w:rsidRPr="00FC0AD8">
              <w:rPr>
                <w:rFonts w:ascii="Arial" w:hAnsi="Arial" w:cs="Arial"/>
                <w:sz w:val="20"/>
                <w:lang w:val="sv-SE" w:eastAsia="sv-SE"/>
              </w:rPr>
              <w:br/>
              <w:t>Rephrase the sentence as follows: "Each coded bit is then used to switch between the HDR On waveform generator (On-WG_{HDR}), LDR On waveform generator (On-WG_{LDR}) and the Off waveform generator (Off-WG), depending on the WUR_DATARATE"</w:t>
            </w:r>
          </w:p>
        </w:tc>
        <w:tc>
          <w:tcPr>
            <w:tcW w:w="2680" w:type="dxa"/>
            <w:shd w:val="clear" w:color="auto" w:fill="auto"/>
            <w:hideMark/>
          </w:tcPr>
          <w:p w14:paraId="600F7B64"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As shown in the comment.</w:t>
            </w:r>
          </w:p>
        </w:tc>
        <w:tc>
          <w:tcPr>
            <w:tcW w:w="2680" w:type="dxa"/>
            <w:shd w:val="clear" w:color="auto" w:fill="auto"/>
            <w:hideMark/>
          </w:tcPr>
          <w:p w14:paraId="1775CDE6" w14:textId="77777777" w:rsidR="00FC0AD8" w:rsidRDefault="00AA67EE" w:rsidP="00FC0AD8">
            <w:pPr>
              <w:rPr>
                <w:rFonts w:ascii="Arial" w:hAnsi="Arial" w:cs="Arial"/>
                <w:sz w:val="20"/>
                <w:lang w:val="sv-SE" w:eastAsia="sv-SE"/>
              </w:rPr>
            </w:pPr>
            <w:r>
              <w:rPr>
                <w:rFonts w:ascii="Arial" w:hAnsi="Arial" w:cs="Arial"/>
                <w:sz w:val="20"/>
                <w:lang w:val="sv-SE" w:eastAsia="sv-SE"/>
              </w:rPr>
              <w:t>Revised.</w:t>
            </w:r>
          </w:p>
          <w:p w14:paraId="52B17558" w14:textId="77777777" w:rsidR="00FA629E" w:rsidRDefault="00FA629E" w:rsidP="00FC0AD8">
            <w:pPr>
              <w:rPr>
                <w:rFonts w:ascii="Arial" w:hAnsi="Arial" w:cs="Arial"/>
                <w:sz w:val="20"/>
                <w:lang w:val="sv-SE" w:eastAsia="sv-SE"/>
              </w:rPr>
            </w:pPr>
          </w:p>
          <w:p w14:paraId="5786C961" w14:textId="77777777" w:rsidR="00FA629E" w:rsidRDefault="00FA629E" w:rsidP="00FC0AD8">
            <w:pPr>
              <w:rPr>
                <w:rFonts w:ascii="Arial" w:hAnsi="Arial" w:cs="Arial"/>
                <w:sz w:val="20"/>
                <w:lang w:val="sv-SE" w:eastAsia="sv-SE"/>
              </w:rPr>
            </w:pPr>
            <w:r>
              <w:rPr>
                <w:rFonts w:ascii="Arial" w:hAnsi="Arial" w:cs="Arial"/>
                <w:sz w:val="20"/>
                <w:lang w:val="sv-SE" w:eastAsia="sv-SE"/>
              </w:rPr>
              <w:t>Added a better description when WG-On and WG-Off are introduced solving this problem.</w:t>
            </w:r>
          </w:p>
          <w:p w14:paraId="38D922D3" w14:textId="77777777" w:rsidR="008A30A4" w:rsidRDefault="008A30A4" w:rsidP="00FC0AD8">
            <w:pPr>
              <w:rPr>
                <w:rFonts w:ascii="Arial" w:hAnsi="Arial" w:cs="Arial"/>
                <w:sz w:val="20"/>
                <w:lang w:val="sv-SE" w:eastAsia="sv-SE"/>
              </w:rPr>
            </w:pPr>
          </w:p>
          <w:p w14:paraId="4CFD8671" w14:textId="11E3B51A" w:rsidR="008A30A4" w:rsidRPr="00FC0AD8" w:rsidRDefault="008A30A4" w:rsidP="00FC0AD8">
            <w:pPr>
              <w:rPr>
                <w:rFonts w:ascii="Arial" w:hAnsi="Arial" w:cs="Arial"/>
                <w:sz w:val="20"/>
                <w:lang w:val="sv-SE" w:eastAsia="sv-SE"/>
              </w:rPr>
            </w:pPr>
            <w:r w:rsidRPr="008A30A4">
              <w:rPr>
                <w:rFonts w:ascii="Arial" w:hAnsi="Arial" w:cs="Arial"/>
                <w:sz w:val="20"/>
                <w:lang w:val="sv-SE" w:eastAsia="sv-SE"/>
              </w:rPr>
              <w:t>TGba editor to make the changes shown in doc.: IEEE 802.11-19/006</w:t>
            </w:r>
            <w:r>
              <w:rPr>
                <w:rFonts w:ascii="Arial" w:hAnsi="Arial" w:cs="Arial"/>
                <w:sz w:val="20"/>
                <w:lang w:val="sv-SE" w:eastAsia="sv-SE"/>
              </w:rPr>
              <w:t>8</w:t>
            </w:r>
            <w:r w:rsidRPr="008A30A4">
              <w:rPr>
                <w:rFonts w:ascii="Arial" w:hAnsi="Arial" w:cs="Arial"/>
                <w:sz w:val="20"/>
                <w:lang w:val="sv-SE" w:eastAsia="sv-SE"/>
              </w:rPr>
              <w:t>r</w:t>
            </w:r>
            <w:r>
              <w:rPr>
                <w:rFonts w:ascii="Arial" w:hAnsi="Arial" w:cs="Arial"/>
                <w:sz w:val="20"/>
                <w:lang w:val="sv-SE" w:eastAsia="sv-SE"/>
              </w:rPr>
              <w:t>0</w:t>
            </w:r>
            <w:r w:rsidRPr="008A30A4">
              <w:rPr>
                <w:rFonts w:ascii="Arial" w:hAnsi="Arial" w:cs="Arial"/>
                <w:sz w:val="20"/>
                <w:lang w:val="sv-SE" w:eastAsia="sv-SE"/>
              </w:rPr>
              <w:t xml:space="preserve"> under all headings that include CID </w:t>
            </w:r>
            <w:r>
              <w:rPr>
                <w:rFonts w:ascii="Arial" w:hAnsi="Arial" w:cs="Arial"/>
                <w:sz w:val="20"/>
                <w:lang w:val="sv-SE" w:eastAsia="sv-SE"/>
              </w:rPr>
              <w:t>1049</w:t>
            </w:r>
            <w:r w:rsidRPr="008A30A4">
              <w:rPr>
                <w:rFonts w:ascii="Arial" w:hAnsi="Arial" w:cs="Arial"/>
                <w:sz w:val="20"/>
                <w:lang w:val="sv-SE" w:eastAsia="sv-SE"/>
              </w:rPr>
              <w:t>.</w:t>
            </w:r>
          </w:p>
        </w:tc>
      </w:tr>
    </w:tbl>
    <w:p w14:paraId="7055A573" w14:textId="78F4E2C6" w:rsidR="00FC0AD8" w:rsidRDefault="00FC0AD8"/>
    <w:p w14:paraId="65ACC0E3" w14:textId="2F70A127" w:rsidR="00FC0AD8" w:rsidRDefault="00FC0AD8"/>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900"/>
        <w:gridCol w:w="900"/>
        <w:gridCol w:w="2678"/>
        <w:gridCol w:w="2678"/>
        <w:gridCol w:w="2679"/>
      </w:tblGrid>
      <w:tr w:rsidR="00FC0AD8" w:rsidRPr="00FC0AD8" w14:paraId="4CA212C5" w14:textId="77777777" w:rsidTr="00FC0AD8">
        <w:trPr>
          <w:trHeight w:val="765"/>
        </w:trPr>
        <w:tc>
          <w:tcPr>
            <w:tcW w:w="580" w:type="dxa"/>
            <w:shd w:val="clear" w:color="auto" w:fill="auto"/>
            <w:hideMark/>
          </w:tcPr>
          <w:p w14:paraId="0A545509"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CID</w:t>
            </w:r>
          </w:p>
        </w:tc>
        <w:tc>
          <w:tcPr>
            <w:tcW w:w="900" w:type="dxa"/>
            <w:shd w:val="clear" w:color="auto" w:fill="auto"/>
            <w:hideMark/>
          </w:tcPr>
          <w:p w14:paraId="604EEF64"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Page</w:t>
            </w:r>
          </w:p>
        </w:tc>
        <w:tc>
          <w:tcPr>
            <w:tcW w:w="900" w:type="dxa"/>
            <w:shd w:val="clear" w:color="auto" w:fill="auto"/>
            <w:hideMark/>
          </w:tcPr>
          <w:p w14:paraId="4F42C736"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Clause</w:t>
            </w:r>
          </w:p>
        </w:tc>
        <w:tc>
          <w:tcPr>
            <w:tcW w:w="2680" w:type="dxa"/>
            <w:shd w:val="clear" w:color="auto" w:fill="auto"/>
            <w:hideMark/>
          </w:tcPr>
          <w:p w14:paraId="4FE1546F"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Comment</w:t>
            </w:r>
          </w:p>
        </w:tc>
        <w:tc>
          <w:tcPr>
            <w:tcW w:w="2680" w:type="dxa"/>
            <w:shd w:val="clear" w:color="auto" w:fill="auto"/>
            <w:hideMark/>
          </w:tcPr>
          <w:p w14:paraId="1270FCCB"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Proposed Change</w:t>
            </w:r>
          </w:p>
        </w:tc>
        <w:tc>
          <w:tcPr>
            <w:tcW w:w="2680" w:type="dxa"/>
            <w:shd w:val="clear" w:color="auto" w:fill="auto"/>
            <w:hideMark/>
          </w:tcPr>
          <w:p w14:paraId="139EC2C1"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Resolution</w:t>
            </w:r>
          </w:p>
        </w:tc>
      </w:tr>
      <w:tr w:rsidR="00FC0AD8" w:rsidRPr="00FC0AD8" w14:paraId="6992BAFE" w14:textId="77777777" w:rsidTr="00FC0AD8">
        <w:trPr>
          <w:trHeight w:val="1020"/>
        </w:trPr>
        <w:tc>
          <w:tcPr>
            <w:tcW w:w="580" w:type="dxa"/>
            <w:shd w:val="clear" w:color="auto" w:fill="auto"/>
            <w:hideMark/>
          </w:tcPr>
          <w:p w14:paraId="00B6F34D"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1153</w:t>
            </w:r>
          </w:p>
        </w:tc>
        <w:tc>
          <w:tcPr>
            <w:tcW w:w="900" w:type="dxa"/>
            <w:shd w:val="clear" w:color="auto" w:fill="auto"/>
            <w:hideMark/>
          </w:tcPr>
          <w:p w14:paraId="05A07B63"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69.43</w:t>
            </w:r>
          </w:p>
        </w:tc>
        <w:tc>
          <w:tcPr>
            <w:tcW w:w="900" w:type="dxa"/>
            <w:shd w:val="clear" w:color="auto" w:fill="auto"/>
            <w:hideMark/>
          </w:tcPr>
          <w:p w14:paraId="78AA3118"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32.2.3</w:t>
            </w:r>
          </w:p>
        </w:tc>
        <w:tc>
          <w:tcPr>
            <w:tcW w:w="2680" w:type="dxa"/>
            <w:shd w:val="clear" w:color="auto" w:fill="auto"/>
            <w:hideMark/>
          </w:tcPr>
          <w:p w14:paraId="342A70E5"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In addition to the Figure 32-4 and Figure 32-5, sub-clause 32.2.3.1 to 32.2.3.4 are all examples.</w:t>
            </w:r>
          </w:p>
        </w:tc>
        <w:tc>
          <w:tcPr>
            <w:tcW w:w="2680" w:type="dxa"/>
            <w:shd w:val="clear" w:color="auto" w:fill="auto"/>
            <w:hideMark/>
          </w:tcPr>
          <w:p w14:paraId="5B39CF7D"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As in comment.</w:t>
            </w:r>
          </w:p>
        </w:tc>
        <w:tc>
          <w:tcPr>
            <w:tcW w:w="2680" w:type="dxa"/>
            <w:shd w:val="clear" w:color="auto" w:fill="auto"/>
            <w:hideMark/>
          </w:tcPr>
          <w:p w14:paraId="1D78DEA5" w14:textId="77777777" w:rsidR="00FC0AD8" w:rsidRDefault="00AA67EE" w:rsidP="00FC0AD8">
            <w:pPr>
              <w:rPr>
                <w:rFonts w:ascii="Arial" w:hAnsi="Arial" w:cs="Arial"/>
                <w:sz w:val="20"/>
                <w:lang w:val="sv-SE" w:eastAsia="sv-SE"/>
              </w:rPr>
            </w:pPr>
            <w:r>
              <w:rPr>
                <w:rFonts w:ascii="Arial" w:hAnsi="Arial" w:cs="Arial"/>
                <w:sz w:val="20"/>
                <w:lang w:val="sv-SE" w:eastAsia="sv-SE"/>
              </w:rPr>
              <w:t>Accepted.</w:t>
            </w:r>
          </w:p>
          <w:p w14:paraId="0B41D86C" w14:textId="77777777" w:rsidR="008A30A4" w:rsidRDefault="008A30A4" w:rsidP="00FC0AD8">
            <w:pPr>
              <w:rPr>
                <w:rFonts w:ascii="Arial" w:hAnsi="Arial" w:cs="Arial"/>
                <w:sz w:val="20"/>
                <w:lang w:val="sv-SE" w:eastAsia="sv-SE"/>
              </w:rPr>
            </w:pPr>
          </w:p>
          <w:p w14:paraId="53D9E77E" w14:textId="4FB862BE" w:rsidR="008A30A4" w:rsidRPr="00FC0AD8" w:rsidRDefault="008A30A4" w:rsidP="00FC0AD8">
            <w:pPr>
              <w:rPr>
                <w:rFonts w:ascii="Arial" w:hAnsi="Arial" w:cs="Arial"/>
                <w:sz w:val="20"/>
                <w:lang w:val="sv-SE" w:eastAsia="sv-SE"/>
              </w:rPr>
            </w:pPr>
            <w:r w:rsidRPr="008A30A4">
              <w:rPr>
                <w:rFonts w:ascii="Arial" w:hAnsi="Arial" w:cs="Arial"/>
                <w:sz w:val="20"/>
                <w:lang w:val="sv-SE" w:eastAsia="sv-SE"/>
              </w:rPr>
              <w:t>TGba editor to make the changes shown in doc.: IEEE 802.11-19/006</w:t>
            </w:r>
            <w:r>
              <w:rPr>
                <w:rFonts w:ascii="Arial" w:hAnsi="Arial" w:cs="Arial"/>
                <w:sz w:val="20"/>
                <w:lang w:val="sv-SE" w:eastAsia="sv-SE"/>
              </w:rPr>
              <w:t>8</w:t>
            </w:r>
            <w:r w:rsidRPr="008A30A4">
              <w:rPr>
                <w:rFonts w:ascii="Arial" w:hAnsi="Arial" w:cs="Arial"/>
                <w:sz w:val="20"/>
                <w:lang w:val="sv-SE" w:eastAsia="sv-SE"/>
              </w:rPr>
              <w:t>r</w:t>
            </w:r>
            <w:r>
              <w:rPr>
                <w:rFonts w:ascii="Arial" w:hAnsi="Arial" w:cs="Arial"/>
                <w:sz w:val="20"/>
                <w:lang w:val="sv-SE" w:eastAsia="sv-SE"/>
              </w:rPr>
              <w:t>0</w:t>
            </w:r>
            <w:r w:rsidRPr="008A30A4">
              <w:rPr>
                <w:rFonts w:ascii="Arial" w:hAnsi="Arial" w:cs="Arial"/>
                <w:sz w:val="20"/>
                <w:lang w:val="sv-SE" w:eastAsia="sv-SE"/>
              </w:rPr>
              <w:t xml:space="preserve"> under all headings that include CID </w:t>
            </w:r>
            <w:r>
              <w:rPr>
                <w:rFonts w:ascii="Arial" w:hAnsi="Arial" w:cs="Arial"/>
                <w:sz w:val="20"/>
                <w:lang w:val="sv-SE" w:eastAsia="sv-SE"/>
              </w:rPr>
              <w:t>1</w:t>
            </w:r>
            <w:r>
              <w:rPr>
                <w:rFonts w:ascii="Arial" w:hAnsi="Arial" w:cs="Arial"/>
                <w:sz w:val="20"/>
                <w:lang w:val="sv-SE" w:eastAsia="sv-SE"/>
              </w:rPr>
              <w:t>153</w:t>
            </w:r>
            <w:r w:rsidRPr="008A30A4">
              <w:rPr>
                <w:rFonts w:ascii="Arial" w:hAnsi="Arial" w:cs="Arial"/>
                <w:sz w:val="20"/>
                <w:lang w:val="sv-SE" w:eastAsia="sv-SE"/>
              </w:rPr>
              <w:t>.</w:t>
            </w:r>
          </w:p>
        </w:tc>
      </w:tr>
    </w:tbl>
    <w:p w14:paraId="0EE32319" w14:textId="3D1C8388" w:rsidR="00FC0AD8" w:rsidRDefault="00FC0AD8"/>
    <w:p w14:paraId="09EEC968" w14:textId="28B15BD2" w:rsidR="00FC0AD8" w:rsidRDefault="00FC0AD8"/>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900"/>
        <w:gridCol w:w="900"/>
        <w:gridCol w:w="2678"/>
        <w:gridCol w:w="2678"/>
        <w:gridCol w:w="2679"/>
      </w:tblGrid>
      <w:tr w:rsidR="00FC0AD8" w:rsidRPr="00FC0AD8" w14:paraId="78456A55" w14:textId="77777777" w:rsidTr="00FC0AD8">
        <w:trPr>
          <w:trHeight w:val="765"/>
        </w:trPr>
        <w:tc>
          <w:tcPr>
            <w:tcW w:w="580" w:type="dxa"/>
            <w:shd w:val="clear" w:color="auto" w:fill="auto"/>
            <w:hideMark/>
          </w:tcPr>
          <w:p w14:paraId="64B96421"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CID</w:t>
            </w:r>
          </w:p>
        </w:tc>
        <w:tc>
          <w:tcPr>
            <w:tcW w:w="900" w:type="dxa"/>
            <w:shd w:val="clear" w:color="auto" w:fill="auto"/>
            <w:hideMark/>
          </w:tcPr>
          <w:p w14:paraId="37432D64"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Page</w:t>
            </w:r>
          </w:p>
        </w:tc>
        <w:tc>
          <w:tcPr>
            <w:tcW w:w="900" w:type="dxa"/>
            <w:shd w:val="clear" w:color="auto" w:fill="auto"/>
            <w:hideMark/>
          </w:tcPr>
          <w:p w14:paraId="27312248"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Clause</w:t>
            </w:r>
          </w:p>
        </w:tc>
        <w:tc>
          <w:tcPr>
            <w:tcW w:w="2680" w:type="dxa"/>
            <w:shd w:val="clear" w:color="auto" w:fill="auto"/>
            <w:hideMark/>
          </w:tcPr>
          <w:p w14:paraId="22FCEC8A"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Comment</w:t>
            </w:r>
          </w:p>
        </w:tc>
        <w:tc>
          <w:tcPr>
            <w:tcW w:w="2680" w:type="dxa"/>
            <w:shd w:val="clear" w:color="auto" w:fill="auto"/>
            <w:hideMark/>
          </w:tcPr>
          <w:p w14:paraId="5C0B2F71"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Proposed Change</w:t>
            </w:r>
          </w:p>
        </w:tc>
        <w:tc>
          <w:tcPr>
            <w:tcW w:w="2680" w:type="dxa"/>
            <w:shd w:val="clear" w:color="auto" w:fill="auto"/>
            <w:hideMark/>
          </w:tcPr>
          <w:p w14:paraId="3427DC91"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Resolution</w:t>
            </w:r>
          </w:p>
        </w:tc>
      </w:tr>
      <w:tr w:rsidR="00FC0AD8" w:rsidRPr="00FC0AD8" w14:paraId="56F908E2" w14:textId="77777777" w:rsidTr="00FC0AD8">
        <w:trPr>
          <w:trHeight w:val="765"/>
        </w:trPr>
        <w:tc>
          <w:tcPr>
            <w:tcW w:w="580" w:type="dxa"/>
            <w:shd w:val="clear" w:color="auto" w:fill="auto"/>
            <w:hideMark/>
          </w:tcPr>
          <w:p w14:paraId="1A0D3FE8"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1199</w:t>
            </w:r>
          </w:p>
        </w:tc>
        <w:tc>
          <w:tcPr>
            <w:tcW w:w="900" w:type="dxa"/>
            <w:shd w:val="clear" w:color="auto" w:fill="auto"/>
            <w:hideMark/>
          </w:tcPr>
          <w:p w14:paraId="09597908"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71.31</w:t>
            </w:r>
          </w:p>
        </w:tc>
        <w:tc>
          <w:tcPr>
            <w:tcW w:w="900" w:type="dxa"/>
            <w:shd w:val="clear" w:color="auto" w:fill="auto"/>
            <w:hideMark/>
          </w:tcPr>
          <w:p w14:paraId="4884E1E7"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32.2.3.1</w:t>
            </w:r>
          </w:p>
        </w:tc>
        <w:tc>
          <w:tcPr>
            <w:tcW w:w="2680" w:type="dxa"/>
            <w:shd w:val="clear" w:color="auto" w:fill="auto"/>
            <w:hideMark/>
          </w:tcPr>
          <w:p w14:paraId="2CDB2506"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use subcarrier "indices" with math symbol by using k instead of (-5, ... 5).</w:t>
            </w:r>
          </w:p>
        </w:tc>
        <w:tc>
          <w:tcPr>
            <w:tcW w:w="2680" w:type="dxa"/>
            <w:shd w:val="clear" w:color="auto" w:fill="auto"/>
            <w:hideMark/>
          </w:tcPr>
          <w:p w14:paraId="6E28234E"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as in comment</w:t>
            </w:r>
          </w:p>
        </w:tc>
        <w:tc>
          <w:tcPr>
            <w:tcW w:w="2680" w:type="dxa"/>
            <w:shd w:val="clear" w:color="auto" w:fill="auto"/>
            <w:hideMark/>
          </w:tcPr>
          <w:p w14:paraId="34415688" w14:textId="77777777" w:rsidR="00FC0AD8" w:rsidRDefault="00FA629E" w:rsidP="00FC0AD8">
            <w:pPr>
              <w:rPr>
                <w:rFonts w:ascii="Arial" w:hAnsi="Arial" w:cs="Arial"/>
                <w:sz w:val="20"/>
                <w:lang w:val="sv-SE" w:eastAsia="sv-SE"/>
              </w:rPr>
            </w:pPr>
            <w:r>
              <w:rPr>
                <w:rFonts w:ascii="Arial" w:hAnsi="Arial" w:cs="Arial"/>
                <w:sz w:val="20"/>
                <w:lang w:val="sv-SE" w:eastAsia="sv-SE"/>
              </w:rPr>
              <w:t>Revised.</w:t>
            </w:r>
          </w:p>
          <w:p w14:paraId="529598FB" w14:textId="77777777" w:rsidR="00FA629E" w:rsidRDefault="00FA629E" w:rsidP="00FC0AD8">
            <w:pPr>
              <w:rPr>
                <w:rFonts w:ascii="Arial" w:hAnsi="Arial" w:cs="Arial"/>
                <w:sz w:val="20"/>
                <w:lang w:val="sv-SE" w:eastAsia="sv-SE"/>
              </w:rPr>
            </w:pPr>
          </w:p>
          <w:p w14:paraId="732238F1" w14:textId="77777777" w:rsidR="00FA629E" w:rsidRDefault="00FA629E" w:rsidP="00FC0AD8">
            <w:pPr>
              <w:rPr>
                <w:rFonts w:ascii="Arial" w:hAnsi="Arial" w:cs="Arial"/>
                <w:sz w:val="20"/>
                <w:lang w:val="sv-SE" w:eastAsia="sv-SE"/>
              </w:rPr>
            </w:pPr>
            <w:r>
              <w:rPr>
                <w:rFonts w:ascii="Arial" w:hAnsi="Arial" w:cs="Arial"/>
                <w:sz w:val="20"/>
                <w:lang w:val="sv-SE" w:eastAsia="sv-SE"/>
              </w:rPr>
              <w:t>Accepted but modified on other places as well.</w:t>
            </w:r>
          </w:p>
          <w:p w14:paraId="38AA71AB" w14:textId="77777777" w:rsidR="008A30A4" w:rsidRDefault="008A30A4" w:rsidP="00FC0AD8">
            <w:pPr>
              <w:rPr>
                <w:rFonts w:ascii="Arial" w:hAnsi="Arial" w:cs="Arial"/>
                <w:sz w:val="20"/>
                <w:lang w:val="sv-SE" w:eastAsia="sv-SE"/>
              </w:rPr>
            </w:pPr>
          </w:p>
          <w:p w14:paraId="14DF5628" w14:textId="2339F23D" w:rsidR="008A30A4" w:rsidRPr="00FC0AD8" w:rsidRDefault="008A30A4" w:rsidP="00FC0AD8">
            <w:pPr>
              <w:rPr>
                <w:rFonts w:ascii="Arial" w:hAnsi="Arial" w:cs="Arial"/>
                <w:sz w:val="20"/>
                <w:lang w:val="sv-SE" w:eastAsia="sv-SE"/>
              </w:rPr>
            </w:pPr>
            <w:r w:rsidRPr="008A30A4">
              <w:rPr>
                <w:rFonts w:ascii="Arial" w:hAnsi="Arial" w:cs="Arial"/>
                <w:sz w:val="20"/>
                <w:lang w:val="sv-SE" w:eastAsia="sv-SE"/>
              </w:rPr>
              <w:t>TGba editor to make the changes shown in doc.: IEEE 802.11-19/006</w:t>
            </w:r>
            <w:r>
              <w:rPr>
                <w:rFonts w:ascii="Arial" w:hAnsi="Arial" w:cs="Arial"/>
                <w:sz w:val="20"/>
                <w:lang w:val="sv-SE" w:eastAsia="sv-SE"/>
              </w:rPr>
              <w:t>8</w:t>
            </w:r>
            <w:r w:rsidRPr="008A30A4">
              <w:rPr>
                <w:rFonts w:ascii="Arial" w:hAnsi="Arial" w:cs="Arial"/>
                <w:sz w:val="20"/>
                <w:lang w:val="sv-SE" w:eastAsia="sv-SE"/>
              </w:rPr>
              <w:t>r</w:t>
            </w:r>
            <w:r>
              <w:rPr>
                <w:rFonts w:ascii="Arial" w:hAnsi="Arial" w:cs="Arial"/>
                <w:sz w:val="20"/>
                <w:lang w:val="sv-SE" w:eastAsia="sv-SE"/>
              </w:rPr>
              <w:t>0</w:t>
            </w:r>
            <w:r w:rsidRPr="008A30A4">
              <w:rPr>
                <w:rFonts w:ascii="Arial" w:hAnsi="Arial" w:cs="Arial"/>
                <w:sz w:val="20"/>
                <w:lang w:val="sv-SE" w:eastAsia="sv-SE"/>
              </w:rPr>
              <w:t xml:space="preserve"> under all headings that include CID </w:t>
            </w:r>
            <w:r>
              <w:rPr>
                <w:rFonts w:ascii="Arial" w:hAnsi="Arial" w:cs="Arial"/>
                <w:sz w:val="20"/>
                <w:lang w:val="sv-SE" w:eastAsia="sv-SE"/>
              </w:rPr>
              <w:t>1199</w:t>
            </w:r>
            <w:r w:rsidRPr="008A30A4">
              <w:rPr>
                <w:rFonts w:ascii="Arial" w:hAnsi="Arial" w:cs="Arial"/>
                <w:sz w:val="20"/>
                <w:lang w:val="sv-SE" w:eastAsia="sv-SE"/>
              </w:rPr>
              <w:t>.</w:t>
            </w:r>
          </w:p>
        </w:tc>
      </w:tr>
    </w:tbl>
    <w:p w14:paraId="371C543E" w14:textId="77777777" w:rsidR="00FC0AD8" w:rsidRDefault="00FC0AD8"/>
    <w:p w14:paraId="559EA7E0" w14:textId="51E19DA2" w:rsidR="00FC0AD8" w:rsidRPr="00A0363F" w:rsidRDefault="00A0363F">
      <w:pPr>
        <w:rPr>
          <w:b/>
          <w:i/>
          <w:color w:val="C00000"/>
        </w:rPr>
      </w:pPr>
      <w:proofErr w:type="spellStart"/>
      <w:r w:rsidRPr="00A0363F">
        <w:rPr>
          <w:b/>
          <w:i/>
          <w:color w:val="C00000"/>
          <w:highlight w:val="yellow"/>
        </w:rPr>
        <w:lastRenderedPageBreak/>
        <w:t>TGba</w:t>
      </w:r>
      <w:proofErr w:type="spellEnd"/>
      <w:r w:rsidRPr="00A0363F">
        <w:rPr>
          <w:b/>
          <w:i/>
          <w:color w:val="C00000"/>
          <w:highlight w:val="yellow"/>
        </w:rPr>
        <w:t xml:space="preserve"> Editor: Change the following sentences in</w:t>
      </w:r>
      <w:r w:rsidR="008A30A4">
        <w:rPr>
          <w:b/>
          <w:i/>
          <w:color w:val="C00000"/>
          <w:highlight w:val="yellow"/>
        </w:rPr>
        <w:t xml:space="preserve"> P73L41-50</w:t>
      </w:r>
      <w:r w:rsidRPr="00A0363F">
        <w:rPr>
          <w:b/>
          <w:i/>
          <w:color w:val="C00000"/>
          <w:highlight w:val="yellow"/>
        </w:rPr>
        <w:t xml:space="preserve"> in </w:t>
      </w:r>
      <w:proofErr w:type="spellStart"/>
      <w:r w:rsidRPr="00A0363F">
        <w:rPr>
          <w:b/>
          <w:i/>
          <w:color w:val="C00000"/>
          <w:highlight w:val="yellow"/>
        </w:rPr>
        <w:t>TGba</w:t>
      </w:r>
      <w:proofErr w:type="spellEnd"/>
      <w:r w:rsidRPr="00A0363F">
        <w:rPr>
          <w:b/>
          <w:i/>
          <w:color w:val="C00000"/>
          <w:highlight w:val="yellow"/>
        </w:rPr>
        <w:t xml:space="preserve"> Draft 1.1 as follows</w:t>
      </w:r>
      <w:ins w:id="1" w:author="Dennis Sundman" w:date="2019-01-13T12:50:00Z">
        <w:r w:rsidR="00A3595B">
          <w:rPr>
            <w:b/>
            <w:i/>
            <w:color w:val="C00000"/>
            <w:highlight w:val="yellow"/>
          </w:rPr>
          <w:t xml:space="preserve"> (#185, #1153)</w:t>
        </w:r>
      </w:ins>
      <w:r w:rsidRPr="00A0363F">
        <w:rPr>
          <w:b/>
          <w:i/>
          <w:color w:val="C00000"/>
          <w:highlight w:val="yellow"/>
        </w:rPr>
        <w:t>:</w:t>
      </w:r>
    </w:p>
    <w:p w14:paraId="6F80FAB6" w14:textId="77777777" w:rsidR="00A0363F" w:rsidRDefault="00A0363F" w:rsidP="00A0363F">
      <w:pPr>
        <w:pStyle w:val="H3"/>
        <w:numPr>
          <w:ilvl w:val="0"/>
          <w:numId w:val="2"/>
        </w:numPr>
        <w:rPr>
          <w:w w:val="100"/>
        </w:rPr>
      </w:pPr>
      <w:bookmarkStart w:id="2" w:name="RTF32343832313a2048332c312e"/>
      <w:r>
        <w:rPr>
          <w:w w:val="100"/>
        </w:rPr>
        <w:t>Transmitter block diagram</w:t>
      </w:r>
      <w:bookmarkEnd w:id="2"/>
    </w:p>
    <w:p w14:paraId="421F0058" w14:textId="77777777" w:rsidR="00A0363F" w:rsidDel="00EA669B" w:rsidRDefault="00A0363F" w:rsidP="00A0363F">
      <w:pPr>
        <w:pStyle w:val="T"/>
        <w:suppressAutoHyphens/>
        <w:spacing w:line="240" w:lineRule="auto"/>
        <w:rPr>
          <w:del w:id="3" w:author="Dennis Sundman" w:date="2019-01-11T15:40:00Z"/>
          <w:w w:val="100"/>
        </w:rPr>
      </w:pPr>
      <w:r>
        <w:rPr>
          <w:w w:val="100"/>
        </w:rPr>
        <w:t xml:space="preserve">The generation of each field in a WUR PPDU can be described with the help of </w:t>
      </w:r>
      <w:proofErr w:type="spellStart"/>
      <w:r>
        <w:rPr>
          <w:w w:val="100"/>
        </w:rPr>
        <w:t>a</w:t>
      </w:r>
    </w:p>
    <w:p w14:paraId="3A5CFCEC" w14:textId="77777777" w:rsidR="00A0363F" w:rsidDel="00EA669B" w:rsidRDefault="00A0363F" w:rsidP="00A0363F">
      <w:pPr>
        <w:pStyle w:val="T"/>
        <w:suppressAutoHyphens/>
        <w:spacing w:line="240" w:lineRule="auto"/>
        <w:rPr>
          <w:del w:id="4" w:author="Dennis Sundman" w:date="2019-01-11T15:40:00Z"/>
          <w:w w:val="100"/>
        </w:rPr>
        <w:pPrChange w:id="5" w:author="Dennis Sundman" w:date="2019-01-11T15:40:00Z">
          <w:pPr>
            <w:pStyle w:val="DL1"/>
            <w:numPr>
              <w:numId w:val="3"/>
            </w:numPr>
            <w:tabs>
              <w:tab w:val="left" w:pos="720"/>
            </w:tabs>
            <w:suppressAutoHyphens/>
          </w:pPr>
        </w:pPrChange>
      </w:pPr>
      <w:del w:id="6" w:author="Dennis Sundman" w:date="2019-01-11T15:40:00Z">
        <w:r w:rsidDel="00EA669B">
          <w:rPr>
            <w:w w:val="100"/>
          </w:rPr>
          <w:delText>Manchester-based encoder</w:delText>
        </w:r>
      </w:del>
    </w:p>
    <w:p w14:paraId="1C5FB21E" w14:textId="77777777" w:rsidR="00A0363F" w:rsidRDefault="00A0363F" w:rsidP="00A0363F">
      <w:pPr>
        <w:pStyle w:val="DL1"/>
        <w:numPr>
          <w:ilvl w:val="0"/>
          <w:numId w:val="1"/>
        </w:numPr>
        <w:ind w:left="640"/>
        <w:rPr>
          <w:w w:val="100"/>
        </w:rPr>
      </w:pPr>
      <w:del w:id="7" w:author="Dennis Sundman" w:date="2019-01-11T15:40:00Z">
        <w:r w:rsidDel="00EA669B">
          <w:rPr>
            <w:w w:val="100"/>
          </w:rPr>
          <w:delText xml:space="preserve">Waveform </w:delText>
        </w:r>
      </w:del>
      <w:ins w:id="8" w:author="Dennis Sundman" w:date="2019-01-11T15:40:00Z">
        <w:r>
          <w:rPr>
            <w:w w:val="100"/>
          </w:rPr>
          <w:t>waveform</w:t>
        </w:r>
        <w:proofErr w:type="spellEnd"/>
        <w:r>
          <w:rPr>
            <w:w w:val="100"/>
          </w:rPr>
          <w:t xml:space="preserve"> </w:t>
        </w:r>
      </w:ins>
      <w:r>
        <w:rPr>
          <w:w w:val="100"/>
        </w:rPr>
        <w:t xml:space="preserve">signal </w:t>
      </w:r>
      <w:del w:id="9" w:author="Dennis Sundman" w:date="2019-01-11T15:40:00Z">
        <w:r w:rsidDel="00EA669B">
          <w:rPr>
            <w:w w:val="100"/>
          </w:rPr>
          <w:delText>generation</w:delText>
        </w:r>
      </w:del>
      <w:ins w:id="10" w:author="Dennis Sundman" w:date="2019-01-11T15:40:00Z">
        <w:r>
          <w:rPr>
            <w:w w:val="100"/>
          </w:rPr>
          <w:t>generator. (#185)</w:t>
        </w:r>
      </w:ins>
    </w:p>
    <w:p w14:paraId="1E40EE36" w14:textId="77777777" w:rsidR="00A0363F" w:rsidRDefault="00A0363F" w:rsidP="00A0363F">
      <w:pPr>
        <w:pStyle w:val="T"/>
        <w:rPr>
          <w:w w:val="100"/>
        </w:rPr>
      </w:pPr>
      <w:r>
        <w:rPr>
          <w:w w:val="100"/>
        </w:rPr>
        <w:t xml:space="preserve">Figure </w:t>
      </w:r>
      <w:r>
        <w:rPr>
          <w:w w:val="100"/>
        </w:rPr>
        <w:fldChar w:fldCharType="begin"/>
      </w:r>
      <w:r>
        <w:rPr>
          <w:w w:val="100"/>
        </w:rPr>
        <w:instrText xml:space="preserve"> REF RTF34343733303a204669675469 \h</w:instrText>
      </w:r>
      <w:r>
        <w:rPr>
          <w:w w:val="100"/>
        </w:rPr>
        <w:fldChar w:fldCharType="separate"/>
      </w:r>
      <w:r>
        <w:rPr>
          <w:w w:val="100"/>
        </w:rPr>
        <w:t>32-4 (An Example of a WUR signal generator for the WUR-Sync field)</w:t>
      </w:r>
      <w:r>
        <w:rPr>
          <w:w w:val="100"/>
        </w:rPr>
        <w:fldChar w:fldCharType="end"/>
      </w:r>
      <w:ins w:id="11" w:author="Dennis Sundman" w:date="2019-01-11T16:04:00Z">
        <w:r>
          <w:rPr>
            <w:w w:val="100"/>
          </w:rPr>
          <w:t>,</w:t>
        </w:r>
      </w:ins>
      <w:r>
        <w:rPr>
          <w:w w:val="100"/>
        </w:rPr>
        <w:t xml:space="preserve"> </w:t>
      </w:r>
      <w:del w:id="12" w:author="Dennis Sundman" w:date="2019-01-11T16:04:00Z">
        <w:r w:rsidDel="00DD0AC7">
          <w:rPr>
            <w:w w:val="100"/>
          </w:rPr>
          <w:delText xml:space="preserve">and </w:delText>
        </w:r>
      </w:del>
      <w:r>
        <w:rPr>
          <w:w w:val="100"/>
        </w:rPr>
        <w:t xml:space="preserve">Figure </w:t>
      </w:r>
      <w:r>
        <w:rPr>
          <w:w w:val="100"/>
        </w:rPr>
        <w:fldChar w:fldCharType="begin"/>
      </w:r>
      <w:r>
        <w:rPr>
          <w:w w:val="100"/>
        </w:rPr>
        <w:instrText xml:space="preserve"> REF  RTF36313536303a204669675469 \h</w:instrText>
      </w:r>
      <w:r>
        <w:rPr>
          <w:w w:val="100"/>
        </w:rPr>
        <w:fldChar w:fldCharType="separate"/>
      </w:r>
      <w:r>
        <w:rPr>
          <w:w w:val="100"/>
        </w:rPr>
        <w:t>32-5 (An Example of a WUR signal generator for the WUR-Data field)</w:t>
      </w:r>
      <w:r>
        <w:rPr>
          <w:w w:val="100"/>
        </w:rPr>
        <w:fldChar w:fldCharType="end"/>
      </w:r>
      <w:ins w:id="13" w:author="Dennis Sundman" w:date="2019-01-11T16:04:00Z">
        <w:r>
          <w:rPr>
            <w:w w:val="100"/>
          </w:rPr>
          <w:t xml:space="preserve">, </w:t>
        </w:r>
      </w:ins>
      <w:ins w:id="14" w:author="Dennis Sundman" w:date="2019-01-11T16:05:00Z">
        <w:r>
          <w:rPr>
            <w:w w:val="100"/>
          </w:rPr>
          <w:t xml:space="preserve">and </w:t>
        </w:r>
      </w:ins>
      <w:ins w:id="15" w:author="Dennis Sundman" w:date="2019-01-11T16:04:00Z">
        <w:r>
          <w:rPr>
            <w:w w:val="100"/>
          </w:rPr>
          <w:t>Section</w:t>
        </w:r>
      </w:ins>
      <w:ins w:id="16" w:author="Dennis Sundman" w:date="2019-01-11T16:05:00Z">
        <w:r>
          <w:rPr>
            <w:w w:val="100"/>
          </w:rPr>
          <w:t>s</w:t>
        </w:r>
      </w:ins>
      <w:ins w:id="17" w:author="Dennis Sundman" w:date="2019-01-11T16:04:00Z">
        <w:r>
          <w:rPr>
            <w:w w:val="100"/>
          </w:rPr>
          <w:t xml:space="preserve"> 32.2.3.1</w:t>
        </w:r>
      </w:ins>
      <w:ins w:id="18" w:author="Dennis Sundman" w:date="2019-01-11T16:05:00Z">
        <w:r>
          <w:rPr>
            <w:w w:val="100"/>
          </w:rPr>
          <w:t xml:space="preserve"> through 32.2.3.4 (#1153)</w:t>
        </w:r>
      </w:ins>
      <w:r>
        <w:rPr>
          <w:w w:val="100"/>
        </w:rPr>
        <w:t xml:space="preserve"> show examples of transmitter block diagrams. The actual structure of the </w:t>
      </w:r>
      <w:del w:id="19" w:author="Dennis Sundman" w:date="2019-01-11T15:40:00Z">
        <w:r w:rsidDel="00EA669B">
          <w:rPr>
            <w:w w:val="100"/>
          </w:rPr>
          <w:delText xml:space="preserve">transmitter </w:delText>
        </w:r>
      </w:del>
      <w:ins w:id="20" w:author="Dennis Sundman" w:date="2019-01-11T15:40:00Z">
        <w:r>
          <w:rPr>
            <w:w w:val="100"/>
          </w:rPr>
          <w:t>wave</w:t>
        </w:r>
      </w:ins>
      <w:ins w:id="21" w:author="Dennis Sundman" w:date="2019-01-11T15:41:00Z">
        <w:r>
          <w:rPr>
            <w:w w:val="100"/>
          </w:rPr>
          <w:t>form generator</w:t>
        </w:r>
      </w:ins>
      <w:ins w:id="22" w:author="Dennis Sundman" w:date="2019-01-11T15:40:00Z">
        <w:r>
          <w:rPr>
            <w:w w:val="100"/>
          </w:rPr>
          <w:t xml:space="preserve"> </w:t>
        </w:r>
      </w:ins>
      <w:r>
        <w:rPr>
          <w:w w:val="100"/>
        </w:rPr>
        <w:t>is implementation dependent. The transmitter block diagrams for L-STF, L-LTF, and L-SIG are described in 21.3.3 (Transmitter block diagram).</w:t>
      </w:r>
    </w:p>
    <w:p w14:paraId="34A03C41" w14:textId="77777777" w:rsidR="008A30A4" w:rsidRDefault="008A30A4">
      <w:pPr>
        <w:rPr>
          <w:ins w:id="23" w:author="Dennis Sundman" w:date="2019-01-13T12:49:00Z"/>
          <w:b/>
          <w:i/>
          <w:color w:val="C00000"/>
          <w:highlight w:val="yellow"/>
        </w:rPr>
      </w:pPr>
    </w:p>
    <w:p w14:paraId="79A95078" w14:textId="0CC5FA57" w:rsidR="00A0363F" w:rsidRPr="00A0363F" w:rsidRDefault="00A0363F">
      <w:pPr>
        <w:rPr>
          <w:b/>
          <w:i/>
          <w:color w:val="C00000"/>
        </w:rPr>
      </w:pPr>
      <w:proofErr w:type="spellStart"/>
      <w:r w:rsidRPr="00A0363F">
        <w:rPr>
          <w:b/>
          <w:i/>
          <w:color w:val="C00000"/>
          <w:highlight w:val="yellow"/>
        </w:rPr>
        <w:t>TGba</w:t>
      </w:r>
      <w:proofErr w:type="spellEnd"/>
      <w:r w:rsidRPr="00A0363F">
        <w:rPr>
          <w:b/>
          <w:i/>
          <w:color w:val="C00000"/>
          <w:highlight w:val="yellow"/>
        </w:rPr>
        <w:t xml:space="preserve"> Editor: </w:t>
      </w:r>
      <w:r w:rsidR="008A30A4">
        <w:rPr>
          <w:b/>
          <w:i/>
          <w:color w:val="C00000"/>
          <w:highlight w:val="yellow"/>
        </w:rPr>
        <w:t>Add</w:t>
      </w:r>
      <w:r w:rsidRPr="00A0363F">
        <w:rPr>
          <w:b/>
          <w:i/>
          <w:color w:val="C00000"/>
          <w:highlight w:val="yellow"/>
        </w:rPr>
        <w:t xml:space="preserve"> the following sentences in </w:t>
      </w:r>
      <w:r w:rsidR="008A30A4">
        <w:rPr>
          <w:b/>
          <w:i/>
          <w:color w:val="C00000"/>
          <w:highlight w:val="yellow"/>
        </w:rPr>
        <w:t xml:space="preserve">P74L24 </w:t>
      </w:r>
      <w:r w:rsidRPr="00A0363F">
        <w:rPr>
          <w:b/>
          <w:i/>
          <w:color w:val="C00000"/>
          <w:highlight w:val="yellow"/>
        </w:rPr>
        <w:t xml:space="preserve">in </w:t>
      </w:r>
      <w:proofErr w:type="spellStart"/>
      <w:r w:rsidRPr="00A0363F">
        <w:rPr>
          <w:b/>
          <w:i/>
          <w:color w:val="C00000"/>
          <w:highlight w:val="yellow"/>
        </w:rPr>
        <w:t>TGba</w:t>
      </w:r>
      <w:proofErr w:type="spellEnd"/>
      <w:r w:rsidRPr="00A0363F">
        <w:rPr>
          <w:b/>
          <w:i/>
          <w:color w:val="C00000"/>
          <w:highlight w:val="yellow"/>
        </w:rPr>
        <w:t xml:space="preserve"> Draft 1.1 as follows</w:t>
      </w:r>
      <w:ins w:id="24" w:author="Dennis Sundman" w:date="2019-01-13T12:50:00Z">
        <w:r w:rsidR="00A3595B">
          <w:rPr>
            <w:b/>
            <w:i/>
            <w:color w:val="C00000"/>
            <w:highlight w:val="yellow"/>
          </w:rPr>
          <w:t xml:space="preserve"> </w:t>
        </w:r>
        <w:r w:rsidR="00A3595B" w:rsidRPr="00A3595B">
          <w:rPr>
            <w:b/>
            <w:i/>
            <w:color w:val="C00000"/>
            <w:highlight w:val="yellow"/>
          </w:rPr>
          <w:t>(#767, #1045, #1046, #1047, #1049)</w:t>
        </w:r>
      </w:ins>
      <w:r w:rsidRPr="00A0363F">
        <w:rPr>
          <w:b/>
          <w:i/>
          <w:color w:val="C00000"/>
          <w:highlight w:val="yellow"/>
        </w:rPr>
        <w:t>:</w:t>
      </w:r>
    </w:p>
    <w:p w14:paraId="71BB40C6" w14:textId="5AE82F60" w:rsidR="00A0363F" w:rsidRDefault="00A0363F" w:rsidP="00A0363F">
      <w:pPr>
        <w:pStyle w:val="T"/>
        <w:rPr>
          <w:w w:val="100"/>
          <w:lang w:val="en-GB"/>
        </w:rPr>
      </w:pPr>
      <w:r>
        <w:rPr>
          <w:w w:val="100"/>
          <w:lang w:val="en-GB"/>
        </w:rPr>
        <w:t xml:space="preserve">An example of a WUR signal generator for the WUR-Sync field is shown in </w:t>
      </w:r>
      <w:r>
        <w:rPr>
          <w:w w:val="100"/>
          <w:lang w:val="en-GB"/>
        </w:rPr>
        <w:fldChar w:fldCharType="begin"/>
      </w:r>
      <w:r>
        <w:rPr>
          <w:w w:val="100"/>
          <w:lang w:val="en-GB"/>
        </w:rPr>
        <w:instrText xml:space="preserve"> REF  RTF34343733303a204669675469 \h</w:instrText>
      </w:r>
      <w:r>
        <w:rPr>
          <w:w w:val="100"/>
          <w:lang w:val="en-GB"/>
        </w:rPr>
        <w:fldChar w:fldCharType="separate"/>
      </w:r>
      <w:r>
        <w:rPr>
          <w:w w:val="100"/>
          <w:lang w:val="en-GB"/>
        </w:rPr>
        <w:t>32-4 (An Example of a WUR signal generator for the WUR-Sync field)</w:t>
      </w:r>
      <w:r>
        <w:rPr>
          <w:w w:val="100"/>
          <w:lang w:val="en-GB"/>
        </w:rPr>
        <w:fldChar w:fldCharType="end"/>
      </w:r>
      <w:r>
        <w:rPr>
          <w:w w:val="100"/>
          <w:lang w:val="en-GB"/>
        </w:rPr>
        <w:t>. The Sync bit sequence is then used to switch between the On waveform generator (On-WG) and the Off waveform generator (Off-WG).</w:t>
      </w:r>
      <w:ins w:id="25" w:author="Dennis Sundman" w:date="2019-01-11T15:51:00Z">
        <w:r>
          <w:rPr>
            <w:w w:val="100"/>
            <w:lang w:val="en-GB"/>
          </w:rPr>
          <w:t xml:space="preserve"> </w:t>
        </w:r>
      </w:ins>
      <w:ins w:id="26" w:author="Dennis Sundman" w:date="2019-01-11T15:52:00Z">
        <w:r>
          <w:rPr>
            <w:w w:val="100"/>
            <w:lang w:val="en-GB"/>
          </w:rPr>
          <w:t>An example</w:t>
        </w:r>
      </w:ins>
      <w:ins w:id="27" w:author="Dennis Sundman" w:date="2019-01-11T15:51:00Z">
        <w:r>
          <w:rPr>
            <w:w w:val="100"/>
            <w:lang w:val="en-GB"/>
          </w:rPr>
          <w:t xml:space="preserve"> of </w:t>
        </w:r>
      </w:ins>
      <w:ins w:id="28" w:author="Dennis Sundman" w:date="2019-01-11T15:52:00Z">
        <w:r>
          <w:rPr>
            <w:w w:val="100"/>
            <w:lang w:val="en-GB"/>
          </w:rPr>
          <w:t xml:space="preserve">an </w:t>
        </w:r>
      </w:ins>
      <w:ins w:id="29" w:author="Dennis Sundman" w:date="2019-01-11T15:51:00Z">
        <w:r>
          <w:rPr>
            <w:w w:val="100"/>
            <w:lang w:val="en-GB"/>
          </w:rPr>
          <w:t xml:space="preserve">On-WG and </w:t>
        </w:r>
      </w:ins>
      <w:ins w:id="30" w:author="Dennis Sundman" w:date="2019-01-11T15:52:00Z">
        <w:r>
          <w:rPr>
            <w:w w:val="100"/>
            <w:lang w:val="en-GB"/>
          </w:rPr>
          <w:t xml:space="preserve">an </w:t>
        </w:r>
      </w:ins>
      <w:ins w:id="31" w:author="Dennis Sundman" w:date="2019-01-11T15:51:00Z">
        <w:r>
          <w:rPr>
            <w:w w:val="100"/>
            <w:lang w:val="en-GB"/>
          </w:rPr>
          <w:t xml:space="preserve">Off-WG for the WUR-Sync field </w:t>
        </w:r>
      </w:ins>
      <w:ins w:id="32" w:author="Dennis Sundman" w:date="2019-01-11T15:52:00Z">
        <w:r>
          <w:rPr>
            <w:w w:val="100"/>
            <w:lang w:val="en-GB"/>
          </w:rPr>
          <w:t xml:space="preserve">is </w:t>
        </w:r>
      </w:ins>
      <w:ins w:id="33" w:author="Dennis Sundman" w:date="2019-01-11T16:00:00Z">
        <w:r>
          <w:rPr>
            <w:w w:val="100"/>
            <w:lang w:val="en-GB"/>
          </w:rPr>
          <w:t>given</w:t>
        </w:r>
      </w:ins>
      <w:ins w:id="34" w:author="Dennis Sundman" w:date="2019-01-11T15:52:00Z">
        <w:r>
          <w:rPr>
            <w:w w:val="100"/>
            <w:lang w:val="en-GB"/>
          </w:rPr>
          <w:t xml:space="preserve"> in Section 32.2.3.1.</w:t>
        </w:r>
      </w:ins>
      <w:ins w:id="35" w:author="Dennis Sundman" w:date="2019-01-11T15:53:00Z">
        <w:r>
          <w:rPr>
            <w:w w:val="100"/>
            <w:lang w:val="en-GB"/>
          </w:rPr>
          <w:t xml:space="preserve"> The mathematical description of the On-WG</w:t>
        </w:r>
      </w:ins>
      <w:ins w:id="36" w:author="Dennis Sundman" w:date="2019-01-11T15:54:00Z">
        <w:r>
          <w:rPr>
            <w:w w:val="100"/>
            <w:lang w:val="en-GB"/>
          </w:rPr>
          <w:t xml:space="preserve"> for the WUR-Sync is </w:t>
        </w:r>
      </w:ins>
      <w:ins w:id="37" w:author="Dennis Sundman" w:date="2019-01-11T15:56:00Z">
        <w:r>
          <w:rPr>
            <w:w w:val="100"/>
            <w:lang w:val="en-GB"/>
          </w:rPr>
          <w:t>found</w:t>
        </w:r>
      </w:ins>
      <w:ins w:id="38" w:author="Dennis Sundman" w:date="2019-01-11T15:54:00Z">
        <w:r>
          <w:rPr>
            <w:w w:val="100"/>
            <w:lang w:val="en-GB"/>
          </w:rPr>
          <w:t xml:space="preserve"> in Section </w:t>
        </w:r>
      </w:ins>
      <w:ins w:id="39" w:author="Dennis Sundman" w:date="2019-01-11T15:56:00Z">
        <w:r>
          <w:rPr>
            <w:w w:val="100"/>
            <w:lang w:val="en-GB"/>
          </w:rPr>
          <w:t>32.2.7</w:t>
        </w:r>
      </w:ins>
      <w:ins w:id="40" w:author="Dennis Sundman" w:date="2019-01-11T15:54:00Z">
        <w:r>
          <w:rPr>
            <w:w w:val="100"/>
            <w:lang w:val="en-GB"/>
          </w:rPr>
          <w:t xml:space="preserve">, there referred to as </w:t>
        </w:r>
      </w:ins>
      <w:proofErr w:type="spellStart"/>
      <w:ins w:id="41" w:author="Dennis Sundman" w:date="2019-01-11T15:55:00Z">
        <w:r>
          <w:rPr>
            <w:w w:val="100"/>
            <w:lang w:val="en-GB"/>
          </w:rPr>
          <w:t>SymHDROn</w:t>
        </w:r>
        <w:proofErr w:type="spellEnd"/>
        <w:r>
          <w:rPr>
            <w:w w:val="100"/>
            <w:lang w:val="en-GB"/>
          </w:rPr>
          <w:t>.</w:t>
        </w:r>
      </w:ins>
      <w:ins w:id="42" w:author="Dennis Sundman" w:date="2019-01-11T16:05:00Z">
        <w:r>
          <w:rPr>
            <w:w w:val="100"/>
            <w:lang w:val="en-GB"/>
          </w:rPr>
          <w:t xml:space="preserve"> </w:t>
        </w:r>
        <w:bookmarkStart w:id="43" w:name="_Hlk535147166"/>
        <w:r>
          <w:rPr>
            <w:w w:val="100"/>
            <w:lang w:val="en-GB"/>
          </w:rPr>
          <w:t>(#767</w:t>
        </w:r>
      </w:ins>
      <w:ins w:id="44" w:author="Dennis Sundman" w:date="2019-01-11T16:06:00Z">
        <w:r>
          <w:rPr>
            <w:w w:val="100"/>
            <w:lang w:val="en-GB"/>
          </w:rPr>
          <w:t>, #1045, #1046, #1047, #1049</w:t>
        </w:r>
      </w:ins>
      <w:ins w:id="45" w:author="Dennis Sundman" w:date="2019-01-11T16:05:00Z">
        <w:r>
          <w:rPr>
            <w:w w:val="100"/>
            <w:lang w:val="en-GB"/>
          </w:rPr>
          <w:t>)</w:t>
        </w:r>
      </w:ins>
      <w:bookmarkEnd w:id="43"/>
    </w:p>
    <w:p w14:paraId="4BC8F2C4" w14:textId="77777777" w:rsidR="00A0363F" w:rsidRDefault="00A0363F" w:rsidP="00A0363F">
      <w:pPr>
        <w:rPr>
          <w:b/>
          <w:i/>
          <w:color w:val="C00000"/>
          <w:highlight w:val="yellow"/>
        </w:rPr>
      </w:pPr>
    </w:p>
    <w:p w14:paraId="5A1A7AFB" w14:textId="15D8436B" w:rsidR="00A0363F" w:rsidRPr="00A0363F" w:rsidRDefault="00A0363F" w:rsidP="00A0363F">
      <w:pPr>
        <w:rPr>
          <w:b/>
          <w:i/>
          <w:color w:val="C00000"/>
        </w:rPr>
      </w:pPr>
      <w:proofErr w:type="spellStart"/>
      <w:r w:rsidRPr="00A0363F">
        <w:rPr>
          <w:b/>
          <w:i/>
          <w:color w:val="C00000"/>
          <w:highlight w:val="yellow"/>
        </w:rPr>
        <w:t>TGba</w:t>
      </w:r>
      <w:proofErr w:type="spellEnd"/>
      <w:r w:rsidRPr="00A0363F">
        <w:rPr>
          <w:b/>
          <w:i/>
          <w:color w:val="C00000"/>
          <w:highlight w:val="yellow"/>
        </w:rPr>
        <w:t xml:space="preserve"> Editor: </w:t>
      </w:r>
      <w:r w:rsidR="008A30A4">
        <w:rPr>
          <w:b/>
          <w:i/>
          <w:color w:val="C00000"/>
          <w:highlight w:val="yellow"/>
        </w:rPr>
        <w:t xml:space="preserve">Add </w:t>
      </w:r>
      <w:r w:rsidRPr="00A0363F">
        <w:rPr>
          <w:b/>
          <w:i/>
          <w:color w:val="C00000"/>
          <w:highlight w:val="yellow"/>
        </w:rPr>
        <w:t xml:space="preserve">the following sentences in </w:t>
      </w:r>
      <w:r w:rsidR="008A30A4">
        <w:rPr>
          <w:b/>
          <w:i/>
          <w:color w:val="C00000"/>
          <w:highlight w:val="yellow"/>
        </w:rPr>
        <w:t xml:space="preserve">P74L49 </w:t>
      </w:r>
      <w:r w:rsidRPr="00A0363F">
        <w:rPr>
          <w:b/>
          <w:i/>
          <w:color w:val="C00000"/>
          <w:highlight w:val="yellow"/>
        </w:rPr>
        <w:t xml:space="preserve">in </w:t>
      </w:r>
      <w:proofErr w:type="spellStart"/>
      <w:r w:rsidRPr="00A0363F">
        <w:rPr>
          <w:b/>
          <w:i/>
          <w:color w:val="C00000"/>
          <w:highlight w:val="yellow"/>
        </w:rPr>
        <w:t>TGba</w:t>
      </w:r>
      <w:proofErr w:type="spellEnd"/>
      <w:r w:rsidRPr="00A0363F">
        <w:rPr>
          <w:b/>
          <w:i/>
          <w:color w:val="C00000"/>
          <w:highlight w:val="yellow"/>
        </w:rPr>
        <w:t xml:space="preserve"> Draft 1.1 as follows</w:t>
      </w:r>
      <w:ins w:id="46" w:author="Dennis Sundman" w:date="2019-01-13T12:50:00Z">
        <w:r w:rsidR="00A3595B">
          <w:rPr>
            <w:b/>
            <w:i/>
            <w:color w:val="C00000"/>
            <w:highlight w:val="yellow"/>
          </w:rPr>
          <w:t xml:space="preserve"> </w:t>
        </w:r>
        <w:r w:rsidR="00A3595B" w:rsidRPr="00A3595B">
          <w:rPr>
            <w:b/>
            <w:i/>
            <w:color w:val="C00000"/>
            <w:highlight w:val="yellow"/>
          </w:rPr>
          <w:t>(#767, #1045, #1046, #1047, #1049)</w:t>
        </w:r>
      </w:ins>
      <w:r w:rsidRPr="00A0363F">
        <w:rPr>
          <w:b/>
          <w:i/>
          <w:color w:val="C00000"/>
          <w:highlight w:val="yellow"/>
        </w:rPr>
        <w:t>:</w:t>
      </w:r>
    </w:p>
    <w:p w14:paraId="250C4889" w14:textId="29F50CDD" w:rsidR="00A0363F" w:rsidRDefault="00A0363F" w:rsidP="00A0363F">
      <w:pPr>
        <w:pStyle w:val="T"/>
        <w:rPr>
          <w:w w:val="100"/>
        </w:rPr>
      </w:pPr>
      <w:r>
        <w:rPr>
          <w:w w:val="100"/>
        </w:rPr>
        <w:t xml:space="preserve">An example of a WUR signal generator for the WUR-Data field is shown in Figure </w:t>
      </w:r>
      <w:r>
        <w:rPr>
          <w:w w:val="100"/>
        </w:rPr>
        <w:fldChar w:fldCharType="begin"/>
      </w:r>
      <w:r>
        <w:rPr>
          <w:w w:val="100"/>
        </w:rPr>
        <w:instrText xml:space="preserve"> REF  RTF36313536303a204669675469 \h</w:instrText>
      </w:r>
      <w:r>
        <w:rPr>
          <w:w w:val="100"/>
        </w:rPr>
        <w:fldChar w:fldCharType="separate"/>
      </w:r>
      <w:r>
        <w:rPr>
          <w:w w:val="100"/>
        </w:rPr>
        <w:t>32-5 (An Example of a WUR signal generator for the WUR-Data field)</w:t>
      </w:r>
      <w:r>
        <w:rPr>
          <w:w w:val="100"/>
        </w:rPr>
        <w:fldChar w:fldCharType="end"/>
      </w:r>
      <w:r>
        <w:rPr>
          <w:w w:val="100"/>
        </w:rPr>
        <w:t xml:space="preserve">. The information bits are mapped by a Manchester-based encoder. Each coded bit is then used to switch between the On waveform generator (On-WG) and the Off waveform generator (Off-WG). </w:t>
      </w:r>
      <w:ins w:id="47" w:author="Dennis Sundman" w:date="2019-01-11T15:58:00Z">
        <w:r>
          <w:rPr>
            <w:w w:val="100"/>
            <w:lang w:val="en-GB"/>
          </w:rPr>
          <w:t>An example of an On</w:t>
        </w:r>
      </w:ins>
      <w:ins w:id="48" w:author="Dennis Sundman" w:date="2019-01-11T16:00:00Z">
        <w:r>
          <w:rPr>
            <w:w w:val="100"/>
            <w:lang w:val="en-GB"/>
          </w:rPr>
          <w:t>/Off</w:t>
        </w:r>
      </w:ins>
      <w:ins w:id="49" w:author="Dennis Sundman" w:date="2019-01-11T15:58:00Z">
        <w:r>
          <w:rPr>
            <w:w w:val="100"/>
            <w:lang w:val="en-GB"/>
          </w:rPr>
          <w:t xml:space="preserve">-WG for the high rate WUR-Data field </w:t>
        </w:r>
      </w:ins>
      <w:ins w:id="50" w:author="Dennis Sundman" w:date="2019-01-11T15:59:00Z">
        <w:r>
          <w:rPr>
            <w:w w:val="100"/>
            <w:lang w:val="en-GB"/>
          </w:rPr>
          <w:t xml:space="preserve">and low rate WUR-Data field </w:t>
        </w:r>
      </w:ins>
      <w:ins w:id="51" w:author="Dennis Sundman" w:date="2019-01-11T16:00:00Z">
        <w:r>
          <w:rPr>
            <w:w w:val="100"/>
            <w:lang w:val="en-GB"/>
          </w:rPr>
          <w:t>are</w:t>
        </w:r>
      </w:ins>
      <w:ins w:id="52" w:author="Dennis Sundman" w:date="2019-01-11T15:58:00Z">
        <w:r>
          <w:rPr>
            <w:w w:val="100"/>
            <w:lang w:val="en-GB"/>
          </w:rPr>
          <w:t xml:space="preserve"> </w:t>
        </w:r>
      </w:ins>
      <w:ins w:id="53" w:author="Dennis Sundman" w:date="2019-01-11T16:00:00Z">
        <w:r>
          <w:rPr>
            <w:w w:val="100"/>
            <w:lang w:val="en-GB"/>
          </w:rPr>
          <w:t xml:space="preserve">given </w:t>
        </w:r>
      </w:ins>
      <w:ins w:id="54" w:author="Dennis Sundman" w:date="2019-01-11T15:58:00Z">
        <w:r>
          <w:rPr>
            <w:w w:val="100"/>
            <w:lang w:val="en-GB"/>
          </w:rPr>
          <w:t>in Section 32.2.3.1</w:t>
        </w:r>
      </w:ins>
      <w:ins w:id="55" w:author="Dennis Sundman" w:date="2019-01-11T15:59:00Z">
        <w:r>
          <w:rPr>
            <w:w w:val="100"/>
            <w:lang w:val="en-GB"/>
          </w:rPr>
          <w:t xml:space="preserve"> and Section 32.2.3.2, respectively</w:t>
        </w:r>
      </w:ins>
      <w:ins w:id="56" w:author="Dennis Sundman" w:date="2019-01-11T15:58:00Z">
        <w:r>
          <w:rPr>
            <w:w w:val="100"/>
            <w:lang w:val="en-GB"/>
          </w:rPr>
          <w:t>. The mathematical description</w:t>
        </w:r>
      </w:ins>
      <w:ins w:id="57" w:author="Dennis Sundman" w:date="2019-01-11T16:02:00Z">
        <w:r>
          <w:rPr>
            <w:w w:val="100"/>
            <w:lang w:val="en-GB"/>
          </w:rPr>
          <w:t>s</w:t>
        </w:r>
      </w:ins>
      <w:ins w:id="58" w:author="Dennis Sundman" w:date="2019-01-11T15:58:00Z">
        <w:r>
          <w:rPr>
            <w:w w:val="100"/>
            <w:lang w:val="en-GB"/>
          </w:rPr>
          <w:t xml:space="preserve"> of the</w:t>
        </w:r>
      </w:ins>
      <w:ins w:id="59" w:author="Dennis Sundman" w:date="2019-01-11T16:01:00Z">
        <w:r>
          <w:rPr>
            <w:w w:val="100"/>
            <w:lang w:val="en-GB"/>
          </w:rPr>
          <w:t xml:space="preserve"> On-WG for</w:t>
        </w:r>
      </w:ins>
      <w:ins w:id="60" w:author="Dennis Sundman" w:date="2019-01-11T15:58:00Z">
        <w:r>
          <w:rPr>
            <w:w w:val="100"/>
            <w:lang w:val="en-GB"/>
          </w:rPr>
          <w:t xml:space="preserve"> </w:t>
        </w:r>
      </w:ins>
      <w:ins w:id="61" w:author="Dennis Sundman" w:date="2019-01-11T16:00:00Z">
        <w:r>
          <w:rPr>
            <w:w w:val="100"/>
            <w:lang w:val="en-GB"/>
          </w:rPr>
          <w:t>the high rate WUR-Data field and low rate WUR-Data field</w:t>
        </w:r>
      </w:ins>
      <w:ins w:id="62" w:author="Dennis Sundman" w:date="2019-01-11T15:58:00Z">
        <w:r>
          <w:rPr>
            <w:w w:val="100"/>
            <w:lang w:val="en-GB"/>
          </w:rPr>
          <w:t xml:space="preserve"> </w:t>
        </w:r>
      </w:ins>
      <w:ins w:id="63" w:author="Dennis Sundman" w:date="2019-01-11T16:00:00Z">
        <w:r>
          <w:rPr>
            <w:w w:val="100"/>
            <w:lang w:val="en-GB"/>
          </w:rPr>
          <w:t>are</w:t>
        </w:r>
      </w:ins>
      <w:ins w:id="64" w:author="Dennis Sundman" w:date="2019-01-11T15:58:00Z">
        <w:r>
          <w:rPr>
            <w:w w:val="100"/>
            <w:lang w:val="en-GB"/>
          </w:rPr>
          <w:t xml:space="preserve"> found in Section 32.2.7 there referred to as </w:t>
        </w:r>
        <w:proofErr w:type="spellStart"/>
        <w:r>
          <w:rPr>
            <w:w w:val="100"/>
            <w:lang w:val="en-GB"/>
          </w:rPr>
          <w:t>SymHDROn</w:t>
        </w:r>
      </w:ins>
      <w:proofErr w:type="spellEnd"/>
      <w:ins w:id="65" w:author="Dennis Sundman" w:date="2019-01-11T16:01:00Z">
        <w:r>
          <w:rPr>
            <w:w w:val="100"/>
            <w:lang w:val="en-GB"/>
          </w:rPr>
          <w:t xml:space="preserve"> and </w:t>
        </w:r>
        <w:proofErr w:type="spellStart"/>
        <w:r>
          <w:rPr>
            <w:w w:val="100"/>
            <w:lang w:val="en-GB"/>
          </w:rPr>
          <w:t>SymLDROn</w:t>
        </w:r>
        <w:proofErr w:type="spellEnd"/>
        <w:r>
          <w:rPr>
            <w:w w:val="100"/>
            <w:lang w:val="en-GB"/>
          </w:rPr>
          <w:t>, respectively</w:t>
        </w:r>
      </w:ins>
      <w:ins w:id="66" w:author="Dennis Sundman" w:date="2019-01-11T15:58:00Z">
        <w:r>
          <w:rPr>
            <w:w w:val="100"/>
            <w:lang w:val="en-GB"/>
          </w:rPr>
          <w:t>.</w:t>
        </w:r>
      </w:ins>
      <w:ins w:id="67" w:author="Dennis Sundman" w:date="2019-01-11T16:06:00Z">
        <w:r>
          <w:rPr>
            <w:w w:val="100"/>
            <w:lang w:val="en-GB"/>
          </w:rPr>
          <w:t xml:space="preserve"> </w:t>
        </w:r>
      </w:ins>
      <w:ins w:id="68" w:author="Dennis Sundman" w:date="2019-01-13T12:40:00Z">
        <w:r w:rsidR="008A30A4">
          <w:rPr>
            <w:w w:val="100"/>
            <w:lang w:val="en-GB"/>
          </w:rPr>
          <w:t xml:space="preserve">Note that the generators are different depending on the data rate. </w:t>
        </w:r>
      </w:ins>
      <w:bookmarkStart w:id="69" w:name="_Hlk535147185"/>
      <w:ins w:id="70" w:author="Dennis Sundman" w:date="2019-01-11T16:06:00Z">
        <w:r>
          <w:rPr>
            <w:w w:val="100"/>
            <w:lang w:val="en-GB"/>
          </w:rPr>
          <w:t>(#767, #1045, #1046, #1047, #1049)</w:t>
        </w:r>
      </w:ins>
      <w:bookmarkEnd w:id="69"/>
    </w:p>
    <w:p w14:paraId="71C4D54E" w14:textId="77777777" w:rsidR="00A0363F" w:rsidRDefault="00A0363F" w:rsidP="00A0363F">
      <w:pPr>
        <w:rPr>
          <w:b/>
          <w:i/>
          <w:color w:val="C00000"/>
          <w:highlight w:val="yellow"/>
        </w:rPr>
      </w:pPr>
    </w:p>
    <w:p w14:paraId="47749A01" w14:textId="731B4032" w:rsidR="00A0363F" w:rsidRPr="00A0363F" w:rsidRDefault="00A0363F" w:rsidP="00A0363F">
      <w:pPr>
        <w:rPr>
          <w:b/>
          <w:i/>
          <w:color w:val="C00000"/>
        </w:rPr>
      </w:pPr>
      <w:proofErr w:type="spellStart"/>
      <w:r w:rsidRPr="00A0363F">
        <w:rPr>
          <w:b/>
          <w:i/>
          <w:color w:val="C00000"/>
          <w:highlight w:val="yellow"/>
        </w:rPr>
        <w:t>TGba</w:t>
      </w:r>
      <w:proofErr w:type="spellEnd"/>
      <w:r w:rsidRPr="00A0363F">
        <w:rPr>
          <w:b/>
          <w:i/>
          <w:color w:val="C00000"/>
          <w:highlight w:val="yellow"/>
        </w:rPr>
        <w:t xml:space="preserve"> Editor: Change the following sentences in </w:t>
      </w:r>
      <w:r w:rsidR="008A30A4">
        <w:rPr>
          <w:b/>
          <w:i/>
          <w:color w:val="C00000"/>
          <w:highlight w:val="yellow"/>
        </w:rPr>
        <w:t xml:space="preserve">P77L32 </w:t>
      </w:r>
      <w:r w:rsidRPr="00A0363F">
        <w:rPr>
          <w:b/>
          <w:i/>
          <w:color w:val="C00000"/>
          <w:highlight w:val="yellow"/>
        </w:rPr>
        <w:t xml:space="preserve">in </w:t>
      </w:r>
      <w:proofErr w:type="spellStart"/>
      <w:r w:rsidRPr="00A0363F">
        <w:rPr>
          <w:b/>
          <w:i/>
          <w:color w:val="C00000"/>
          <w:highlight w:val="yellow"/>
        </w:rPr>
        <w:t>TGba</w:t>
      </w:r>
      <w:proofErr w:type="spellEnd"/>
      <w:r w:rsidRPr="00A0363F">
        <w:rPr>
          <w:b/>
          <w:i/>
          <w:color w:val="C00000"/>
          <w:highlight w:val="yellow"/>
        </w:rPr>
        <w:t xml:space="preserve"> Draft 1.1 as follows</w:t>
      </w:r>
      <w:ins w:id="71" w:author="Dennis Sundman" w:date="2019-01-13T12:51:00Z">
        <w:r w:rsidR="00A3595B">
          <w:rPr>
            <w:b/>
            <w:i/>
            <w:color w:val="C00000"/>
            <w:highlight w:val="yellow"/>
          </w:rPr>
          <w:t xml:space="preserve"> (#255)</w:t>
        </w:r>
      </w:ins>
      <w:r w:rsidRPr="00A0363F">
        <w:rPr>
          <w:b/>
          <w:i/>
          <w:color w:val="C00000"/>
          <w:highlight w:val="yellow"/>
        </w:rPr>
        <w:t>:</w:t>
      </w:r>
    </w:p>
    <w:p w14:paraId="548FA420" w14:textId="77777777" w:rsidR="0028537E" w:rsidRDefault="0028537E" w:rsidP="0028537E">
      <w:pPr>
        <w:pStyle w:val="T"/>
        <w:rPr>
          <w:w w:val="100"/>
        </w:rPr>
      </w:pPr>
      <w:r>
        <w:rPr>
          <w:w w:val="100"/>
        </w:rPr>
        <w:t xml:space="preserve">MC-OOK ‘On’ symbol for 20 MHz WUR waveform can be generated according to </w:t>
      </w:r>
      <w:r>
        <w:rPr>
          <w:w w:val="100"/>
        </w:rPr>
        <w:fldChar w:fldCharType="begin"/>
      </w:r>
      <w:r>
        <w:rPr>
          <w:w w:val="100"/>
        </w:rPr>
        <w:instrText xml:space="preserve"> REF  RTF38343036323a2048342c312e \h</w:instrText>
      </w:r>
      <w:r>
        <w:rPr>
          <w:w w:val="100"/>
        </w:rPr>
        <w:fldChar w:fldCharType="separate"/>
      </w:r>
      <w:r>
        <w:rPr>
          <w:w w:val="100"/>
        </w:rPr>
        <w:t>32.2.3.1 (WUR PPDU waveform generation for WUR-Sync field and high rate WUR-Data field)</w:t>
      </w:r>
      <w:r>
        <w:rPr>
          <w:w w:val="100"/>
        </w:rPr>
        <w:fldChar w:fldCharType="end"/>
      </w:r>
      <w:r>
        <w:rPr>
          <w:w w:val="100"/>
        </w:rPr>
        <w:t xml:space="preserve"> or </w:t>
      </w:r>
      <w:r>
        <w:rPr>
          <w:w w:val="100"/>
        </w:rPr>
        <w:fldChar w:fldCharType="begin"/>
      </w:r>
      <w:r>
        <w:rPr>
          <w:w w:val="100"/>
        </w:rPr>
        <w:instrText xml:space="preserve"> REF  RTF33393435333a2048342c312e \h</w:instrText>
      </w:r>
      <w:r>
        <w:rPr>
          <w:w w:val="100"/>
        </w:rPr>
        <w:fldChar w:fldCharType="separate"/>
      </w:r>
      <w:r>
        <w:rPr>
          <w:w w:val="100"/>
        </w:rPr>
        <w:t>32.2.3.2 (WUR PPDU waveform generation for low rate WUR-Data field)</w:t>
      </w:r>
      <w:r>
        <w:rPr>
          <w:w w:val="100"/>
        </w:rPr>
        <w:fldChar w:fldCharType="end"/>
      </w:r>
      <w:r>
        <w:rPr>
          <w:w w:val="100"/>
        </w:rPr>
        <w:t xml:space="preserve"> depending on WUR_DATARATE. The 40 MHz</w:t>
      </w:r>
      <w:ins w:id="72" w:author="Dennis Sundman" w:date="2019-01-13T11:59:00Z">
        <w:r>
          <w:rPr>
            <w:w w:val="100"/>
          </w:rPr>
          <w:t>,</w:t>
        </w:r>
      </w:ins>
      <w:r>
        <w:rPr>
          <w:w w:val="100"/>
        </w:rPr>
        <w:t xml:space="preserve"> </w:t>
      </w:r>
      <w:del w:id="73" w:author="Dennis Sundman" w:date="2019-01-13T11:59:00Z">
        <w:r w:rsidDel="00D73A6A">
          <w:rPr>
            <w:w w:val="100"/>
          </w:rPr>
          <w:delText xml:space="preserve">or </w:delText>
        </w:r>
      </w:del>
      <w:r>
        <w:rPr>
          <w:w w:val="100"/>
        </w:rPr>
        <w:t>80 MHz</w:t>
      </w:r>
      <w:ins w:id="74" w:author="Dennis Sundman" w:date="2019-01-13T11:59:00Z">
        <w:r>
          <w:rPr>
            <w:w w:val="100"/>
          </w:rPr>
          <w:t>, or 160 MHz</w:t>
        </w:r>
      </w:ins>
      <w:ins w:id="75" w:author="Dennis Sundman" w:date="2019-01-13T12:00:00Z">
        <w:r>
          <w:rPr>
            <w:w w:val="100"/>
          </w:rPr>
          <w:t xml:space="preserve"> (#255)</w:t>
        </w:r>
      </w:ins>
      <w:r>
        <w:rPr>
          <w:w w:val="100"/>
        </w:rPr>
        <w:t xml:space="preserve"> FDMA WUR PPDU can be generated by multiplexing multiple 20 MHz WUR waveforms in the corresponding channel as shown in Figure </w:t>
      </w:r>
      <w:r>
        <w:rPr>
          <w:w w:val="100"/>
        </w:rPr>
        <w:fldChar w:fldCharType="begin"/>
      </w:r>
      <w:r>
        <w:rPr>
          <w:w w:val="100"/>
        </w:rPr>
        <w:instrText xml:space="preserve"> REF  RTF31353231333a204669675469 \h</w:instrText>
      </w:r>
      <w:r>
        <w:rPr>
          <w:w w:val="100"/>
        </w:rPr>
        <w:fldChar w:fldCharType="separate"/>
      </w:r>
      <w:r>
        <w:rPr>
          <w:w w:val="100"/>
        </w:rPr>
        <w:t>32-8 (An Example of a WUR-Data field signal generator for the FDMA transmission)</w:t>
      </w:r>
      <w:r>
        <w:rPr>
          <w:w w:val="100"/>
        </w:rPr>
        <w:fldChar w:fldCharType="end"/>
      </w:r>
      <w:r>
        <w:rPr>
          <w:w w:val="100"/>
        </w:rPr>
        <w:t>.</w:t>
      </w:r>
    </w:p>
    <w:p w14:paraId="186E4A06" w14:textId="5E7827B4" w:rsidR="00A0363F" w:rsidRPr="008A30A4" w:rsidRDefault="00A733B3" w:rsidP="00A0363F">
      <w:pPr>
        <w:pStyle w:val="T"/>
        <w:rPr>
          <w:b/>
          <w:i/>
          <w:color w:val="C00000"/>
          <w:sz w:val="22"/>
          <w:szCs w:val="22"/>
        </w:rPr>
      </w:pPr>
      <w:proofErr w:type="spellStart"/>
      <w:r w:rsidRPr="008A30A4">
        <w:rPr>
          <w:b/>
          <w:i/>
          <w:color w:val="C00000"/>
          <w:sz w:val="22"/>
          <w:szCs w:val="22"/>
          <w:highlight w:val="yellow"/>
        </w:rPr>
        <w:t>TGba</w:t>
      </w:r>
      <w:proofErr w:type="spellEnd"/>
      <w:r w:rsidRPr="008A30A4">
        <w:rPr>
          <w:b/>
          <w:i/>
          <w:color w:val="C00000"/>
          <w:sz w:val="22"/>
          <w:szCs w:val="22"/>
          <w:highlight w:val="yellow"/>
        </w:rPr>
        <w:t xml:space="preserve"> Editor: Change the following sentences in</w:t>
      </w:r>
      <w:r w:rsidR="008A30A4" w:rsidRPr="008A30A4">
        <w:rPr>
          <w:b/>
          <w:i/>
          <w:color w:val="C00000"/>
          <w:sz w:val="22"/>
          <w:szCs w:val="22"/>
          <w:highlight w:val="yellow"/>
        </w:rPr>
        <w:t xml:space="preserve"> P83L47</w:t>
      </w:r>
      <w:r w:rsidRPr="008A30A4">
        <w:rPr>
          <w:b/>
          <w:i/>
          <w:color w:val="C00000"/>
          <w:sz w:val="22"/>
          <w:szCs w:val="22"/>
          <w:highlight w:val="yellow"/>
        </w:rPr>
        <w:t xml:space="preserve"> in </w:t>
      </w:r>
      <w:proofErr w:type="spellStart"/>
      <w:r w:rsidRPr="008A30A4">
        <w:rPr>
          <w:b/>
          <w:i/>
          <w:color w:val="C00000"/>
          <w:sz w:val="22"/>
          <w:szCs w:val="22"/>
          <w:highlight w:val="yellow"/>
        </w:rPr>
        <w:t>TGba</w:t>
      </w:r>
      <w:proofErr w:type="spellEnd"/>
      <w:r w:rsidRPr="008A30A4">
        <w:rPr>
          <w:b/>
          <w:i/>
          <w:color w:val="C00000"/>
          <w:sz w:val="22"/>
          <w:szCs w:val="22"/>
          <w:highlight w:val="yellow"/>
        </w:rPr>
        <w:t xml:space="preserve"> Draft 1.1 as follows</w:t>
      </w:r>
      <w:ins w:id="76" w:author="Dennis Sundman" w:date="2019-01-13T12:51:00Z">
        <w:r w:rsidR="00A3595B">
          <w:rPr>
            <w:b/>
            <w:i/>
            <w:color w:val="C00000"/>
            <w:sz w:val="22"/>
            <w:szCs w:val="22"/>
            <w:highlight w:val="yellow"/>
          </w:rPr>
          <w:t xml:space="preserve"> (306)</w:t>
        </w:r>
      </w:ins>
      <w:r w:rsidRPr="008A30A4">
        <w:rPr>
          <w:b/>
          <w:i/>
          <w:color w:val="C00000"/>
          <w:sz w:val="22"/>
          <w:szCs w:val="22"/>
          <w:highlight w:val="yellow"/>
        </w:rPr>
        <w:t>:</w:t>
      </w:r>
    </w:p>
    <w:p w14:paraId="71ADF1A3" w14:textId="3ED565DB" w:rsidR="00A733B3" w:rsidRDefault="00A733B3" w:rsidP="00A733B3">
      <w:pPr>
        <w:pStyle w:val="T"/>
        <w:rPr>
          <w:w w:val="100"/>
        </w:rPr>
      </w:pPr>
      <w:r>
        <w:rPr>
          <w:noProof/>
          <w:w w:val="100"/>
        </w:rPr>
        <w:drawing>
          <wp:inline distT="0" distB="0" distL="0" distR="0" wp14:anchorId="4A9D2EE3" wp14:editId="2C8ACB04">
            <wp:extent cx="962025" cy="228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228600"/>
                    </a:xfrm>
                    <a:prstGeom prst="rect">
                      <a:avLst/>
                    </a:prstGeom>
                    <a:noFill/>
                    <a:ln>
                      <a:noFill/>
                    </a:ln>
                  </pic:spPr>
                </pic:pic>
              </a:graphicData>
            </a:graphic>
          </wp:inline>
        </w:drawing>
      </w:r>
      <w:r>
        <w:rPr>
          <w:w w:val="100"/>
        </w:rPr>
        <w:t xml:space="preserve">, </w:t>
      </w:r>
      <w:r>
        <w:rPr>
          <w:w w:val="100"/>
          <w:lang w:val="en-GB"/>
        </w:rPr>
        <w:t xml:space="preserve">are the subcarrier coefficients, and </w:t>
      </w:r>
      <w:r>
        <w:rPr>
          <w:noProof/>
          <w:w w:val="100"/>
          <w:lang w:val="en-GB"/>
        </w:rPr>
        <w:drawing>
          <wp:inline distT="0" distB="0" distL="0" distR="0" wp14:anchorId="0B1C9C40" wp14:editId="246DAFF7">
            <wp:extent cx="3810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w w:val="100"/>
          <w:lang w:val="en-GB"/>
        </w:rPr>
        <w:t xml:space="preserve"> equals </w:t>
      </w:r>
      <w:r>
        <w:rPr>
          <w:w w:val="100"/>
        </w:rPr>
        <w:t>S</w:t>
      </w:r>
      <w:r>
        <w:rPr>
          <w:w w:val="100"/>
          <w:vertAlign w:val="subscript"/>
        </w:rPr>
        <w:t>-6,6</w:t>
      </w:r>
      <w:r>
        <w:rPr>
          <w:w w:val="100"/>
          <w:lang w:val="en-GB"/>
        </w:rPr>
        <w:t>(</w:t>
      </w:r>
      <w:r>
        <w:rPr>
          <w:i/>
          <w:iCs/>
          <w:w w:val="100"/>
          <w:lang w:val="en-GB"/>
        </w:rPr>
        <w:t>k</w:t>
      </w:r>
      <w:r>
        <w:rPr>
          <w:w w:val="100"/>
          <w:lang w:val="en-GB"/>
        </w:rPr>
        <w:t xml:space="preserve">) if </w:t>
      </w:r>
      <w:r>
        <w:rPr>
          <w:noProof/>
          <w:w w:val="100"/>
          <w:lang w:val="en-GB"/>
        </w:rPr>
        <w:drawing>
          <wp:inline distT="0" distB="0" distL="0" distR="0" wp14:anchorId="63A2F84C" wp14:editId="6A5857C7">
            <wp:extent cx="4572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Pr>
          <w:w w:val="100"/>
          <w:lang w:val="en-GB"/>
        </w:rPr>
        <w:t xml:space="preserve"> and 0 otherwise. </w:t>
      </w:r>
      <w:r>
        <w:rPr>
          <w:w w:val="100"/>
        </w:rPr>
        <w:t>S</w:t>
      </w:r>
      <w:r>
        <w:rPr>
          <w:w w:val="100"/>
          <w:vertAlign w:val="subscript"/>
        </w:rPr>
        <w:t>-6,6</w:t>
      </w:r>
      <w:r>
        <w:rPr>
          <w:w w:val="100"/>
          <w:lang w:val="en-GB"/>
        </w:rPr>
        <w:t xml:space="preserve"> is an implementation dependent sequence. </w:t>
      </w:r>
      <w:ins w:id="77" w:author="Dennis Sundman" w:date="2019-01-13T12:18:00Z">
        <w:r>
          <w:rPr>
            <w:w w:val="100"/>
            <w:lang w:val="en-GB"/>
          </w:rPr>
          <w:t>For HDR</w:t>
        </w:r>
      </w:ins>
      <w:ins w:id="78" w:author="Dennis Sundman" w:date="2019-01-13T12:19:00Z">
        <w:r>
          <w:rPr>
            <w:w w:val="100"/>
            <w:lang w:val="en-GB"/>
          </w:rPr>
          <w:t xml:space="preserve">, </w:t>
        </w:r>
        <w:r>
          <w:rPr>
            <w:noProof/>
            <w:w w:val="100"/>
            <w:lang w:val="en-GB"/>
          </w:rPr>
          <w:drawing>
            <wp:inline distT="0" distB="0" distL="0" distR="0" wp14:anchorId="7E1C6C86" wp14:editId="326268B4">
              <wp:extent cx="3810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w w:val="100"/>
            <w:lang w:val="en-GB"/>
          </w:rPr>
          <w:t xml:space="preserve">is </w:t>
        </w:r>
      </w:ins>
      <w:ins w:id="79" w:author="Dennis Sundman" w:date="2019-01-13T12:20:00Z">
        <w:r>
          <w:rPr>
            <w:w w:val="100"/>
            <w:lang w:val="en-GB"/>
          </w:rPr>
          <w:t>the same</w:t>
        </w:r>
      </w:ins>
      <w:ins w:id="80" w:author="Dennis Sundman" w:date="2019-01-13T12:19:00Z">
        <w:r>
          <w:rPr>
            <w:w w:val="100"/>
            <w:lang w:val="en-GB"/>
          </w:rPr>
          <w:t xml:space="preserve"> </w:t>
        </w:r>
      </w:ins>
      <w:ins w:id="81" w:author="Dennis Sundman" w:date="2019-01-13T12:22:00Z">
        <w:r>
          <w:rPr>
            <w:w w:val="100"/>
            <w:lang w:val="en-GB"/>
          </w:rPr>
          <w:t>within</w:t>
        </w:r>
      </w:ins>
      <w:ins w:id="82" w:author="Dennis Sundman" w:date="2019-01-13T12:19:00Z">
        <w:r>
          <w:rPr>
            <w:w w:val="100"/>
            <w:lang w:val="en-GB"/>
          </w:rPr>
          <w:t xml:space="preserve"> both the WUR-Sync and WUR-Data fields</w:t>
        </w:r>
      </w:ins>
      <w:ins w:id="83" w:author="Dennis Sundman" w:date="2019-01-13T12:20:00Z">
        <w:r>
          <w:rPr>
            <w:w w:val="100"/>
            <w:lang w:val="en-GB"/>
          </w:rPr>
          <w:t xml:space="preserve">. For LDR, </w:t>
        </w:r>
        <w:r>
          <w:rPr>
            <w:noProof/>
            <w:w w:val="100"/>
            <w:lang w:val="en-GB"/>
          </w:rPr>
          <w:drawing>
            <wp:inline distT="0" distB="0" distL="0" distR="0" wp14:anchorId="237C469E" wp14:editId="09898293">
              <wp:extent cx="3810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w w:val="100"/>
            <w:lang w:val="en-GB"/>
          </w:rPr>
          <w:t xml:space="preserve"> is different for the WUR-Sync and WUR-Data fields</w:t>
        </w:r>
      </w:ins>
      <w:ins w:id="84" w:author="Dennis Sundman" w:date="2019-01-13T12:21:00Z">
        <w:r>
          <w:rPr>
            <w:w w:val="100"/>
            <w:lang w:val="en-GB"/>
          </w:rPr>
          <w:t>, but the same within the fields</w:t>
        </w:r>
      </w:ins>
      <w:ins w:id="85" w:author="Dennis Sundman" w:date="2019-01-13T12:28:00Z">
        <w:r>
          <w:rPr>
            <w:w w:val="100"/>
            <w:lang w:val="en-GB"/>
          </w:rPr>
          <w:t xml:space="preserve"> (#306)</w:t>
        </w:r>
      </w:ins>
      <w:ins w:id="86" w:author="Dennis Sundman" w:date="2019-01-13T12:20:00Z">
        <w:r>
          <w:rPr>
            <w:w w:val="100"/>
            <w:lang w:val="en-GB"/>
          </w:rPr>
          <w:t>.</w:t>
        </w:r>
      </w:ins>
      <w:r>
        <w:rPr>
          <w:w w:val="100"/>
          <w:lang w:val="en-GB"/>
        </w:rPr>
        <w:t xml:space="preserve"> </w:t>
      </w:r>
      <w:r>
        <w:rPr>
          <w:w w:val="100"/>
          <w:lang w:val="en-GB"/>
        </w:rPr>
        <w:t xml:space="preserve">Example sequences are described in Table </w:t>
      </w:r>
      <w:r>
        <w:rPr>
          <w:w w:val="100"/>
        </w:rPr>
        <w:t>AB-1 (Example Values for the Sequence S</w:t>
      </w:r>
      <w:r>
        <w:rPr>
          <w:rStyle w:val="Subscript"/>
          <w:w w:val="100"/>
        </w:rPr>
        <w:t>-6,6</w:t>
      </w:r>
      <w:r>
        <w:rPr>
          <w:w w:val="100"/>
        </w:rPr>
        <w:t xml:space="preserve"> used for the Construction of the 2 µs MC-OOK On symbol) and Table AB-2 (Example Values for the Sequence S</w:t>
      </w:r>
      <w:r>
        <w:rPr>
          <w:rStyle w:val="Subscript"/>
          <w:w w:val="100"/>
        </w:rPr>
        <w:t>-6,6</w:t>
      </w:r>
      <w:r>
        <w:rPr>
          <w:w w:val="100"/>
        </w:rPr>
        <w:t xml:space="preserve"> used for the Construction of the 4 µs MC-OOK On symbol).(#317, #163, #227, #261, #666, #1059)</w:t>
      </w:r>
    </w:p>
    <w:p w14:paraId="79C0581D" w14:textId="2036AE63" w:rsidR="00FA629E" w:rsidRPr="008A30A4" w:rsidRDefault="00FA629E" w:rsidP="00FA629E">
      <w:pPr>
        <w:pStyle w:val="T"/>
        <w:rPr>
          <w:b/>
          <w:i/>
          <w:color w:val="C00000"/>
          <w:sz w:val="22"/>
          <w:szCs w:val="22"/>
        </w:rPr>
      </w:pPr>
      <w:proofErr w:type="spellStart"/>
      <w:r w:rsidRPr="008A30A4">
        <w:rPr>
          <w:b/>
          <w:i/>
          <w:color w:val="C00000"/>
          <w:sz w:val="22"/>
          <w:szCs w:val="22"/>
          <w:highlight w:val="yellow"/>
        </w:rPr>
        <w:lastRenderedPageBreak/>
        <w:t>TGba</w:t>
      </w:r>
      <w:proofErr w:type="spellEnd"/>
      <w:r w:rsidRPr="008A30A4">
        <w:rPr>
          <w:b/>
          <w:i/>
          <w:color w:val="C00000"/>
          <w:sz w:val="22"/>
          <w:szCs w:val="22"/>
          <w:highlight w:val="yellow"/>
        </w:rPr>
        <w:t xml:space="preserve"> Editor: Change the following sentences in</w:t>
      </w:r>
      <w:r w:rsidR="008A30A4" w:rsidRPr="008A30A4">
        <w:rPr>
          <w:b/>
          <w:i/>
          <w:color w:val="C00000"/>
          <w:sz w:val="22"/>
          <w:szCs w:val="22"/>
          <w:highlight w:val="yellow"/>
        </w:rPr>
        <w:t xml:space="preserve"> P75L32-33</w:t>
      </w:r>
      <w:r w:rsidRPr="008A30A4">
        <w:rPr>
          <w:b/>
          <w:i/>
          <w:color w:val="C00000"/>
          <w:sz w:val="22"/>
          <w:szCs w:val="22"/>
          <w:highlight w:val="yellow"/>
        </w:rPr>
        <w:t xml:space="preserve"> in </w:t>
      </w:r>
      <w:proofErr w:type="spellStart"/>
      <w:r w:rsidRPr="008A30A4">
        <w:rPr>
          <w:b/>
          <w:i/>
          <w:color w:val="C00000"/>
          <w:sz w:val="22"/>
          <w:szCs w:val="22"/>
          <w:highlight w:val="yellow"/>
        </w:rPr>
        <w:t>TGba</w:t>
      </w:r>
      <w:proofErr w:type="spellEnd"/>
      <w:r w:rsidRPr="008A30A4">
        <w:rPr>
          <w:b/>
          <w:i/>
          <w:color w:val="C00000"/>
          <w:sz w:val="22"/>
          <w:szCs w:val="22"/>
          <w:highlight w:val="yellow"/>
        </w:rPr>
        <w:t xml:space="preserve"> Draft 1.1 as follows</w:t>
      </w:r>
      <w:ins w:id="87" w:author="Dennis Sundman" w:date="2019-01-13T12:51:00Z">
        <w:r w:rsidR="00A3595B">
          <w:rPr>
            <w:b/>
            <w:i/>
            <w:color w:val="C00000"/>
            <w:sz w:val="22"/>
            <w:szCs w:val="22"/>
            <w:highlight w:val="yellow"/>
          </w:rPr>
          <w:t xml:space="preserve"> (#1199)</w:t>
        </w:r>
      </w:ins>
      <w:r w:rsidRPr="008A30A4">
        <w:rPr>
          <w:b/>
          <w:i/>
          <w:color w:val="C00000"/>
          <w:sz w:val="22"/>
          <w:szCs w:val="22"/>
          <w:highlight w:val="yellow"/>
        </w:rPr>
        <w:t>:</w:t>
      </w:r>
    </w:p>
    <w:p w14:paraId="311D0323" w14:textId="77777777" w:rsidR="00FA629E" w:rsidRDefault="00FA629E" w:rsidP="00FA629E">
      <w:pPr>
        <w:pStyle w:val="T"/>
        <w:rPr>
          <w:w w:val="100"/>
        </w:rPr>
      </w:pPr>
      <w:r>
        <w:rPr>
          <w:w w:val="100"/>
        </w:rPr>
        <w:t>For a single 20 MHz WUR channel, the 2 µs MC-OOK On symbol can be constructed by the On-Waveform Generator (On-WG) using a 64-point IDFT, sampling at 20 MHz as follows:</w:t>
      </w:r>
    </w:p>
    <w:p w14:paraId="410E254A" w14:textId="5FE49262" w:rsidR="00FA629E" w:rsidRDefault="00FA629E" w:rsidP="00FA629E">
      <w:pPr>
        <w:pStyle w:val="DL1"/>
        <w:numPr>
          <w:ilvl w:val="0"/>
          <w:numId w:val="3"/>
        </w:numPr>
        <w:ind w:left="640"/>
        <w:rPr>
          <w:w w:val="100"/>
        </w:rPr>
      </w:pPr>
      <w:r>
        <w:rPr>
          <w:w w:val="100"/>
        </w:rPr>
        <w:t xml:space="preserve">Thirteen subcarriers are used, </w:t>
      </w:r>
      <w:ins w:id="88" w:author="Dennis Sundman" w:date="2019-01-13T12:30:00Z">
        <w:r>
          <w:rPr>
            <w:w w:val="100"/>
          </w:rPr>
          <w:t xml:space="preserve">with subcarrier indices </w:t>
        </w:r>
        <m:oMath>
          <m:r>
            <w:rPr>
              <w:rFonts w:ascii="Cambria Math" w:hAnsi="Cambria Math"/>
              <w:w w:val="100"/>
            </w:rPr>
            <m:t xml:space="preserve">k = </m:t>
          </m:r>
        </m:oMath>
      </w:ins>
      <m:oMath>
        <m:d>
          <m:dPr>
            <m:ctrlPr>
              <w:del w:id="89" w:author="Dennis Sundman" w:date="2019-01-13T12:31:00Z">
                <w:rPr>
                  <w:rFonts w:ascii="Cambria Math" w:hAnsi="Cambria Math"/>
                  <w:i/>
                  <w:w w:val="100"/>
                </w:rPr>
              </w:del>
            </m:ctrlPr>
          </m:dPr>
          <m:e>
            <m:r>
              <w:rPr>
                <w:rFonts w:ascii="Cambria Math" w:hAnsi="Cambria Math"/>
                <w:w w:val="100"/>
              </w:rPr>
              <m:t>-6, -5, … -1, 0, 1, 2, … 6</m:t>
            </m:r>
          </m:e>
        </m:d>
        <m:r>
          <w:ins w:id="90" w:author="Dennis Sundman" w:date="2019-01-13T12:49:00Z">
            <w:rPr>
              <w:rFonts w:ascii="Cambria Math" w:hAnsi="Cambria Math"/>
              <w:w w:val="100"/>
            </w:rPr>
            <m:t>(#1199)</m:t>
          </w:ins>
        </m:r>
      </m:oMath>
      <w:r>
        <w:rPr>
          <w:w w:val="100"/>
        </w:rPr>
        <w:t>.</w:t>
      </w:r>
    </w:p>
    <w:p w14:paraId="08495DBC" w14:textId="416E2AFF" w:rsidR="00A733B3" w:rsidRDefault="00FA629E" w:rsidP="00A0363F">
      <w:pPr>
        <w:pStyle w:val="DL1"/>
        <w:numPr>
          <w:ilvl w:val="0"/>
          <w:numId w:val="3"/>
        </w:numPr>
        <w:ind w:left="640"/>
        <w:rPr>
          <w:w w:val="100"/>
        </w:rPr>
      </w:pPr>
      <w:r>
        <w:rPr>
          <w:w w:val="100"/>
        </w:rPr>
        <w:t xml:space="preserve">The following subcarriers are null: </w:t>
      </w:r>
      <m:oMath>
        <m:r>
          <w:ins w:id="91" w:author="Dennis Sundman" w:date="2019-01-13T12:34:00Z">
            <w:rPr>
              <w:rFonts w:ascii="Cambria Math" w:hAnsi="Cambria Math"/>
              <w:w w:val="100"/>
            </w:rPr>
            <m:t>k=</m:t>
          </w:ins>
        </m:r>
        <m:d>
          <m:dPr>
            <m:ctrlPr>
              <w:del w:id="92" w:author="Dennis Sundman" w:date="2019-01-13T12:34:00Z">
                <w:rPr>
                  <w:rFonts w:ascii="Cambria Math" w:hAnsi="Cambria Math"/>
                  <w:i/>
                  <w:w w:val="100"/>
                </w:rPr>
              </w:del>
            </m:ctrlPr>
          </m:dPr>
          <m:e>
            <m:r>
              <w:rPr>
                <w:rFonts w:ascii="Cambria Math" w:hAnsi="Cambria Math"/>
                <w:w w:val="100"/>
              </w:rPr>
              <m:t>-5, -3, -1, 0, 1, 3, 5</m:t>
            </m:r>
          </m:e>
        </m:d>
        <m:r>
          <w:ins w:id="93" w:author="Dennis Sundman" w:date="2019-01-13T12:49:00Z">
            <w:rPr>
              <w:rFonts w:ascii="Cambria Math" w:hAnsi="Cambria Math"/>
              <w:w w:val="100"/>
            </w:rPr>
            <m:t>(#1199)</m:t>
          </w:ins>
        </m:r>
      </m:oMath>
      <w:r>
        <w:rPr>
          <w:w w:val="100"/>
        </w:rPr>
        <w:t xml:space="preserve">. </w:t>
      </w:r>
    </w:p>
    <w:p w14:paraId="4346B1A3" w14:textId="7835FCFC" w:rsidR="00FA629E" w:rsidRPr="008A30A4" w:rsidRDefault="00FA629E" w:rsidP="00FA629E">
      <w:pPr>
        <w:pStyle w:val="T"/>
        <w:rPr>
          <w:b/>
          <w:i/>
          <w:color w:val="C00000"/>
          <w:sz w:val="22"/>
          <w:szCs w:val="22"/>
        </w:rPr>
      </w:pPr>
      <w:proofErr w:type="spellStart"/>
      <w:r w:rsidRPr="008A30A4">
        <w:rPr>
          <w:b/>
          <w:i/>
          <w:color w:val="C00000"/>
          <w:sz w:val="22"/>
          <w:szCs w:val="22"/>
          <w:highlight w:val="yellow"/>
        </w:rPr>
        <w:t>TGba</w:t>
      </w:r>
      <w:proofErr w:type="spellEnd"/>
      <w:r w:rsidRPr="008A30A4">
        <w:rPr>
          <w:b/>
          <w:i/>
          <w:color w:val="C00000"/>
          <w:sz w:val="22"/>
          <w:szCs w:val="22"/>
          <w:highlight w:val="yellow"/>
        </w:rPr>
        <w:t xml:space="preserve"> Editor: Change the following sentences in</w:t>
      </w:r>
      <w:r w:rsidR="008A30A4" w:rsidRPr="008A30A4">
        <w:rPr>
          <w:b/>
          <w:i/>
          <w:color w:val="C00000"/>
          <w:sz w:val="22"/>
          <w:szCs w:val="22"/>
          <w:highlight w:val="yellow"/>
        </w:rPr>
        <w:t xml:space="preserve"> P76L28 </w:t>
      </w:r>
      <w:r w:rsidRPr="008A30A4">
        <w:rPr>
          <w:b/>
          <w:i/>
          <w:color w:val="C00000"/>
          <w:sz w:val="22"/>
          <w:szCs w:val="22"/>
          <w:highlight w:val="yellow"/>
        </w:rPr>
        <w:t xml:space="preserve"> in </w:t>
      </w:r>
      <w:proofErr w:type="spellStart"/>
      <w:r w:rsidRPr="008A30A4">
        <w:rPr>
          <w:b/>
          <w:i/>
          <w:color w:val="C00000"/>
          <w:sz w:val="22"/>
          <w:szCs w:val="22"/>
          <w:highlight w:val="yellow"/>
        </w:rPr>
        <w:t>TGba</w:t>
      </w:r>
      <w:proofErr w:type="spellEnd"/>
      <w:r w:rsidRPr="008A30A4">
        <w:rPr>
          <w:b/>
          <w:i/>
          <w:color w:val="C00000"/>
          <w:sz w:val="22"/>
          <w:szCs w:val="22"/>
          <w:highlight w:val="yellow"/>
        </w:rPr>
        <w:t xml:space="preserve"> Draft 1.1 as follows</w:t>
      </w:r>
      <w:ins w:id="94" w:author="Dennis Sundman" w:date="2019-01-13T12:51:00Z">
        <w:r w:rsidR="00A3595B">
          <w:rPr>
            <w:b/>
            <w:i/>
            <w:color w:val="C00000"/>
            <w:sz w:val="22"/>
            <w:szCs w:val="22"/>
            <w:highlight w:val="yellow"/>
          </w:rPr>
          <w:t xml:space="preserve"> (#1199)</w:t>
        </w:r>
      </w:ins>
      <w:r w:rsidRPr="008A30A4">
        <w:rPr>
          <w:b/>
          <w:i/>
          <w:color w:val="C00000"/>
          <w:sz w:val="22"/>
          <w:szCs w:val="22"/>
          <w:highlight w:val="yellow"/>
        </w:rPr>
        <w:t>:</w:t>
      </w:r>
    </w:p>
    <w:p w14:paraId="1ECE5B36" w14:textId="77777777" w:rsidR="00FA629E" w:rsidRDefault="00FA629E" w:rsidP="00FA629E">
      <w:pPr>
        <w:pStyle w:val="T"/>
        <w:rPr>
          <w:w w:val="100"/>
        </w:rPr>
      </w:pPr>
      <w:r>
        <w:rPr>
          <w:w w:val="100"/>
        </w:rPr>
        <w:t>For a single 20 MHz WUR channel the 4 µs MC-OOK On symbol can be constructed by the On-Waveform Generator (On-WG) using a 64-point IDFT, sampling at 20 MHz as follows:</w:t>
      </w:r>
    </w:p>
    <w:p w14:paraId="6D8DFBE2" w14:textId="670E9BE1" w:rsidR="00FA629E" w:rsidRDefault="00FA629E" w:rsidP="00FA629E">
      <w:pPr>
        <w:pStyle w:val="DL1"/>
        <w:numPr>
          <w:ilvl w:val="0"/>
          <w:numId w:val="3"/>
        </w:numPr>
        <w:ind w:left="640"/>
        <w:rPr>
          <w:w w:val="100"/>
        </w:rPr>
      </w:pPr>
      <w:r>
        <w:rPr>
          <w:w w:val="100"/>
        </w:rPr>
        <w:t xml:space="preserve">Thirteen subcarriers are used, </w:t>
      </w:r>
      <w:ins w:id="95" w:author="Dennis Sundman" w:date="2019-01-13T12:34:00Z">
        <w:r>
          <w:rPr>
            <w:w w:val="100"/>
          </w:rPr>
          <w:t xml:space="preserve">with subcarrier indices </w:t>
        </w:r>
        <m:oMath>
          <m:r>
            <w:rPr>
              <w:rFonts w:ascii="Cambria Math" w:hAnsi="Cambria Math"/>
              <w:w w:val="100"/>
            </w:rPr>
            <m:t>k=</m:t>
          </m:r>
        </m:oMath>
      </w:ins>
      <m:oMath>
        <m:r>
          <w:del w:id="96" w:author="Dennis Sundman" w:date="2019-01-13T12:34:00Z">
            <w:rPr>
              <w:rFonts w:ascii="Cambria Math" w:hAnsi="Cambria Math"/>
              <w:w w:val="100"/>
            </w:rPr>
            <m:t>(</m:t>
          </w:del>
        </m:r>
        <m:r>
          <w:rPr>
            <w:rFonts w:ascii="Cambria Math" w:hAnsi="Cambria Math"/>
            <w:w w:val="100"/>
          </w:rPr>
          <m:t>-6, -5, … -1, 0, 1, 2, … 6</m:t>
        </m:r>
      </m:oMath>
      <w:del w:id="97" w:author="Dennis Sundman" w:date="2019-01-13T12:34:00Z">
        <w:r w:rsidDel="00BE346A">
          <w:rPr>
            <w:w w:val="100"/>
          </w:rPr>
          <w:delText>)</w:delText>
        </w:r>
      </w:del>
      <w:ins w:id="98" w:author="Dennis Sundman" w:date="2019-01-13T12:49:00Z">
        <w:r w:rsidR="008A30A4">
          <w:rPr>
            <w:w w:val="100"/>
          </w:rPr>
          <w:t xml:space="preserve"> (#1199)</w:t>
        </w:r>
      </w:ins>
      <w:r>
        <w:rPr>
          <w:w w:val="100"/>
        </w:rPr>
        <w:t>.</w:t>
      </w:r>
    </w:p>
    <w:p w14:paraId="14F8103D" w14:textId="77777777" w:rsidR="00FA629E" w:rsidRDefault="00FA629E" w:rsidP="00FA629E">
      <w:pPr>
        <w:pStyle w:val="T"/>
        <w:rPr>
          <w:b/>
          <w:i/>
          <w:color w:val="C00000"/>
        </w:rPr>
      </w:pPr>
    </w:p>
    <w:p w14:paraId="2078544C" w14:textId="77777777" w:rsidR="00FA629E" w:rsidRPr="00FA629E" w:rsidRDefault="00FA629E" w:rsidP="00FA629E">
      <w:pPr>
        <w:pStyle w:val="DL1"/>
        <w:ind w:left="0" w:firstLine="0"/>
        <w:rPr>
          <w:w w:val="100"/>
        </w:rPr>
      </w:pPr>
    </w:p>
    <w:p w14:paraId="11E915BE" w14:textId="1228FC78" w:rsidR="00B37A69" w:rsidRDefault="00B37A69"/>
    <w:p w14:paraId="660B2E91" w14:textId="56065168" w:rsidR="00B37A69" w:rsidRDefault="00B37A69"/>
    <w:p w14:paraId="4B6DEFBA" w14:textId="53929074" w:rsidR="00B37A69" w:rsidRDefault="00B37A69"/>
    <w:p w14:paraId="38BCA2D5" w14:textId="37BFA669" w:rsidR="00B37A69" w:rsidRDefault="00B37A69"/>
    <w:p w14:paraId="4E5FEC9A" w14:textId="51049D58" w:rsidR="00B37A69" w:rsidRDefault="00B37A69"/>
    <w:p w14:paraId="39152B29" w14:textId="7C2596D6" w:rsidR="00B37A69" w:rsidRDefault="00B37A69"/>
    <w:p w14:paraId="491892DE" w14:textId="4EC723B1" w:rsidR="00B37A69" w:rsidRDefault="00B37A69"/>
    <w:p w14:paraId="48B11D5C" w14:textId="4DC02704" w:rsidR="00B37A69" w:rsidRDefault="00B37A69"/>
    <w:p w14:paraId="5FA5A110" w14:textId="7020D021" w:rsidR="00B37A69" w:rsidRDefault="00B37A69"/>
    <w:p w14:paraId="35DD82B7" w14:textId="0DEC82B8" w:rsidR="00B37A69" w:rsidRDefault="00B37A69"/>
    <w:p w14:paraId="455F9753" w14:textId="7F3D13C1" w:rsidR="00B37A69" w:rsidRDefault="00B37A69"/>
    <w:p w14:paraId="652BD3B0" w14:textId="5D64FB73" w:rsidR="00B37A69" w:rsidRDefault="00B37A69"/>
    <w:p w14:paraId="2D2BBA30" w14:textId="77777777"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3D8C3" w14:textId="77777777" w:rsidR="0099178D" w:rsidRDefault="0099178D">
      <w:r>
        <w:separator/>
      </w:r>
    </w:p>
  </w:endnote>
  <w:endnote w:type="continuationSeparator" w:id="0">
    <w:p w14:paraId="633B3178" w14:textId="77777777" w:rsidR="0099178D" w:rsidRDefault="00991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7F053" w14:textId="630AC799" w:rsidR="0029020B" w:rsidRDefault="006275FA">
    <w:pPr>
      <w:pStyle w:val="Footer"/>
      <w:tabs>
        <w:tab w:val="clear" w:pos="6480"/>
        <w:tab w:val="center" w:pos="4680"/>
        <w:tab w:val="right" w:pos="9360"/>
      </w:tabs>
    </w:pPr>
    <w:r>
      <w:fldChar w:fldCharType="begin"/>
    </w:r>
    <w:r>
      <w:instrText xml:space="preserve"> SUBJECT  \* MERGEFORMAT </w:instrText>
    </w:r>
    <w:r>
      <w:fldChar w:fldCharType="separate"/>
    </w:r>
    <w:r w:rsidR="0099178D">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1C3D0A">
      <w:t>Dennis Sundman</w:t>
    </w:r>
    <w:r w:rsidR="0099178D">
      <w:t xml:space="preserve">, </w:t>
    </w:r>
    <w:r w:rsidR="001C3D0A">
      <w:t>Ericsson</w:t>
    </w:r>
    <w:r>
      <w:fldChar w:fldCharType="end"/>
    </w:r>
  </w:p>
  <w:p w14:paraId="4E3B5CEB"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64B54" w14:textId="77777777" w:rsidR="0099178D" w:rsidRDefault="0099178D">
      <w:r>
        <w:separator/>
      </w:r>
    </w:p>
  </w:footnote>
  <w:footnote w:type="continuationSeparator" w:id="0">
    <w:p w14:paraId="3271C75C" w14:textId="77777777" w:rsidR="0099178D" w:rsidRDefault="00991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A44BE" w14:textId="5F829D3B" w:rsidR="0029020B" w:rsidRDefault="006275FA">
    <w:pPr>
      <w:pStyle w:val="Header"/>
      <w:tabs>
        <w:tab w:val="clear" w:pos="6480"/>
        <w:tab w:val="center" w:pos="4680"/>
        <w:tab w:val="right" w:pos="9360"/>
      </w:tabs>
    </w:pPr>
    <w:r>
      <w:fldChar w:fldCharType="begin"/>
    </w:r>
    <w:r>
      <w:instrText xml:space="preserve"> KEYWORDS  \* MERGEFORMAT </w:instrText>
    </w:r>
    <w:r>
      <w:fldChar w:fldCharType="separate"/>
    </w:r>
    <w:r w:rsidR="001C3D0A">
      <w:t>January</w:t>
    </w:r>
    <w:r w:rsidR="0099178D">
      <w:t xml:space="preserve"> </w:t>
    </w:r>
    <w:r w:rsidR="001C3D0A">
      <w:t>2019</w:t>
    </w:r>
    <w:r>
      <w:fldChar w:fldCharType="end"/>
    </w:r>
    <w:r w:rsidR="0029020B">
      <w:tab/>
    </w:r>
    <w:r w:rsidR="0029020B">
      <w:tab/>
    </w:r>
    <w:r>
      <w:fldChar w:fldCharType="begin"/>
    </w:r>
    <w:r>
      <w:instrText xml:space="preserve"> TITLE  \* MERGEFORMAT </w:instrText>
    </w:r>
    <w:r>
      <w:fldChar w:fldCharType="separate"/>
    </w:r>
    <w:r w:rsidR="0099178D">
      <w:t>doc.: IEEE 802.11-</w:t>
    </w:r>
    <w:r w:rsidR="001C3D0A">
      <w:t>19</w:t>
    </w:r>
    <w:r w:rsidR="0099178D">
      <w:t>/</w:t>
    </w:r>
    <w:r w:rsidR="001C3D0A">
      <w:t>0068</w:t>
    </w:r>
    <w:r w:rsidR="0099178D">
      <w:t>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5C0B2F6"/>
    <w:lvl w:ilvl="0">
      <w:numFmt w:val="bullet"/>
      <w:lvlText w:val="*"/>
      <w:lvlJc w:val="left"/>
    </w:lvl>
  </w:abstractNum>
  <w:num w:numId="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
    <w:abstractNumId w:val="0"/>
    <w:lvlOverride w:ilvl="0">
      <w:lvl w:ilvl="0">
        <w:start w:val="1"/>
        <w:numFmt w:val="bullet"/>
        <w:lvlText w:val="32.2.3 "/>
        <w:legacy w:legacy="1" w:legacySpace="0" w:legacyIndent="0"/>
        <w:lvlJc w:val="left"/>
        <w:rPr>
          <w:rFonts w:ascii="Arial" w:hAnsi="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nnis Sundman">
    <w15:presenceInfo w15:providerId="AD" w15:userId="S-1-5-21-1538607324-3213881460-940295383-5561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78D"/>
    <w:rsid w:val="001C3D0A"/>
    <w:rsid w:val="001D723B"/>
    <w:rsid w:val="0028537E"/>
    <w:rsid w:val="0029020B"/>
    <w:rsid w:val="002D44BE"/>
    <w:rsid w:val="00406D57"/>
    <w:rsid w:val="00442037"/>
    <w:rsid w:val="004B064B"/>
    <w:rsid w:val="0062440B"/>
    <w:rsid w:val="006275FA"/>
    <w:rsid w:val="00695374"/>
    <w:rsid w:val="006C0727"/>
    <w:rsid w:val="006E145F"/>
    <w:rsid w:val="00770572"/>
    <w:rsid w:val="008277B5"/>
    <w:rsid w:val="008A30A4"/>
    <w:rsid w:val="008D0F68"/>
    <w:rsid w:val="008E5F07"/>
    <w:rsid w:val="0099178D"/>
    <w:rsid w:val="009F2FBC"/>
    <w:rsid w:val="00A0363F"/>
    <w:rsid w:val="00A3595B"/>
    <w:rsid w:val="00A733B3"/>
    <w:rsid w:val="00AA427C"/>
    <w:rsid w:val="00AA67EE"/>
    <w:rsid w:val="00B37A69"/>
    <w:rsid w:val="00B60748"/>
    <w:rsid w:val="00BA06F2"/>
    <w:rsid w:val="00BE620A"/>
    <w:rsid w:val="00BE68C2"/>
    <w:rsid w:val="00CA09B2"/>
    <w:rsid w:val="00DC5A7B"/>
    <w:rsid w:val="00EF7666"/>
    <w:rsid w:val="00FA629E"/>
    <w:rsid w:val="00FC0A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6F5763"/>
  <w15:chartTrackingRefBased/>
  <w15:docId w15:val="{0121A46C-DA72-41F7-8446-004814B5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L1">
    <w:name w:val="DL1"/>
    <w:aliases w:val="DashedList1"/>
    <w:uiPriority w:val="99"/>
    <w:rsid w:val="00A0363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H3">
    <w:name w:val="H3"/>
    <w:aliases w:val="1.1.1"/>
    <w:next w:val="T"/>
    <w:uiPriority w:val="99"/>
    <w:rsid w:val="00A03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rPr>
  </w:style>
  <w:style w:type="paragraph" w:customStyle="1" w:styleId="T">
    <w:name w:val="T"/>
    <w:aliases w:val="Text"/>
    <w:uiPriority w:val="99"/>
    <w:rsid w:val="00A036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val="en-US"/>
    </w:rPr>
  </w:style>
  <w:style w:type="paragraph" w:styleId="BalloonText">
    <w:name w:val="Balloon Text"/>
    <w:basedOn w:val="Normal"/>
    <w:link w:val="BalloonTextChar"/>
    <w:rsid w:val="00A0363F"/>
    <w:rPr>
      <w:rFonts w:ascii="Segoe UI" w:hAnsi="Segoe UI" w:cs="Segoe UI"/>
      <w:sz w:val="18"/>
      <w:szCs w:val="18"/>
    </w:rPr>
  </w:style>
  <w:style w:type="character" w:customStyle="1" w:styleId="BalloonTextChar">
    <w:name w:val="Balloon Text Char"/>
    <w:basedOn w:val="DefaultParagraphFont"/>
    <w:link w:val="BalloonText"/>
    <w:rsid w:val="00A0363F"/>
    <w:rPr>
      <w:rFonts w:ascii="Segoe UI" w:hAnsi="Segoe UI" w:cs="Segoe UI"/>
      <w:sz w:val="18"/>
      <w:szCs w:val="18"/>
      <w:lang w:val="en-GB" w:eastAsia="en-US"/>
    </w:rPr>
  </w:style>
  <w:style w:type="character" w:customStyle="1" w:styleId="Subscript">
    <w:name w:val="Subscript"/>
    <w:uiPriority w:val="99"/>
    <w:rsid w:val="00A733B3"/>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3503">
      <w:bodyDiv w:val="1"/>
      <w:marLeft w:val="0"/>
      <w:marRight w:val="0"/>
      <w:marTop w:val="0"/>
      <w:marBottom w:val="0"/>
      <w:divBdr>
        <w:top w:val="none" w:sz="0" w:space="0" w:color="auto"/>
        <w:left w:val="none" w:sz="0" w:space="0" w:color="auto"/>
        <w:bottom w:val="none" w:sz="0" w:space="0" w:color="auto"/>
        <w:right w:val="none" w:sz="0" w:space="0" w:color="auto"/>
      </w:divBdr>
    </w:div>
    <w:div w:id="149372518">
      <w:bodyDiv w:val="1"/>
      <w:marLeft w:val="0"/>
      <w:marRight w:val="0"/>
      <w:marTop w:val="0"/>
      <w:marBottom w:val="0"/>
      <w:divBdr>
        <w:top w:val="none" w:sz="0" w:space="0" w:color="auto"/>
        <w:left w:val="none" w:sz="0" w:space="0" w:color="auto"/>
        <w:bottom w:val="none" w:sz="0" w:space="0" w:color="auto"/>
        <w:right w:val="none" w:sz="0" w:space="0" w:color="auto"/>
      </w:divBdr>
    </w:div>
    <w:div w:id="198860518">
      <w:bodyDiv w:val="1"/>
      <w:marLeft w:val="0"/>
      <w:marRight w:val="0"/>
      <w:marTop w:val="0"/>
      <w:marBottom w:val="0"/>
      <w:divBdr>
        <w:top w:val="none" w:sz="0" w:space="0" w:color="auto"/>
        <w:left w:val="none" w:sz="0" w:space="0" w:color="auto"/>
        <w:bottom w:val="none" w:sz="0" w:space="0" w:color="auto"/>
        <w:right w:val="none" w:sz="0" w:space="0" w:color="auto"/>
      </w:divBdr>
    </w:div>
    <w:div w:id="476578802">
      <w:bodyDiv w:val="1"/>
      <w:marLeft w:val="0"/>
      <w:marRight w:val="0"/>
      <w:marTop w:val="0"/>
      <w:marBottom w:val="0"/>
      <w:divBdr>
        <w:top w:val="none" w:sz="0" w:space="0" w:color="auto"/>
        <w:left w:val="none" w:sz="0" w:space="0" w:color="auto"/>
        <w:bottom w:val="none" w:sz="0" w:space="0" w:color="auto"/>
        <w:right w:val="none" w:sz="0" w:space="0" w:color="auto"/>
      </w:divBdr>
    </w:div>
    <w:div w:id="646477855">
      <w:bodyDiv w:val="1"/>
      <w:marLeft w:val="0"/>
      <w:marRight w:val="0"/>
      <w:marTop w:val="0"/>
      <w:marBottom w:val="0"/>
      <w:divBdr>
        <w:top w:val="none" w:sz="0" w:space="0" w:color="auto"/>
        <w:left w:val="none" w:sz="0" w:space="0" w:color="auto"/>
        <w:bottom w:val="none" w:sz="0" w:space="0" w:color="auto"/>
        <w:right w:val="none" w:sz="0" w:space="0" w:color="auto"/>
      </w:divBdr>
    </w:div>
    <w:div w:id="646594386">
      <w:bodyDiv w:val="1"/>
      <w:marLeft w:val="0"/>
      <w:marRight w:val="0"/>
      <w:marTop w:val="0"/>
      <w:marBottom w:val="0"/>
      <w:divBdr>
        <w:top w:val="none" w:sz="0" w:space="0" w:color="auto"/>
        <w:left w:val="none" w:sz="0" w:space="0" w:color="auto"/>
        <w:bottom w:val="none" w:sz="0" w:space="0" w:color="auto"/>
        <w:right w:val="none" w:sz="0" w:space="0" w:color="auto"/>
      </w:divBdr>
    </w:div>
    <w:div w:id="710808152">
      <w:bodyDiv w:val="1"/>
      <w:marLeft w:val="0"/>
      <w:marRight w:val="0"/>
      <w:marTop w:val="0"/>
      <w:marBottom w:val="0"/>
      <w:divBdr>
        <w:top w:val="none" w:sz="0" w:space="0" w:color="auto"/>
        <w:left w:val="none" w:sz="0" w:space="0" w:color="auto"/>
        <w:bottom w:val="none" w:sz="0" w:space="0" w:color="auto"/>
        <w:right w:val="none" w:sz="0" w:space="0" w:color="auto"/>
      </w:divBdr>
    </w:div>
    <w:div w:id="724795341">
      <w:bodyDiv w:val="1"/>
      <w:marLeft w:val="0"/>
      <w:marRight w:val="0"/>
      <w:marTop w:val="0"/>
      <w:marBottom w:val="0"/>
      <w:divBdr>
        <w:top w:val="none" w:sz="0" w:space="0" w:color="auto"/>
        <w:left w:val="none" w:sz="0" w:space="0" w:color="auto"/>
        <w:bottom w:val="none" w:sz="0" w:space="0" w:color="auto"/>
        <w:right w:val="none" w:sz="0" w:space="0" w:color="auto"/>
      </w:divBdr>
    </w:div>
    <w:div w:id="764614697">
      <w:bodyDiv w:val="1"/>
      <w:marLeft w:val="0"/>
      <w:marRight w:val="0"/>
      <w:marTop w:val="0"/>
      <w:marBottom w:val="0"/>
      <w:divBdr>
        <w:top w:val="none" w:sz="0" w:space="0" w:color="auto"/>
        <w:left w:val="none" w:sz="0" w:space="0" w:color="auto"/>
        <w:bottom w:val="none" w:sz="0" w:space="0" w:color="auto"/>
        <w:right w:val="none" w:sz="0" w:space="0" w:color="auto"/>
      </w:divBdr>
    </w:div>
    <w:div w:id="950161363">
      <w:bodyDiv w:val="1"/>
      <w:marLeft w:val="0"/>
      <w:marRight w:val="0"/>
      <w:marTop w:val="0"/>
      <w:marBottom w:val="0"/>
      <w:divBdr>
        <w:top w:val="none" w:sz="0" w:space="0" w:color="auto"/>
        <w:left w:val="none" w:sz="0" w:space="0" w:color="auto"/>
        <w:bottom w:val="none" w:sz="0" w:space="0" w:color="auto"/>
        <w:right w:val="none" w:sz="0" w:space="0" w:color="auto"/>
      </w:divBdr>
    </w:div>
    <w:div w:id="977957818">
      <w:bodyDiv w:val="1"/>
      <w:marLeft w:val="0"/>
      <w:marRight w:val="0"/>
      <w:marTop w:val="0"/>
      <w:marBottom w:val="0"/>
      <w:divBdr>
        <w:top w:val="none" w:sz="0" w:space="0" w:color="auto"/>
        <w:left w:val="none" w:sz="0" w:space="0" w:color="auto"/>
        <w:bottom w:val="none" w:sz="0" w:space="0" w:color="auto"/>
        <w:right w:val="none" w:sz="0" w:space="0" w:color="auto"/>
      </w:divBdr>
    </w:div>
    <w:div w:id="1110318321">
      <w:bodyDiv w:val="1"/>
      <w:marLeft w:val="0"/>
      <w:marRight w:val="0"/>
      <w:marTop w:val="0"/>
      <w:marBottom w:val="0"/>
      <w:divBdr>
        <w:top w:val="none" w:sz="0" w:space="0" w:color="auto"/>
        <w:left w:val="none" w:sz="0" w:space="0" w:color="auto"/>
        <w:bottom w:val="none" w:sz="0" w:space="0" w:color="auto"/>
        <w:right w:val="none" w:sz="0" w:space="0" w:color="auto"/>
      </w:divBdr>
    </w:div>
    <w:div w:id="1319111155">
      <w:bodyDiv w:val="1"/>
      <w:marLeft w:val="0"/>
      <w:marRight w:val="0"/>
      <w:marTop w:val="0"/>
      <w:marBottom w:val="0"/>
      <w:divBdr>
        <w:top w:val="none" w:sz="0" w:space="0" w:color="auto"/>
        <w:left w:val="none" w:sz="0" w:space="0" w:color="auto"/>
        <w:bottom w:val="none" w:sz="0" w:space="0" w:color="auto"/>
        <w:right w:val="none" w:sz="0" w:space="0" w:color="auto"/>
      </w:divBdr>
    </w:div>
    <w:div w:id="1344431239">
      <w:bodyDiv w:val="1"/>
      <w:marLeft w:val="0"/>
      <w:marRight w:val="0"/>
      <w:marTop w:val="0"/>
      <w:marBottom w:val="0"/>
      <w:divBdr>
        <w:top w:val="none" w:sz="0" w:space="0" w:color="auto"/>
        <w:left w:val="none" w:sz="0" w:space="0" w:color="auto"/>
        <w:bottom w:val="none" w:sz="0" w:space="0" w:color="auto"/>
        <w:right w:val="none" w:sz="0" w:space="0" w:color="auto"/>
      </w:divBdr>
    </w:div>
    <w:div w:id="1463886510">
      <w:bodyDiv w:val="1"/>
      <w:marLeft w:val="0"/>
      <w:marRight w:val="0"/>
      <w:marTop w:val="0"/>
      <w:marBottom w:val="0"/>
      <w:divBdr>
        <w:top w:val="none" w:sz="0" w:space="0" w:color="auto"/>
        <w:left w:val="none" w:sz="0" w:space="0" w:color="auto"/>
        <w:bottom w:val="none" w:sz="0" w:space="0" w:color="auto"/>
        <w:right w:val="none" w:sz="0" w:space="0" w:color="auto"/>
      </w:divBdr>
    </w:div>
    <w:div w:id="1495102726">
      <w:bodyDiv w:val="1"/>
      <w:marLeft w:val="0"/>
      <w:marRight w:val="0"/>
      <w:marTop w:val="0"/>
      <w:marBottom w:val="0"/>
      <w:divBdr>
        <w:top w:val="none" w:sz="0" w:space="0" w:color="auto"/>
        <w:left w:val="none" w:sz="0" w:space="0" w:color="auto"/>
        <w:bottom w:val="none" w:sz="0" w:space="0" w:color="auto"/>
        <w:right w:val="none" w:sz="0" w:space="0" w:color="auto"/>
      </w:divBdr>
    </w:div>
    <w:div w:id="1513952595">
      <w:bodyDiv w:val="1"/>
      <w:marLeft w:val="0"/>
      <w:marRight w:val="0"/>
      <w:marTop w:val="0"/>
      <w:marBottom w:val="0"/>
      <w:divBdr>
        <w:top w:val="none" w:sz="0" w:space="0" w:color="auto"/>
        <w:left w:val="none" w:sz="0" w:space="0" w:color="auto"/>
        <w:bottom w:val="none" w:sz="0" w:space="0" w:color="auto"/>
        <w:right w:val="none" w:sz="0" w:space="0" w:color="auto"/>
      </w:divBdr>
    </w:div>
    <w:div w:id="1558735866">
      <w:bodyDiv w:val="1"/>
      <w:marLeft w:val="0"/>
      <w:marRight w:val="0"/>
      <w:marTop w:val="0"/>
      <w:marBottom w:val="0"/>
      <w:divBdr>
        <w:top w:val="none" w:sz="0" w:space="0" w:color="auto"/>
        <w:left w:val="none" w:sz="0" w:space="0" w:color="auto"/>
        <w:bottom w:val="none" w:sz="0" w:space="0" w:color="auto"/>
        <w:right w:val="none" w:sz="0" w:space="0" w:color="auto"/>
      </w:divBdr>
    </w:div>
    <w:div w:id="1594170336">
      <w:bodyDiv w:val="1"/>
      <w:marLeft w:val="0"/>
      <w:marRight w:val="0"/>
      <w:marTop w:val="0"/>
      <w:marBottom w:val="0"/>
      <w:divBdr>
        <w:top w:val="none" w:sz="0" w:space="0" w:color="auto"/>
        <w:left w:val="none" w:sz="0" w:space="0" w:color="auto"/>
        <w:bottom w:val="none" w:sz="0" w:space="0" w:color="auto"/>
        <w:right w:val="none" w:sz="0" w:space="0" w:color="auto"/>
      </w:divBdr>
    </w:div>
    <w:div w:id="1631936182">
      <w:bodyDiv w:val="1"/>
      <w:marLeft w:val="0"/>
      <w:marRight w:val="0"/>
      <w:marTop w:val="0"/>
      <w:marBottom w:val="0"/>
      <w:divBdr>
        <w:top w:val="none" w:sz="0" w:space="0" w:color="auto"/>
        <w:left w:val="none" w:sz="0" w:space="0" w:color="auto"/>
        <w:bottom w:val="none" w:sz="0" w:space="0" w:color="auto"/>
        <w:right w:val="none" w:sz="0" w:space="0" w:color="auto"/>
      </w:divBdr>
    </w:div>
    <w:div w:id="1680891525">
      <w:bodyDiv w:val="1"/>
      <w:marLeft w:val="0"/>
      <w:marRight w:val="0"/>
      <w:marTop w:val="0"/>
      <w:marBottom w:val="0"/>
      <w:divBdr>
        <w:top w:val="none" w:sz="0" w:space="0" w:color="auto"/>
        <w:left w:val="none" w:sz="0" w:space="0" w:color="auto"/>
        <w:bottom w:val="none" w:sz="0" w:space="0" w:color="auto"/>
        <w:right w:val="none" w:sz="0" w:space="0" w:color="auto"/>
      </w:divBdr>
    </w:div>
    <w:div w:id="1701124759">
      <w:bodyDiv w:val="1"/>
      <w:marLeft w:val="0"/>
      <w:marRight w:val="0"/>
      <w:marTop w:val="0"/>
      <w:marBottom w:val="0"/>
      <w:divBdr>
        <w:top w:val="none" w:sz="0" w:space="0" w:color="auto"/>
        <w:left w:val="none" w:sz="0" w:space="0" w:color="auto"/>
        <w:bottom w:val="none" w:sz="0" w:space="0" w:color="auto"/>
        <w:right w:val="none" w:sz="0" w:space="0" w:color="auto"/>
      </w:divBdr>
    </w:div>
    <w:div w:id="1722244534">
      <w:bodyDiv w:val="1"/>
      <w:marLeft w:val="0"/>
      <w:marRight w:val="0"/>
      <w:marTop w:val="0"/>
      <w:marBottom w:val="0"/>
      <w:divBdr>
        <w:top w:val="none" w:sz="0" w:space="0" w:color="auto"/>
        <w:left w:val="none" w:sz="0" w:space="0" w:color="auto"/>
        <w:bottom w:val="none" w:sz="0" w:space="0" w:color="auto"/>
        <w:right w:val="none" w:sz="0" w:space="0" w:color="auto"/>
      </w:divBdr>
    </w:div>
    <w:div w:id="1974557425">
      <w:bodyDiv w:val="1"/>
      <w:marLeft w:val="0"/>
      <w:marRight w:val="0"/>
      <w:marTop w:val="0"/>
      <w:marBottom w:val="0"/>
      <w:divBdr>
        <w:top w:val="none" w:sz="0" w:space="0" w:color="auto"/>
        <w:left w:val="none" w:sz="0" w:space="0" w:color="auto"/>
        <w:bottom w:val="none" w:sz="0" w:space="0" w:color="auto"/>
        <w:right w:val="none" w:sz="0" w:space="0" w:color="auto"/>
      </w:divBdr>
    </w:div>
    <w:div w:id="2019850474">
      <w:bodyDiv w:val="1"/>
      <w:marLeft w:val="0"/>
      <w:marRight w:val="0"/>
      <w:marTop w:val="0"/>
      <w:marBottom w:val="0"/>
      <w:divBdr>
        <w:top w:val="none" w:sz="0" w:space="0" w:color="auto"/>
        <w:left w:val="none" w:sz="0" w:space="0" w:color="auto"/>
        <w:bottom w:val="none" w:sz="0" w:space="0" w:color="auto"/>
        <w:right w:val="none" w:sz="0" w:space="0" w:color="auto"/>
      </w:divBdr>
    </w:div>
    <w:div w:id="2047559771">
      <w:bodyDiv w:val="1"/>
      <w:marLeft w:val="0"/>
      <w:marRight w:val="0"/>
      <w:marTop w:val="0"/>
      <w:marBottom w:val="0"/>
      <w:divBdr>
        <w:top w:val="none" w:sz="0" w:space="0" w:color="auto"/>
        <w:left w:val="none" w:sz="0" w:space="0" w:color="auto"/>
        <w:bottom w:val="none" w:sz="0" w:space="0" w:color="auto"/>
        <w:right w:val="none" w:sz="0" w:space="0" w:color="auto"/>
      </w:divBdr>
    </w:div>
    <w:div w:id="2058235066">
      <w:bodyDiv w:val="1"/>
      <w:marLeft w:val="0"/>
      <w:marRight w:val="0"/>
      <w:marTop w:val="0"/>
      <w:marBottom w:val="0"/>
      <w:divBdr>
        <w:top w:val="none" w:sz="0" w:space="0" w:color="auto"/>
        <w:left w:val="none" w:sz="0" w:space="0" w:color="auto"/>
        <w:bottom w:val="none" w:sz="0" w:space="0" w:color="auto"/>
        <w:right w:val="none" w:sz="0" w:space="0" w:color="auto"/>
      </w:divBdr>
    </w:div>
    <w:div w:id="207489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201</TotalTime>
  <Pages>8</Pages>
  <Words>1998</Words>
  <Characters>10769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 IEEE 802.11-19/0068r0</vt:lpstr>
    </vt:vector>
  </TitlesOfParts>
  <Company>Some Company</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802.11-19/0068r0</dc:title>
  <dc:subject>Submission</dc:subject>
  <dc:creator>Dennis Sundman</dc:creator>
  <cp:keywords>January 2019</cp:keywords>
  <dc:description>Dennis Sundman, Ericsson</dc:description>
  <cp:lastModifiedBy>Dennis Sundman</cp:lastModifiedBy>
  <cp:revision>7</cp:revision>
  <cp:lastPrinted>1900-01-01T06:00:00Z</cp:lastPrinted>
  <dcterms:created xsi:type="dcterms:W3CDTF">2019-01-11T08:04:00Z</dcterms:created>
  <dcterms:modified xsi:type="dcterms:W3CDTF">2019-01-13T18:51:00Z</dcterms:modified>
</cp:coreProperties>
</file>