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0FE9DB" w:rsidR="008717CE" w:rsidRPr="00183F4C" w:rsidRDefault="00DE584F" w:rsidP="0067177F">
            <w:pPr>
              <w:pStyle w:val="T2"/>
              <w:rPr>
                <w:lang w:eastAsia="ko-KR"/>
              </w:rPr>
            </w:pPr>
            <w:r>
              <w:rPr>
                <w:lang w:eastAsia="ko-KR"/>
              </w:rPr>
              <w:t xml:space="preserve">Comment </w:t>
            </w:r>
            <w:r w:rsidR="003F3686">
              <w:rPr>
                <w:lang w:eastAsia="ko-KR"/>
              </w:rPr>
              <w:t>R</w:t>
            </w:r>
            <w:r>
              <w:rPr>
                <w:lang w:eastAsia="ko-KR"/>
              </w:rPr>
              <w:t>esolution</w:t>
            </w:r>
            <w:r w:rsidR="002C0F60">
              <w:rPr>
                <w:lang w:eastAsia="ko-KR"/>
              </w:rPr>
              <w:t>s</w:t>
            </w:r>
            <w:bookmarkStart w:id="0" w:name="_GoBack"/>
            <w:bookmarkEnd w:id="0"/>
            <w:r>
              <w:rPr>
                <w:lang w:eastAsia="ko-KR"/>
              </w:rPr>
              <w:t xml:space="preserve"> </w:t>
            </w:r>
            <w:r w:rsidR="0067177F">
              <w:rPr>
                <w:lang w:eastAsia="ko-KR"/>
              </w:rPr>
              <w:t>on WUR Discovery</w:t>
            </w:r>
          </w:p>
        </w:tc>
      </w:tr>
      <w:tr w:rsidR="00DE584F" w:rsidRPr="00183F4C" w14:paraId="2321CEA9" w14:textId="77777777" w:rsidTr="00E37786">
        <w:trPr>
          <w:trHeight w:val="359"/>
          <w:jc w:val="center"/>
        </w:trPr>
        <w:tc>
          <w:tcPr>
            <w:tcW w:w="9576" w:type="dxa"/>
            <w:gridSpan w:val="5"/>
            <w:vAlign w:val="center"/>
          </w:tcPr>
          <w:p w14:paraId="380E9974" w14:textId="260688E5" w:rsidR="00DE584F" w:rsidRPr="00183F4C" w:rsidRDefault="00DE584F" w:rsidP="0080318B">
            <w:pPr>
              <w:pStyle w:val="T2"/>
              <w:ind w:left="0"/>
              <w:rPr>
                <w:b w:val="0"/>
                <w:sz w:val="20"/>
              </w:rPr>
            </w:pPr>
            <w:r w:rsidRPr="00183F4C">
              <w:rPr>
                <w:sz w:val="20"/>
              </w:rPr>
              <w:t>Date:</w:t>
            </w:r>
            <w:r w:rsidRPr="00183F4C">
              <w:rPr>
                <w:b w:val="0"/>
                <w:sz w:val="20"/>
              </w:rPr>
              <w:t xml:space="preserve">  201</w:t>
            </w:r>
            <w:r w:rsidR="0080318B">
              <w:rPr>
                <w:b w:val="0"/>
                <w:sz w:val="20"/>
              </w:rPr>
              <w:t>9</w:t>
            </w:r>
            <w:r w:rsidRPr="00183F4C">
              <w:rPr>
                <w:b w:val="0"/>
                <w:sz w:val="20"/>
              </w:rPr>
              <w:t>-</w:t>
            </w:r>
            <w:r w:rsidR="0080318B">
              <w:rPr>
                <w:b w:val="0"/>
                <w:sz w:val="20"/>
              </w:rPr>
              <w:t>0</w:t>
            </w:r>
            <w:r w:rsidR="00D7080B">
              <w:rPr>
                <w:b w:val="0"/>
                <w:sz w:val="20"/>
              </w:rPr>
              <w:t>1</w:t>
            </w:r>
            <w:r>
              <w:rPr>
                <w:rFonts w:hint="eastAsia"/>
                <w:b w:val="0"/>
                <w:sz w:val="20"/>
                <w:lang w:eastAsia="ko-KR"/>
              </w:rPr>
              <w:t>-</w:t>
            </w:r>
            <w:r w:rsidR="0080318B">
              <w:rPr>
                <w:b w:val="0"/>
                <w:sz w:val="20"/>
                <w:lang w:eastAsia="ko-KR"/>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332C3F75" w:rsidR="00E92AB7" w:rsidRDefault="00E92AB7" w:rsidP="00E92AB7">
            <w:pPr>
              <w:pStyle w:val="T2"/>
              <w:spacing w:after="0"/>
              <w:ind w:left="0" w:right="0"/>
              <w:jc w:val="left"/>
              <w:rPr>
                <w:b w:val="0"/>
                <w:sz w:val="18"/>
                <w:szCs w:val="18"/>
                <w:lang w:eastAsia="ko-KR"/>
              </w:rPr>
            </w:pPr>
            <w:r>
              <w:rPr>
                <w:b w:val="0"/>
                <w:sz w:val="18"/>
                <w:szCs w:val="18"/>
                <w:lang w:eastAsia="ko-KR"/>
              </w:rPr>
              <w:t>Taewon Song</w:t>
            </w:r>
          </w:p>
        </w:tc>
        <w:tc>
          <w:tcPr>
            <w:tcW w:w="1687" w:type="dxa"/>
            <w:vMerge w:val="restart"/>
            <w:vAlign w:val="center"/>
          </w:tcPr>
          <w:p w14:paraId="21B07B99" w14:textId="7149EDB0" w:rsidR="00E92AB7" w:rsidRDefault="00E92AB7" w:rsidP="00E37786">
            <w:pPr>
              <w:pStyle w:val="T2"/>
              <w:spacing w:after="0"/>
              <w:ind w:left="0" w:right="0"/>
              <w:jc w:val="left"/>
              <w:rPr>
                <w:b w:val="0"/>
                <w:sz w:val="18"/>
                <w:szCs w:val="18"/>
                <w:lang w:eastAsia="ko-KR"/>
              </w:rPr>
            </w:pPr>
            <w:r>
              <w:rPr>
                <w:b w:val="0"/>
                <w:sz w:val="18"/>
                <w:szCs w:val="18"/>
                <w:lang w:eastAsia="ko-KR"/>
              </w:rPr>
              <w:t>LG Electronics</w:t>
            </w:r>
          </w:p>
        </w:tc>
        <w:tc>
          <w:tcPr>
            <w:tcW w:w="2363" w:type="dxa"/>
            <w:vMerge w:val="restart"/>
            <w:vAlign w:val="center"/>
          </w:tcPr>
          <w:p w14:paraId="0A825FCC" w14:textId="67697D7E" w:rsidR="00E92AB7" w:rsidRDefault="00E92AB7" w:rsidP="00E37786">
            <w:pPr>
              <w:pStyle w:val="T2"/>
              <w:spacing w:after="0"/>
              <w:ind w:left="0" w:right="0"/>
              <w:jc w:val="left"/>
              <w:rPr>
                <w:b w:val="0"/>
                <w:sz w:val="18"/>
                <w:szCs w:val="18"/>
                <w:lang w:eastAsia="ko-KR"/>
              </w:rPr>
            </w:pPr>
            <w:r w:rsidRPr="00E92AB7">
              <w:rPr>
                <w:b w:val="0"/>
                <w:sz w:val="18"/>
                <w:szCs w:val="18"/>
                <w:lang w:eastAsia="ko-KR"/>
              </w:rPr>
              <w:t>19, Yangjae-daero 11gil, Seocho-gu, Seoul 137-130, Korea</w:t>
            </w:r>
          </w:p>
        </w:tc>
        <w:tc>
          <w:tcPr>
            <w:tcW w:w="1620" w:type="dxa"/>
            <w:vAlign w:val="center"/>
          </w:tcPr>
          <w:p w14:paraId="46A1C5F6" w14:textId="6C28E93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560D0022" w:rsidR="00E92AB7" w:rsidRDefault="00E92AB7" w:rsidP="00E37786">
            <w:pPr>
              <w:pStyle w:val="T2"/>
              <w:spacing w:after="0"/>
              <w:ind w:left="0" w:right="0"/>
              <w:jc w:val="left"/>
              <w:rPr>
                <w:b w:val="0"/>
                <w:sz w:val="18"/>
                <w:szCs w:val="18"/>
                <w:lang w:eastAsia="ko-KR"/>
              </w:rPr>
            </w:pPr>
            <w:r w:rsidRPr="00E92AB7">
              <w:rPr>
                <w:b w:val="0"/>
                <w:sz w:val="18"/>
                <w:szCs w:val="18"/>
                <w:lang w:eastAsia="ko-KR"/>
              </w:rPr>
              <w:t>taewon.song@lge.com</w:t>
            </w:r>
          </w:p>
        </w:tc>
      </w:tr>
      <w:tr w:rsidR="00E92AB7" w:rsidRPr="001D7948" w14:paraId="1C1FD903" w14:textId="77777777" w:rsidTr="005C6E9D">
        <w:trPr>
          <w:trHeight w:val="359"/>
          <w:jc w:val="center"/>
        </w:trPr>
        <w:tc>
          <w:tcPr>
            <w:tcW w:w="1548" w:type="dxa"/>
            <w:vAlign w:val="center"/>
          </w:tcPr>
          <w:p w14:paraId="5167145C" w14:textId="50D16215" w:rsidR="00E92AB7" w:rsidRDefault="00E92AB7" w:rsidP="00E328D5">
            <w:pPr>
              <w:pStyle w:val="T2"/>
              <w:spacing w:after="0"/>
              <w:ind w:left="0" w:right="0"/>
              <w:jc w:val="left"/>
              <w:rPr>
                <w:b w:val="0"/>
                <w:sz w:val="18"/>
                <w:szCs w:val="18"/>
                <w:lang w:eastAsia="ko-KR"/>
              </w:rPr>
            </w:pPr>
            <w:r>
              <w:rPr>
                <w:b w:val="0"/>
                <w:sz w:val="18"/>
                <w:szCs w:val="18"/>
                <w:lang w:eastAsia="ko-KR"/>
              </w:rPr>
              <w:t>Suhwook Kim</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4688B324" w:rsidR="00E92AB7" w:rsidRPr="001D7948" w:rsidRDefault="00E92AB7" w:rsidP="00E328D5">
            <w:pPr>
              <w:pStyle w:val="T2"/>
              <w:spacing w:after="0"/>
              <w:ind w:left="0" w:right="0"/>
              <w:jc w:val="left"/>
              <w:rPr>
                <w:b w:val="0"/>
                <w:sz w:val="18"/>
                <w:szCs w:val="18"/>
                <w:lang w:eastAsia="ko-KR"/>
              </w:rPr>
            </w:pPr>
            <w:r w:rsidRPr="00E92AB7">
              <w:rPr>
                <w:rFonts w:hint="eastAsia"/>
                <w:b w:val="0"/>
                <w:sz w:val="18"/>
                <w:szCs w:val="18"/>
                <w:lang w:eastAsia="ko-KR"/>
              </w:rPr>
              <w:t>suhwook.kim@lge.com</w:t>
            </w:r>
          </w:p>
        </w:tc>
      </w:tr>
      <w:tr w:rsidR="00E92AB7" w:rsidRPr="001D7948" w14:paraId="24DFE66C" w14:textId="77777777" w:rsidTr="005C6E9D">
        <w:trPr>
          <w:trHeight w:val="359"/>
          <w:jc w:val="center"/>
        </w:trPr>
        <w:tc>
          <w:tcPr>
            <w:tcW w:w="1548" w:type="dxa"/>
            <w:vAlign w:val="center"/>
          </w:tcPr>
          <w:p w14:paraId="553F76FB" w14:textId="02F6F6AE" w:rsidR="00E92AB7" w:rsidRDefault="00E92AB7" w:rsidP="00E328D5">
            <w:pPr>
              <w:pStyle w:val="T2"/>
              <w:spacing w:after="0"/>
              <w:ind w:left="0" w:right="0"/>
              <w:jc w:val="left"/>
              <w:rPr>
                <w:b w:val="0"/>
                <w:sz w:val="18"/>
                <w:szCs w:val="18"/>
                <w:lang w:eastAsia="ko-KR"/>
              </w:rPr>
            </w:pPr>
            <w:r>
              <w:rPr>
                <w:b w:val="0"/>
                <w:sz w:val="18"/>
                <w:szCs w:val="18"/>
                <w:lang w:eastAsia="ko-KR"/>
              </w:rPr>
              <w:t>Jeongki Kim</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3D221E40" w:rsidR="00E92AB7" w:rsidRPr="001D7948" w:rsidRDefault="00E92AB7" w:rsidP="00E328D5">
            <w:pPr>
              <w:pStyle w:val="T2"/>
              <w:spacing w:after="0"/>
              <w:ind w:left="0" w:right="0"/>
              <w:jc w:val="left"/>
              <w:rPr>
                <w:b w:val="0"/>
                <w:sz w:val="18"/>
                <w:szCs w:val="18"/>
                <w:lang w:eastAsia="ko-KR"/>
              </w:rPr>
            </w:pPr>
            <w:r>
              <w:rPr>
                <w:rFonts w:hint="eastAsia"/>
                <w:b w:val="0"/>
                <w:sz w:val="18"/>
                <w:szCs w:val="18"/>
                <w:lang w:eastAsia="ko-KR"/>
              </w:rPr>
              <w:t>jeongki.kim@lge.com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49EFB9" w:rsidR="00E920E1" w:rsidRPr="00ED7073" w:rsidRDefault="003E4403" w:rsidP="00535EBE">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multiple comments</w:t>
      </w:r>
      <w:r w:rsidR="00CC648A" w:rsidRPr="00ED7073">
        <w:rPr>
          <w:sz w:val="22"/>
          <w:lang w:eastAsia="ko-KR"/>
        </w:rPr>
        <w:t xml:space="preserve"> related to</w:t>
      </w:r>
      <w:r w:rsidR="00D60332" w:rsidRPr="00ED7073">
        <w:rPr>
          <w:sz w:val="22"/>
          <w:lang w:eastAsia="ko-KR"/>
        </w:rPr>
        <w:t xml:space="preserve"> TG</w:t>
      </w:r>
      <w:r w:rsidR="00ED7073" w:rsidRPr="00ED7073">
        <w:rPr>
          <w:sz w:val="22"/>
          <w:lang w:eastAsia="ko-KR"/>
        </w:rPr>
        <w:t>ba</w:t>
      </w:r>
      <w:r w:rsidR="003C315D" w:rsidRPr="00ED7073">
        <w:rPr>
          <w:sz w:val="22"/>
          <w:lang w:eastAsia="ko-KR"/>
        </w:rPr>
        <w:t xml:space="preserve"> D</w:t>
      </w:r>
      <w:r w:rsidR="00ED7073" w:rsidRPr="00ED7073">
        <w:rPr>
          <w:sz w:val="22"/>
          <w:lang w:eastAsia="ko-KR"/>
        </w:rPr>
        <w:t>1</w:t>
      </w:r>
      <w:r w:rsidR="00CA7E6D" w:rsidRPr="00ED7073">
        <w:rPr>
          <w:sz w:val="22"/>
          <w:lang w:eastAsia="ko-KR"/>
        </w:rPr>
        <w:t>.0</w:t>
      </w:r>
      <w:r w:rsidR="00E920E1" w:rsidRPr="00ED7073">
        <w:rPr>
          <w:sz w:val="22"/>
          <w:lang w:eastAsia="ko-KR"/>
        </w:rPr>
        <w:t xml:space="preserve"> with the following CIDs:</w:t>
      </w:r>
    </w:p>
    <w:p w14:paraId="1A20E2DE" w14:textId="2DAA864F" w:rsidR="00535EBE" w:rsidRPr="00ED7073" w:rsidRDefault="0067177F" w:rsidP="00C93693">
      <w:pPr>
        <w:pStyle w:val="af"/>
        <w:numPr>
          <w:ilvl w:val="0"/>
          <w:numId w:val="30"/>
        </w:numPr>
        <w:ind w:leftChars="0"/>
        <w:jc w:val="both"/>
        <w:rPr>
          <w:sz w:val="22"/>
          <w:lang w:eastAsia="ko-KR"/>
        </w:rPr>
      </w:pPr>
      <w:r>
        <w:rPr>
          <w:sz w:val="22"/>
          <w:lang w:eastAsia="ko-KR"/>
        </w:rPr>
        <w:t>1003, 1004, 1005</w:t>
      </w:r>
      <w:r w:rsidR="00D7080B" w:rsidRPr="00ED7073">
        <w:rPr>
          <w:sz w:val="22"/>
          <w:lang w:eastAsia="ko-KR"/>
        </w:rPr>
        <w:t xml:space="preserve"> (</w:t>
      </w:r>
      <w:r>
        <w:rPr>
          <w:sz w:val="22"/>
          <w:lang w:eastAsia="ko-KR"/>
        </w:rPr>
        <w:t>3</w:t>
      </w:r>
      <w:r w:rsidR="00D7080B" w:rsidRPr="00ED7073">
        <w:rPr>
          <w:sz w:val="22"/>
          <w:lang w:eastAsia="ko-KR"/>
        </w:rPr>
        <w:t xml:space="preserve"> CIDs)</w:t>
      </w:r>
    </w:p>
    <w:p w14:paraId="0343DA15" w14:textId="77777777" w:rsidR="00AC3A4B" w:rsidRPr="00ED7073" w:rsidRDefault="00AC3A4B" w:rsidP="003E4403">
      <w:pPr>
        <w:jc w:val="both"/>
        <w:rPr>
          <w:sz w:val="22"/>
        </w:rPr>
      </w:pPr>
    </w:p>
    <w:p w14:paraId="5D1205B5" w14:textId="77777777" w:rsidR="00B62B65" w:rsidRPr="00ED7073" w:rsidRDefault="00B62B65" w:rsidP="003E4403">
      <w:pPr>
        <w:jc w:val="both"/>
        <w:rPr>
          <w:sz w:val="22"/>
        </w:rPr>
      </w:pPr>
    </w:p>
    <w:p w14:paraId="1771E5CC" w14:textId="77777777" w:rsidR="00AC3A4B" w:rsidRPr="00ED7073" w:rsidRDefault="00AC3A4B" w:rsidP="003E4403">
      <w:pPr>
        <w:jc w:val="both"/>
        <w:rPr>
          <w:sz w:val="22"/>
        </w:rPr>
      </w:pPr>
    </w:p>
    <w:p w14:paraId="078982F4" w14:textId="77777777" w:rsidR="003E4403" w:rsidRPr="00ED7073" w:rsidRDefault="003E4403" w:rsidP="003E4403">
      <w:pPr>
        <w:jc w:val="both"/>
        <w:rPr>
          <w:sz w:val="22"/>
        </w:rPr>
      </w:pPr>
      <w:r w:rsidRPr="00ED7073">
        <w:rPr>
          <w:sz w:val="22"/>
        </w:rPr>
        <w:t>Revisions:</w:t>
      </w:r>
    </w:p>
    <w:p w14:paraId="46536DFC" w14:textId="0278336A" w:rsidR="005E768D" w:rsidRPr="000161CE" w:rsidRDefault="00BA6C7C" w:rsidP="00ED7073">
      <w:pPr>
        <w:pStyle w:val="af"/>
        <w:numPr>
          <w:ilvl w:val="0"/>
          <w:numId w:val="9"/>
        </w:numPr>
        <w:ind w:leftChars="0"/>
        <w:jc w:val="both"/>
        <w:rPr>
          <w:sz w:val="22"/>
        </w:rPr>
      </w:pPr>
      <w:r w:rsidRPr="00ED7073">
        <w:rPr>
          <w:sz w:val="22"/>
        </w:rPr>
        <w:t xml:space="preserve">Rev 0: </w:t>
      </w:r>
      <w:r w:rsidR="009D04C7" w:rsidRPr="00ED7073">
        <w:rPr>
          <w:sz w:val="22"/>
        </w:rPr>
        <w:t>Initial version of the document.</w:t>
      </w:r>
      <w:r w:rsidR="00ED7073" w:rsidRPr="000161CE">
        <w:rPr>
          <w:sz w:val="22"/>
        </w:rPr>
        <w:t xml:space="preserve"> </w:t>
      </w:r>
    </w:p>
    <w:p w14:paraId="10E75662" w14:textId="77777777" w:rsidR="00DC0CA2" w:rsidRDefault="005E768D" w:rsidP="00F2637D">
      <w:r w:rsidRPr="004D2D75">
        <w:br w:type="page"/>
      </w:r>
    </w:p>
    <w:p w14:paraId="469E6C40" w14:textId="77777777" w:rsidR="00ED7073" w:rsidRPr="00ED7073" w:rsidRDefault="00ED7073" w:rsidP="00ED7073">
      <w:pPr>
        <w:rPr>
          <w:rFonts w:eastAsia="바탕"/>
          <w:sz w:val="22"/>
        </w:rPr>
      </w:pPr>
      <w:r w:rsidRPr="00ED7073">
        <w:rPr>
          <w:rFonts w:eastAsia="바탕"/>
          <w:sz w:val="22"/>
        </w:rPr>
        <w:lastRenderedPageBreak/>
        <w:t>Interpretation of a Motion to Adopt</w:t>
      </w:r>
    </w:p>
    <w:p w14:paraId="46ABBDB9" w14:textId="77777777" w:rsidR="00ED7073" w:rsidRPr="00ED7073" w:rsidRDefault="00ED7073" w:rsidP="00ED7073">
      <w:pPr>
        <w:rPr>
          <w:rFonts w:eastAsia="바탕"/>
          <w:sz w:val="22"/>
          <w:lang w:eastAsia="ko-KR"/>
        </w:rPr>
      </w:pPr>
    </w:p>
    <w:p w14:paraId="459A4051" w14:textId="77777777" w:rsidR="00ED7073" w:rsidRPr="00ED7073" w:rsidRDefault="00ED7073" w:rsidP="00ED7073">
      <w:pPr>
        <w:rPr>
          <w:rFonts w:eastAsia="바탕"/>
          <w:sz w:val="22"/>
          <w:lang w:eastAsia="ko-KR"/>
        </w:rPr>
      </w:pPr>
      <w:r w:rsidRPr="00ED7073">
        <w:rPr>
          <w:rFonts w:eastAsia="바탕"/>
          <w:sz w:val="22"/>
          <w:lang w:eastAsia="ko-KR"/>
        </w:rPr>
        <w:t>A motion to approve this submission means that the editing instructions and any changed or added material are actioned in the TGba D1.0 Draft.  This introduction is not part of the adopted material.</w:t>
      </w:r>
    </w:p>
    <w:p w14:paraId="49A242A9" w14:textId="77777777" w:rsidR="00ED7073" w:rsidRPr="00ED7073" w:rsidRDefault="00ED7073" w:rsidP="00ED7073">
      <w:pPr>
        <w:rPr>
          <w:rFonts w:eastAsia="바탕"/>
          <w:sz w:val="22"/>
          <w:lang w:eastAsia="ko-KR"/>
        </w:rPr>
      </w:pPr>
    </w:p>
    <w:p w14:paraId="70E42210" w14:textId="77777777" w:rsidR="00ED7073" w:rsidRPr="00ED7073" w:rsidRDefault="00ED7073" w:rsidP="00ED7073">
      <w:pPr>
        <w:rPr>
          <w:rFonts w:eastAsia="바탕"/>
          <w:b/>
          <w:bCs/>
          <w:i/>
          <w:iCs/>
          <w:sz w:val="22"/>
          <w:lang w:eastAsia="ko-KR"/>
        </w:rPr>
      </w:pPr>
      <w:r w:rsidRPr="00ED7073">
        <w:rPr>
          <w:rFonts w:eastAsia="바탕"/>
          <w:b/>
          <w:bCs/>
          <w:i/>
          <w:iCs/>
          <w:sz w:val="22"/>
          <w:lang w:eastAsia="ko-KR"/>
        </w:rPr>
        <w:t>Editing instructions formatted like this are intended to be copied into the TGba</w:t>
      </w:r>
      <w:r w:rsidRPr="00ED7073">
        <w:rPr>
          <w:rFonts w:eastAsia="바탕" w:hint="eastAsia"/>
          <w:b/>
          <w:bCs/>
          <w:i/>
          <w:iCs/>
          <w:sz w:val="22"/>
          <w:lang w:eastAsia="ko-KR"/>
        </w:rPr>
        <w:t xml:space="preserve"> </w:t>
      </w:r>
      <w:r w:rsidRPr="00ED7073">
        <w:rPr>
          <w:rFonts w:eastAsia="바탕"/>
          <w:b/>
          <w:bCs/>
          <w:i/>
          <w:iCs/>
          <w:sz w:val="22"/>
          <w:lang w:eastAsia="ko-KR"/>
        </w:rPr>
        <w:t>D1.0 Draft (i.e. they are instructions to the 802.11 editor on how to merge the text with the baseline documents).</w:t>
      </w:r>
    </w:p>
    <w:p w14:paraId="7AFBA364" w14:textId="77777777" w:rsidR="00ED7073" w:rsidRPr="00ED7073" w:rsidRDefault="00ED7073" w:rsidP="00ED7073">
      <w:pPr>
        <w:rPr>
          <w:rFonts w:eastAsia="바탕"/>
          <w:sz w:val="22"/>
          <w:lang w:eastAsia="ko-KR"/>
        </w:rPr>
      </w:pPr>
    </w:p>
    <w:p w14:paraId="22B81C9B" w14:textId="77777777" w:rsidR="00ED7073" w:rsidRPr="00ED7073" w:rsidRDefault="00ED7073" w:rsidP="00ED7073">
      <w:pPr>
        <w:rPr>
          <w:rFonts w:eastAsia="바탕"/>
          <w:sz w:val="22"/>
          <w:lang w:eastAsia="ko-KR"/>
        </w:rPr>
      </w:pPr>
      <w:r w:rsidRPr="00ED7073">
        <w:rPr>
          <w:rFonts w:eastAsia="바탕"/>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0C2E21BB" w14:textId="77777777" w:rsidR="00ED7073" w:rsidRDefault="00ED7073" w:rsidP="00ED7073">
      <w:pPr>
        <w:spacing w:before="120" w:after="120"/>
        <w:jc w:val="both"/>
        <w:rPr>
          <w:rFonts w:eastAsia="바탕"/>
          <w:sz w:val="22"/>
          <w:lang w:eastAsia="ko-KR"/>
        </w:rPr>
      </w:pPr>
    </w:p>
    <w:p w14:paraId="4C23BF31" w14:textId="4077098F" w:rsidR="00ED7073" w:rsidRPr="00ED7073" w:rsidRDefault="00ED7073" w:rsidP="00ED7073">
      <w:pPr>
        <w:keepNext/>
        <w:keepLines/>
        <w:spacing w:before="40" w:after="60"/>
        <w:ind w:left="360" w:hanging="360"/>
        <w:outlineLvl w:val="3"/>
        <w:rPr>
          <w:rFonts w:ascii="Arial" w:eastAsia="돋움" w:hAnsi="Arial"/>
          <w:b/>
          <w:i/>
          <w:iCs/>
          <w:sz w:val="22"/>
          <w:szCs w:val="22"/>
        </w:rPr>
      </w:pPr>
      <w:r w:rsidRPr="00ED7073">
        <w:rPr>
          <w:rFonts w:ascii="Arial" w:eastAsia="돋움" w:hAnsi="Arial" w:hint="eastAsia"/>
          <w:b/>
          <w:i/>
          <w:iCs/>
          <w:sz w:val="22"/>
          <w:szCs w:val="22"/>
          <w:lang w:eastAsia="ko-KR"/>
        </w:rPr>
        <w:t xml:space="preserve">CID </w:t>
      </w:r>
      <w:r w:rsidR="0067177F">
        <w:rPr>
          <w:rFonts w:ascii="Arial" w:eastAsia="돋움" w:hAnsi="Arial"/>
          <w:b/>
          <w:i/>
          <w:iCs/>
          <w:sz w:val="22"/>
          <w:szCs w:val="22"/>
          <w:lang w:eastAsia="ko-KR"/>
        </w:rPr>
        <w:t>–</w:t>
      </w:r>
      <w:r w:rsidR="00A71D0B">
        <w:rPr>
          <w:rFonts w:ascii="Arial" w:eastAsia="돋움" w:hAnsi="Arial"/>
          <w:b/>
          <w:i/>
          <w:iCs/>
          <w:sz w:val="22"/>
          <w:szCs w:val="22"/>
          <w:lang w:eastAsia="ko-KR"/>
        </w:rPr>
        <w:t xml:space="preserve"> </w:t>
      </w:r>
      <w:r w:rsidR="0067177F">
        <w:rPr>
          <w:rFonts w:ascii="Arial" w:eastAsia="돋움" w:hAnsi="Arial"/>
          <w:b/>
          <w:i/>
          <w:iCs/>
          <w:sz w:val="22"/>
          <w:szCs w:val="22"/>
          <w:lang w:eastAsia="ko-KR"/>
        </w:rPr>
        <w:t>1003, 1004, 1005</w:t>
      </w:r>
    </w:p>
    <w:tbl>
      <w:tblPr>
        <w:tblStyle w:val="a7"/>
        <w:tblW w:w="0" w:type="auto"/>
        <w:tblLook w:val="04A0" w:firstRow="1" w:lastRow="0" w:firstColumn="1" w:lastColumn="0" w:noHBand="0" w:noVBand="1"/>
      </w:tblPr>
      <w:tblGrid>
        <w:gridCol w:w="673"/>
        <w:gridCol w:w="1073"/>
        <w:gridCol w:w="821"/>
        <w:gridCol w:w="2673"/>
        <w:gridCol w:w="2014"/>
        <w:gridCol w:w="2600"/>
      </w:tblGrid>
      <w:tr w:rsidR="00ED7073" w:rsidRPr="00A71D0B" w14:paraId="406955EA" w14:textId="77777777" w:rsidTr="002E1CFC">
        <w:tc>
          <w:tcPr>
            <w:tcW w:w="673" w:type="dxa"/>
          </w:tcPr>
          <w:p w14:paraId="3BAB33E2" w14:textId="103EA1A7" w:rsidR="00ED7073" w:rsidRPr="00390CA8" w:rsidRDefault="00ED7073" w:rsidP="004D79E9">
            <w:pPr>
              <w:spacing w:before="120" w:after="120"/>
              <w:rPr>
                <w:rFonts w:ascii="Arial" w:eastAsia="바탕" w:hAnsi="Arial" w:cs="Arial"/>
                <w:sz w:val="20"/>
                <w:lang w:eastAsia="ko-KR"/>
              </w:rPr>
            </w:pPr>
            <w:r w:rsidRPr="00390CA8">
              <w:rPr>
                <w:rFonts w:ascii="Arial" w:hAnsi="Arial" w:cs="Arial"/>
                <w:b/>
                <w:bCs/>
                <w:sz w:val="20"/>
              </w:rPr>
              <w:t>CID</w:t>
            </w:r>
          </w:p>
        </w:tc>
        <w:tc>
          <w:tcPr>
            <w:tcW w:w="1073" w:type="dxa"/>
          </w:tcPr>
          <w:p w14:paraId="31F244B6" w14:textId="4DCC2CF4"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Clause</w:t>
            </w:r>
          </w:p>
        </w:tc>
        <w:tc>
          <w:tcPr>
            <w:tcW w:w="821" w:type="dxa"/>
          </w:tcPr>
          <w:p w14:paraId="3642CB44" w14:textId="2CE569B4"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PP.LL</w:t>
            </w:r>
          </w:p>
        </w:tc>
        <w:tc>
          <w:tcPr>
            <w:tcW w:w="2673" w:type="dxa"/>
          </w:tcPr>
          <w:p w14:paraId="3B7CBEAE" w14:textId="7814E8CB"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Comment</w:t>
            </w:r>
          </w:p>
        </w:tc>
        <w:tc>
          <w:tcPr>
            <w:tcW w:w="2014" w:type="dxa"/>
          </w:tcPr>
          <w:p w14:paraId="3BABDDEC" w14:textId="55339BBF"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Proposed Change</w:t>
            </w:r>
          </w:p>
        </w:tc>
        <w:tc>
          <w:tcPr>
            <w:tcW w:w="2600" w:type="dxa"/>
          </w:tcPr>
          <w:p w14:paraId="4B6D6FDD" w14:textId="37EACCB9" w:rsidR="00ED7073" w:rsidRPr="00A71D0B" w:rsidRDefault="00ED7073" w:rsidP="004D79E9">
            <w:pPr>
              <w:spacing w:before="120" w:after="120"/>
              <w:rPr>
                <w:rFonts w:ascii="Arial" w:eastAsia="바탕" w:hAnsi="Arial" w:cs="Arial"/>
                <w:sz w:val="20"/>
                <w:lang w:eastAsia="ko-KR"/>
              </w:rPr>
            </w:pPr>
            <w:r w:rsidRPr="00A71D0B">
              <w:rPr>
                <w:rFonts w:ascii="Arial" w:hAnsi="Arial" w:cs="Arial"/>
                <w:b/>
                <w:bCs/>
                <w:sz w:val="20"/>
              </w:rPr>
              <w:t>Resolution</w:t>
            </w:r>
          </w:p>
        </w:tc>
      </w:tr>
      <w:tr w:rsidR="0067177F" w:rsidRPr="00A71D0B" w14:paraId="09937BF6" w14:textId="77777777" w:rsidTr="002E1CFC">
        <w:tc>
          <w:tcPr>
            <w:tcW w:w="673" w:type="dxa"/>
          </w:tcPr>
          <w:p w14:paraId="2411C9AD" w14:textId="0B48DB3E" w:rsidR="0067177F" w:rsidRPr="00390CA8" w:rsidRDefault="0067177F" w:rsidP="0067177F">
            <w:pPr>
              <w:spacing w:before="120" w:after="120"/>
              <w:rPr>
                <w:rFonts w:ascii="Arial" w:eastAsia="바탕" w:hAnsi="Arial" w:cs="Arial"/>
                <w:sz w:val="20"/>
                <w:lang w:eastAsia="ko-KR"/>
              </w:rPr>
            </w:pPr>
            <w:r>
              <w:rPr>
                <w:rFonts w:ascii="Arial" w:hAnsi="Arial" w:cs="Arial"/>
                <w:sz w:val="20"/>
              </w:rPr>
              <w:t>1003</w:t>
            </w:r>
          </w:p>
        </w:tc>
        <w:tc>
          <w:tcPr>
            <w:tcW w:w="1073" w:type="dxa"/>
          </w:tcPr>
          <w:p w14:paraId="5972B941" w14:textId="686FCE68" w:rsidR="0067177F" w:rsidRPr="0067177F" w:rsidRDefault="0067177F" w:rsidP="0067177F">
            <w:pPr>
              <w:spacing w:before="120" w:after="120"/>
              <w:rPr>
                <w:rFonts w:ascii="Arial" w:eastAsia="바탕" w:hAnsi="Arial" w:cs="Arial"/>
                <w:sz w:val="20"/>
                <w:lang w:eastAsia="ko-KR"/>
              </w:rPr>
            </w:pPr>
            <w:r w:rsidRPr="0067177F">
              <w:rPr>
                <w:rFonts w:ascii="Arial" w:hAnsi="Arial" w:cs="Arial"/>
                <w:sz w:val="20"/>
                <w:szCs w:val="18"/>
              </w:rPr>
              <w:t>64.04</w:t>
            </w:r>
          </w:p>
        </w:tc>
        <w:tc>
          <w:tcPr>
            <w:tcW w:w="821" w:type="dxa"/>
          </w:tcPr>
          <w:p w14:paraId="2139D06D" w14:textId="244E6923" w:rsidR="0067177F" w:rsidRPr="0067177F" w:rsidRDefault="0067177F" w:rsidP="0067177F">
            <w:pPr>
              <w:spacing w:before="120" w:after="120"/>
              <w:rPr>
                <w:rFonts w:ascii="Arial" w:eastAsia="바탕" w:hAnsi="Arial" w:cs="Arial"/>
                <w:sz w:val="20"/>
                <w:lang w:eastAsia="ko-KR"/>
              </w:rPr>
            </w:pPr>
            <w:r w:rsidRPr="0067177F">
              <w:rPr>
                <w:rFonts w:ascii="Arial" w:hAnsi="Arial" w:cs="Arial"/>
                <w:sz w:val="20"/>
                <w:szCs w:val="18"/>
              </w:rPr>
              <w:t>31.10</w:t>
            </w:r>
          </w:p>
        </w:tc>
        <w:tc>
          <w:tcPr>
            <w:tcW w:w="2673" w:type="dxa"/>
          </w:tcPr>
          <w:p w14:paraId="41FDA8F5" w14:textId="5BB0A9E3" w:rsidR="0067177F" w:rsidRPr="0067177F" w:rsidRDefault="0067177F" w:rsidP="0067177F">
            <w:pPr>
              <w:spacing w:before="120" w:after="120"/>
              <w:rPr>
                <w:rFonts w:ascii="Arial" w:eastAsia="바탕" w:hAnsi="Arial" w:cs="Arial"/>
                <w:sz w:val="20"/>
                <w:lang w:eastAsia="ko-KR"/>
              </w:rPr>
            </w:pPr>
            <w:r w:rsidRPr="0067177F">
              <w:rPr>
                <w:rFonts w:ascii="Arial" w:hAnsi="Arial" w:cs="Arial"/>
                <w:sz w:val="20"/>
                <w:szCs w:val="18"/>
              </w:rPr>
              <w:t>Active scanning is likely to be prohibited in 6GHz, although that is still being discussed. Assuming this, announcing whether active scanning is available or not to STAs in WUR Discovery frame is needed.</w:t>
            </w:r>
          </w:p>
        </w:tc>
        <w:tc>
          <w:tcPr>
            <w:tcW w:w="2014" w:type="dxa"/>
          </w:tcPr>
          <w:p w14:paraId="3B47A428" w14:textId="23724FE5" w:rsidR="0067177F" w:rsidRPr="0067177F" w:rsidRDefault="0067177F" w:rsidP="0067177F">
            <w:pPr>
              <w:spacing w:before="120" w:after="120"/>
              <w:rPr>
                <w:rFonts w:ascii="Arial" w:eastAsia="바탕" w:hAnsi="Arial" w:cs="Arial"/>
                <w:sz w:val="20"/>
                <w:lang w:eastAsia="ko-KR"/>
              </w:rPr>
            </w:pPr>
            <w:r w:rsidRPr="0067177F">
              <w:rPr>
                <w:rFonts w:ascii="Arial" w:hAnsi="Arial" w:cs="Arial"/>
                <w:sz w:val="20"/>
                <w:szCs w:val="18"/>
              </w:rPr>
              <w:t>See the comment.</w:t>
            </w:r>
          </w:p>
        </w:tc>
        <w:tc>
          <w:tcPr>
            <w:tcW w:w="2600" w:type="dxa"/>
          </w:tcPr>
          <w:p w14:paraId="21A378C0" w14:textId="150C71CA" w:rsidR="0067177F" w:rsidRPr="0067177F" w:rsidRDefault="0067177F" w:rsidP="0067177F">
            <w:pPr>
              <w:spacing w:before="120" w:after="120"/>
              <w:rPr>
                <w:rFonts w:ascii="Arial" w:eastAsia="바탕" w:hAnsi="Arial" w:cs="Arial"/>
                <w:sz w:val="20"/>
                <w:szCs w:val="18"/>
                <w:lang w:eastAsia="ko-KR"/>
              </w:rPr>
            </w:pPr>
            <w:r w:rsidRPr="0067177F">
              <w:rPr>
                <w:rFonts w:ascii="Arial" w:eastAsia="바탕" w:hAnsi="Arial" w:cs="Arial" w:hint="eastAsia"/>
                <w:sz w:val="20"/>
                <w:szCs w:val="18"/>
                <w:lang w:eastAsia="ko-KR"/>
              </w:rPr>
              <w:t>Re</w:t>
            </w:r>
            <w:r>
              <w:rPr>
                <w:rFonts w:ascii="Arial" w:eastAsia="바탕" w:hAnsi="Arial" w:cs="Arial"/>
                <w:sz w:val="20"/>
                <w:szCs w:val="18"/>
                <w:lang w:eastAsia="ko-KR"/>
              </w:rPr>
              <w:t>ject</w:t>
            </w:r>
            <w:r w:rsidRPr="0067177F">
              <w:rPr>
                <w:rFonts w:ascii="Arial" w:eastAsia="바탕" w:hAnsi="Arial" w:cs="Arial" w:hint="eastAsia"/>
                <w:sz w:val="20"/>
                <w:szCs w:val="18"/>
                <w:lang w:eastAsia="ko-KR"/>
              </w:rPr>
              <w:t>ed</w:t>
            </w:r>
            <w:r w:rsidRPr="0067177F">
              <w:rPr>
                <w:rFonts w:ascii="Arial" w:eastAsia="바탕" w:hAnsi="Arial" w:cs="Arial"/>
                <w:sz w:val="20"/>
                <w:szCs w:val="18"/>
                <w:lang w:eastAsia="ko-KR"/>
              </w:rPr>
              <w:t>—</w:t>
            </w:r>
          </w:p>
          <w:p w14:paraId="4671749D" w14:textId="5203A3AF" w:rsidR="0067177F" w:rsidRPr="0067177F" w:rsidRDefault="00A063CC" w:rsidP="002E1CFC">
            <w:pPr>
              <w:spacing w:before="120" w:after="120"/>
              <w:rPr>
                <w:rFonts w:ascii="Arial" w:eastAsia="바탕" w:hAnsi="Arial" w:cs="Arial"/>
                <w:sz w:val="20"/>
                <w:lang w:eastAsia="ko-KR"/>
              </w:rPr>
            </w:pPr>
            <w:r>
              <w:rPr>
                <w:rFonts w:ascii="Arial" w:eastAsia="바탕" w:hAnsi="Arial" w:cs="Arial"/>
                <w:sz w:val="20"/>
                <w:lang w:eastAsia="ko-KR"/>
              </w:rPr>
              <w:t>Since an operation on 6GHz is being discussed, it isn’t the right</w:t>
            </w:r>
            <w:r w:rsidR="002E1CFC">
              <w:rPr>
                <w:rFonts w:ascii="Arial" w:eastAsia="바탕" w:hAnsi="Arial" w:cs="Arial"/>
                <w:sz w:val="20"/>
                <w:lang w:eastAsia="ko-KR"/>
              </w:rPr>
              <w:t xml:space="preserve"> time </w:t>
            </w:r>
            <w:r>
              <w:rPr>
                <w:rFonts w:ascii="Arial" w:eastAsia="바탕" w:hAnsi="Arial" w:cs="Arial"/>
                <w:sz w:val="20"/>
                <w:lang w:eastAsia="ko-KR"/>
              </w:rPr>
              <w:t xml:space="preserve">to discuss </w:t>
            </w:r>
            <w:r w:rsidR="002E1CFC">
              <w:rPr>
                <w:rFonts w:ascii="Arial" w:eastAsia="바탕" w:hAnsi="Arial" w:cs="Arial"/>
                <w:sz w:val="20"/>
                <w:lang w:eastAsia="ko-KR"/>
              </w:rPr>
              <w:t xml:space="preserve">how to announce </w:t>
            </w:r>
            <w:r w:rsidR="002E1CFC" w:rsidRPr="002E1CFC">
              <w:rPr>
                <w:rFonts w:ascii="Arial" w:eastAsia="바탕" w:hAnsi="Arial" w:cs="Arial"/>
                <w:sz w:val="20"/>
                <w:lang w:eastAsia="ko-KR"/>
              </w:rPr>
              <w:t>availability</w:t>
            </w:r>
            <w:r w:rsidR="002E1CFC">
              <w:rPr>
                <w:rFonts w:ascii="Arial" w:eastAsia="바탕" w:hAnsi="Arial" w:cs="Arial"/>
                <w:sz w:val="20"/>
                <w:lang w:eastAsia="ko-KR"/>
              </w:rPr>
              <w:t xml:space="preserve"> of active scanning. Furthermore, fuctional requirement didn’t define 6GHz operation for 11ba.</w:t>
            </w:r>
          </w:p>
        </w:tc>
      </w:tr>
      <w:tr w:rsidR="0067177F" w:rsidRPr="00A71D0B" w14:paraId="0B45C87C" w14:textId="77777777" w:rsidTr="002E1CFC">
        <w:tc>
          <w:tcPr>
            <w:tcW w:w="673" w:type="dxa"/>
          </w:tcPr>
          <w:p w14:paraId="302282CA" w14:textId="533B9D01" w:rsidR="0067177F" w:rsidRPr="00390CA8" w:rsidRDefault="0067177F" w:rsidP="0067177F">
            <w:pPr>
              <w:spacing w:before="120" w:after="120"/>
              <w:rPr>
                <w:rFonts w:ascii="Arial" w:hAnsi="Arial" w:cs="Arial"/>
                <w:sz w:val="20"/>
                <w:lang w:eastAsia="ko-KR"/>
              </w:rPr>
            </w:pPr>
            <w:r>
              <w:rPr>
                <w:rFonts w:ascii="Arial" w:hAnsi="Arial" w:cs="Arial"/>
                <w:sz w:val="20"/>
                <w:lang w:eastAsia="ko-KR"/>
              </w:rPr>
              <w:t>1004</w:t>
            </w:r>
          </w:p>
        </w:tc>
        <w:tc>
          <w:tcPr>
            <w:tcW w:w="1073" w:type="dxa"/>
          </w:tcPr>
          <w:p w14:paraId="370047D7" w14:textId="77F81554" w:rsidR="0067177F" w:rsidRPr="0067177F" w:rsidRDefault="0067177F" w:rsidP="0067177F">
            <w:pPr>
              <w:spacing w:before="120" w:after="120"/>
              <w:rPr>
                <w:rFonts w:ascii="Arial" w:hAnsi="Arial" w:cs="Arial"/>
                <w:sz w:val="20"/>
              </w:rPr>
            </w:pPr>
            <w:r w:rsidRPr="0067177F">
              <w:rPr>
                <w:rFonts w:ascii="Arial" w:hAnsi="Arial" w:cs="Arial"/>
                <w:sz w:val="20"/>
                <w:szCs w:val="18"/>
              </w:rPr>
              <w:t>64.04</w:t>
            </w:r>
          </w:p>
        </w:tc>
        <w:tc>
          <w:tcPr>
            <w:tcW w:w="821" w:type="dxa"/>
          </w:tcPr>
          <w:p w14:paraId="20D0CF62" w14:textId="035733FA" w:rsidR="0067177F" w:rsidRPr="0067177F" w:rsidRDefault="0067177F" w:rsidP="0067177F">
            <w:pPr>
              <w:spacing w:before="120" w:after="120"/>
              <w:rPr>
                <w:rFonts w:ascii="Arial" w:hAnsi="Arial" w:cs="Arial"/>
                <w:sz w:val="20"/>
              </w:rPr>
            </w:pPr>
            <w:r w:rsidRPr="0067177F">
              <w:rPr>
                <w:rFonts w:ascii="Arial" w:hAnsi="Arial" w:cs="Arial"/>
                <w:sz w:val="20"/>
                <w:szCs w:val="18"/>
              </w:rPr>
              <w:t>31.10</w:t>
            </w:r>
          </w:p>
        </w:tc>
        <w:tc>
          <w:tcPr>
            <w:tcW w:w="2673" w:type="dxa"/>
          </w:tcPr>
          <w:p w14:paraId="05B0B8FF" w14:textId="79FC55AD" w:rsidR="0067177F" w:rsidRPr="0067177F" w:rsidRDefault="0067177F" w:rsidP="0067177F">
            <w:pPr>
              <w:spacing w:before="120" w:after="120"/>
              <w:rPr>
                <w:rFonts w:ascii="Arial" w:hAnsi="Arial" w:cs="Arial"/>
                <w:sz w:val="20"/>
              </w:rPr>
            </w:pPr>
            <w:r w:rsidRPr="0067177F">
              <w:rPr>
                <w:rFonts w:ascii="Arial" w:hAnsi="Arial" w:cs="Arial"/>
                <w:sz w:val="20"/>
                <w:szCs w:val="18"/>
              </w:rPr>
              <w:t>For security reasons, an enterprise WLAN, for example, may not want to transmit Beacon frames. However, every WUR discovery frame is broadcasted. Thus, an embedded ESSID field can be present in the calculation fields of a WUR Discovery frame.</w:t>
            </w:r>
          </w:p>
        </w:tc>
        <w:tc>
          <w:tcPr>
            <w:tcW w:w="2014" w:type="dxa"/>
          </w:tcPr>
          <w:p w14:paraId="67B5D2AB" w14:textId="606FD1F2" w:rsidR="0067177F" w:rsidRPr="0067177F" w:rsidRDefault="0067177F" w:rsidP="0067177F">
            <w:pPr>
              <w:spacing w:before="120" w:after="120"/>
              <w:rPr>
                <w:rFonts w:ascii="Arial" w:eastAsia="바탕" w:hAnsi="Arial" w:cs="Arial"/>
                <w:sz w:val="20"/>
                <w:lang w:eastAsia="ko-KR"/>
              </w:rPr>
            </w:pPr>
            <w:r w:rsidRPr="0067177F">
              <w:rPr>
                <w:rFonts w:ascii="Arial" w:hAnsi="Arial" w:cs="Arial"/>
                <w:sz w:val="20"/>
                <w:szCs w:val="18"/>
              </w:rPr>
              <w:t>See the comments.</w:t>
            </w:r>
          </w:p>
        </w:tc>
        <w:tc>
          <w:tcPr>
            <w:tcW w:w="2600" w:type="dxa"/>
          </w:tcPr>
          <w:p w14:paraId="7BC05043" w14:textId="6411FEEC" w:rsidR="0067177F" w:rsidRPr="0067177F" w:rsidRDefault="0067177F" w:rsidP="0067177F">
            <w:pPr>
              <w:spacing w:before="120" w:after="120"/>
              <w:rPr>
                <w:rFonts w:ascii="Arial" w:eastAsia="바탕" w:hAnsi="Arial" w:cs="Arial"/>
                <w:sz w:val="20"/>
                <w:szCs w:val="18"/>
                <w:lang w:eastAsia="ko-KR"/>
              </w:rPr>
            </w:pPr>
            <w:r w:rsidRPr="0067177F">
              <w:rPr>
                <w:rFonts w:ascii="Arial" w:eastAsia="바탕" w:hAnsi="Arial" w:cs="Arial" w:hint="eastAsia"/>
                <w:sz w:val="20"/>
                <w:szCs w:val="18"/>
                <w:lang w:eastAsia="ko-KR"/>
              </w:rPr>
              <w:t>Re</w:t>
            </w:r>
            <w:r>
              <w:rPr>
                <w:rFonts w:ascii="Arial" w:eastAsia="바탕" w:hAnsi="Arial" w:cs="Arial"/>
                <w:sz w:val="20"/>
                <w:szCs w:val="18"/>
                <w:lang w:eastAsia="ko-KR"/>
              </w:rPr>
              <w:t>ject</w:t>
            </w:r>
            <w:r w:rsidRPr="0067177F">
              <w:rPr>
                <w:rFonts w:ascii="Arial" w:eastAsia="바탕" w:hAnsi="Arial" w:cs="Arial" w:hint="eastAsia"/>
                <w:sz w:val="20"/>
                <w:szCs w:val="18"/>
                <w:lang w:eastAsia="ko-KR"/>
              </w:rPr>
              <w:t>ed</w:t>
            </w:r>
            <w:r w:rsidRPr="0067177F">
              <w:rPr>
                <w:rFonts w:ascii="Arial" w:eastAsia="바탕" w:hAnsi="Arial" w:cs="Arial"/>
                <w:sz w:val="20"/>
                <w:szCs w:val="18"/>
                <w:lang w:eastAsia="ko-KR"/>
              </w:rPr>
              <w:t>—</w:t>
            </w:r>
          </w:p>
          <w:p w14:paraId="455FE7A0" w14:textId="1FA3EC79" w:rsidR="0067177F" w:rsidRPr="0067177F" w:rsidRDefault="002E1CFC" w:rsidP="002E1CFC">
            <w:pPr>
              <w:spacing w:before="120" w:after="120"/>
              <w:rPr>
                <w:rFonts w:ascii="Arial" w:eastAsia="바탕" w:hAnsi="Arial" w:cs="Arial"/>
                <w:sz w:val="20"/>
                <w:lang w:eastAsia="ko-KR"/>
              </w:rPr>
            </w:pPr>
            <w:r>
              <w:rPr>
                <w:rFonts w:ascii="Arial" w:eastAsia="바탕" w:hAnsi="Arial" w:cs="Arial"/>
                <w:sz w:val="20"/>
                <w:lang w:eastAsia="ko-KR"/>
              </w:rPr>
              <w:t xml:space="preserve">The purpose of the WUR discovery is to let recipients be aware of information such as compressed SSID and PCR operating channel. </w:t>
            </w:r>
          </w:p>
        </w:tc>
      </w:tr>
      <w:tr w:rsidR="0067177F" w:rsidRPr="00A71D0B" w14:paraId="79C2560D" w14:textId="77777777" w:rsidTr="002E1CFC">
        <w:tc>
          <w:tcPr>
            <w:tcW w:w="673" w:type="dxa"/>
          </w:tcPr>
          <w:p w14:paraId="25D17E48" w14:textId="301E4496" w:rsidR="0067177F" w:rsidRPr="0067177F" w:rsidRDefault="0067177F" w:rsidP="0067177F">
            <w:pPr>
              <w:spacing w:before="120" w:after="120"/>
              <w:rPr>
                <w:rFonts w:ascii="Arial" w:hAnsi="Arial" w:cs="Arial"/>
                <w:sz w:val="20"/>
                <w:lang w:eastAsia="ko-KR"/>
              </w:rPr>
            </w:pPr>
            <w:r w:rsidRPr="0067177F">
              <w:rPr>
                <w:rFonts w:ascii="Arial" w:eastAsia="바탕" w:hAnsi="Arial" w:cs="Arial"/>
                <w:sz w:val="20"/>
                <w:lang w:eastAsia="ko-KR"/>
              </w:rPr>
              <w:t>1005</w:t>
            </w:r>
          </w:p>
        </w:tc>
        <w:tc>
          <w:tcPr>
            <w:tcW w:w="1073" w:type="dxa"/>
          </w:tcPr>
          <w:p w14:paraId="70E6662C" w14:textId="0DFD7DDA" w:rsidR="0067177F" w:rsidRPr="0067177F" w:rsidRDefault="00962A0E" w:rsidP="0067177F">
            <w:pPr>
              <w:spacing w:before="120" w:after="120"/>
              <w:rPr>
                <w:rFonts w:ascii="Arial" w:hAnsi="Arial" w:cs="Arial"/>
                <w:sz w:val="20"/>
              </w:rPr>
            </w:pPr>
            <w:r>
              <w:rPr>
                <w:rFonts w:ascii="Arial" w:eastAsia="바탕" w:hAnsi="Arial" w:cs="Arial"/>
                <w:sz w:val="20"/>
                <w:lang w:eastAsia="ko-KR"/>
              </w:rPr>
              <w:t>64.04</w:t>
            </w:r>
          </w:p>
        </w:tc>
        <w:tc>
          <w:tcPr>
            <w:tcW w:w="821" w:type="dxa"/>
          </w:tcPr>
          <w:p w14:paraId="51EA93E7" w14:textId="31882C04" w:rsidR="0067177F" w:rsidRPr="0067177F" w:rsidRDefault="00962A0E" w:rsidP="0067177F">
            <w:pPr>
              <w:spacing w:before="120" w:after="120"/>
              <w:rPr>
                <w:rFonts w:ascii="Arial" w:hAnsi="Arial" w:cs="Arial"/>
                <w:sz w:val="20"/>
              </w:rPr>
            </w:pPr>
            <w:r>
              <w:rPr>
                <w:rFonts w:ascii="Arial" w:eastAsia="바탕" w:hAnsi="Arial" w:cs="Arial"/>
                <w:sz w:val="20"/>
                <w:lang w:eastAsia="ko-KR"/>
              </w:rPr>
              <w:t>31.10</w:t>
            </w:r>
          </w:p>
        </w:tc>
        <w:tc>
          <w:tcPr>
            <w:tcW w:w="2673" w:type="dxa"/>
          </w:tcPr>
          <w:p w14:paraId="2F38F0BE" w14:textId="255DC930" w:rsidR="0067177F" w:rsidRPr="0067177F" w:rsidRDefault="0067177F" w:rsidP="0067177F">
            <w:pPr>
              <w:spacing w:before="120" w:after="120"/>
              <w:rPr>
                <w:rFonts w:ascii="Arial" w:hAnsi="Arial" w:cs="Arial"/>
                <w:sz w:val="20"/>
              </w:rPr>
            </w:pPr>
            <w:r w:rsidRPr="0067177F">
              <w:rPr>
                <w:rFonts w:ascii="Arial" w:hAnsi="Arial" w:cs="Arial"/>
                <w:sz w:val="20"/>
              </w:rPr>
              <w:t>In some cases, putting the WUR-related information to the Neighbor report can help the WUR STAs gather other BSS's information or select an appropriate BSS based on the information.</w:t>
            </w:r>
          </w:p>
        </w:tc>
        <w:tc>
          <w:tcPr>
            <w:tcW w:w="2014" w:type="dxa"/>
          </w:tcPr>
          <w:p w14:paraId="36786B1C" w14:textId="746E37F5" w:rsidR="0067177F" w:rsidRPr="0067177F" w:rsidRDefault="0067177F" w:rsidP="0067177F">
            <w:pPr>
              <w:spacing w:before="120" w:after="120"/>
              <w:rPr>
                <w:rFonts w:ascii="Arial" w:eastAsia="바탕" w:hAnsi="Arial" w:cs="Arial"/>
                <w:sz w:val="20"/>
                <w:lang w:eastAsia="ko-KR"/>
              </w:rPr>
            </w:pPr>
            <w:r w:rsidRPr="0067177F">
              <w:rPr>
                <w:rFonts w:ascii="Arial" w:hAnsi="Arial" w:cs="Arial"/>
                <w:sz w:val="20"/>
              </w:rPr>
              <w:t>See the comments.</w:t>
            </w:r>
          </w:p>
        </w:tc>
        <w:tc>
          <w:tcPr>
            <w:tcW w:w="2600" w:type="dxa"/>
          </w:tcPr>
          <w:p w14:paraId="2BB53825" w14:textId="05E6837C" w:rsidR="0067177F" w:rsidRPr="0067177F" w:rsidRDefault="0067177F" w:rsidP="0067177F">
            <w:pPr>
              <w:spacing w:before="120" w:after="120"/>
              <w:rPr>
                <w:rFonts w:ascii="Arial" w:eastAsia="바탕" w:hAnsi="Arial" w:cs="Arial"/>
                <w:sz w:val="20"/>
                <w:lang w:eastAsia="ko-KR"/>
              </w:rPr>
            </w:pPr>
            <w:r>
              <w:rPr>
                <w:rFonts w:ascii="Arial" w:eastAsia="바탕" w:hAnsi="Arial" w:cs="Arial" w:hint="eastAsia"/>
                <w:sz w:val="20"/>
                <w:lang w:eastAsia="ko-KR"/>
              </w:rPr>
              <w:t>Reject</w:t>
            </w:r>
            <w:r w:rsidRPr="0067177F">
              <w:rPr>
                <w:rFonts w:ascii="Arial" w:eastAsia="바탕" w:hAnsi="Arial" w:cs="Arial" w:hint="eastAsia"/>
                <w:sz w:val="20"/>
                <w:lang w:eastAsia="ko-KR"/>
              </w:rPr>
              <w:t>ed</w:t>
            </w:r>
            <w:r w:rsidRPr="0067177F">
              <w:rPr>
                <w:rFonts w:ascii="Arial" w:eastAsia="바탕" w:hAnsi="Arial" w:cs="Arial"/>
                <w:sz w:val="20"/>
                <w:lang w:eastAsia="ko-KR"/>
              </w:rPr>
              <w:t>—</w:t>
            </w:r>
          </w:p>
          <w:p w14:paraId="44B1F2F4" w14:textId="1F0BB267" w:rsidR="0067177F" w:rsidRPr="0067177F" w:rsidRDefault="00C96C3D" w:rsidP="0067177F">
            <w:pPr>
              <w:spacing w:before="120" w:after="120"/>
              <w:rPr>
                <w:rFonts w:ascii="Arial" w:eastAsia="바탕" w:hAnsi="Arial" w:cs="Arial"/>
                <w:sz w:val="20"/>
                <w:lang w:eastAsia="ko-KR"/>
              </w:rPr>
            </w:pPr>
            <w:r>
              <w:rPr>
                <w:rFonts w:ascii="Arial" w:eastAsia="바탕" w:hAnsi="Arial" w:cs="Arial"/>
                <w:sz w:val="20"/>
                <w:lang w:eastAsia="ko-KR"/>
              </w:rPr>
              <w:t>I</w:t>
            </w:r>
            <w:r w:rsidRPr="00C96C3D">
              <w:rPr>
                <w:rFonts w:ascii="Arial" w:eastAsia="바탕" w:hAnsi="Arial" w:cs="Arial"/>
                <w:sz w:val="20"/>
                <w:lang w:eastAsia="ko-KR"/>
              </w:rPr>
              <w:t>t was agreed not to reuse Neighbor Report element but to design a new element optimized for WUR Discovery use.</w:t>
            </w:r>
          </w:p>
        </w:tc>
      </w:tr>
    </w:tbl>
    <w:p w14:paraId="129B5B81" w14:textId="77777777" w:rsidR="007623D6" w:rsidRDefault="007623D6" w:rsidP="007623D6">
      <w:pPr>
        <w:rPr>
          <w:rFonts w:ascii="Arial" w:hAnsi="Arial" w:cs="Arial"/>
          <w:b/>
          <w:bCs/>
          <w:color w:val="000000"/>
          <w:sz w:val="22"/>
          <w:szCs w:val="22"/>
          <w:lang w:val="en-US" w:eastAsia="ko-KR"/>
        </w:rPr>
      </w:pPr>
    </w:p>
    <w:p w14:paraId="6D121397" w14:textId="77777777" w:rsidR="007623D6" w:rsidRDefault="007623D6" w:rsidP="007623D6">
      <w:pPr>
        <w:rPr>
          <w:rFonts w:ascii="Arial" w:hAnsi="Arial" w:cs="Arial"/>
          <w:b/>
          <w:bCs/>
          <w:color w:val="000000"/>
          <w:sz w:val="22"/>
          <w:szCs w:val="22"/>
          <w:lang w:val="en-US" w:eastAsia="ko-KR"/>
        </w:rPr>
      </w:pPr>
    </w:p>
    <w:p w14:paraId="19B700C7" w14:textId="4C8482D1" w:rsidR="00FD2FBB" w:rsidRPr="007623D6" w:rsidRDefault="006E2A5A" w:rsidP="007623D6">
      <w:pPr>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A7DD8">
        <w:rPr>
          <w:rFonts w:ascii="Arial" w:hAnsi="Arial" w:cs="Arial"/>
          <w:b/>
          <w:bCs/>
          <w:i/>
          <w:color w:val="000000"/>
          <w:sz w:val="22"/>
          <w:szCs w:val="22"/>
          <w:u w:val="single"/>
          <w:lang w:val="en-US" w:eastAsia="ko-KR"/>
        </w:rPr>
        <w:t>None</w:t>
      </w:r>
    </w:p>
    <w:sectPr w:rsidR="00FD2FBB" w:rsidRPr="007623D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B61FA" w14:textId="77777777" w:rsidR="001B5018" w:rsidRDefault="001B5018">
      <w:r>
        <w:separator/>
      </w:r>
    </w:p>
  </w:endnote>
  <w:endnote w:type="continuationSeparator" w:id="0">
    <w:p w14:paraId="671A3177" w14:textId="77777777" w:rsidR="001B5018" w:rsidRDefault="001B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7B0FA900" w:rsidR="00FE05E8" w:rsidRDefault="00647F56">
    <w:pPr>
      <w:pStyle w:val="a3"/>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2C0F60">
      <w:rPr>
        <w:noProof/>
      </w:rPr>
      <w:t>2</w:t>
    </w:r>
    <w:r w:rsidR="00FE05E8">
      <w:rPr>
        <w:noProof/>
      </w:rPr>
      <w:fldChar w:fldCharType="end"/>
    </w:r>
    <w:r w:rsidR="00FE05E8">
      <w:tab/>
    </w:r>
    <w:r w:rsidR="0068740D">
      <w:t>Taewon Song</w:t>
    </w:r>
    <w:r w:rsidR="00FE05E8">
      <w:t xml:space="preserve">, </w:t>
    </w:r>
    <w:r w:rsidR="0068740D">
      <w:t>LG Electronics</w:t>
    </w:r>
  </w:p>
  <w:p w14:paraId="433CD0E0" w14:textId="77777777" w:rsidR="00FE05E8" w:rsidRDefault="00FE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AE1A3" w14:textId="77777777" w:rsidR="001B5018" w:rsidRDefault="001B5018">
      <w:r>
        <w:separator/>
      </w:r>
    </w:p>
  </w:footnote>
  <w:footnote w:type="continuationSeparator" w:id="0">
    <w:p w14:paraId="07E4749A" w14:textId="77777777" w:rsidR="001B5018" w:rsidRDefault="001B5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B69CA4F" w:rsidR="00FE05E8" w:rsidRDefault="0067177F">
    <w:pPr>
      <w:pStyle w:val="a4"/>
      <w:tabs>
        <w:tab w:val="clear" w:pos="6480"/>
        <w:tab w:val="center" w:pos="4680"/>
        <w:tab w:val="right" w:pos="9360"/>
      </w:tabs>
    </w:pPr>
    <w:r>
      <w:rPr>
        <w:lang w:eastAsia="ko-KR"/>
      </w:rPr>
      <w:t>January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t>21</w:t>
      </w:r>
      <w:r w:rsidR="007623D6">
        <w:t>6</w:t>
      </w:r>
      <w:r>
        <w:t>4</w:t>
      </w:r>
      <w:r w:rsidR="00FE05E8">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6A548990"/>
    <w:lvl w:ilvl="0" w:tplc="68201F20">
      <w:numFmt w:val="bullet"/>
      <w:lvlText w:val="-"/>
      <w:lvlJc w:val="left"/>
      <w:pPr>
        <w:ind w:left="720" w:hanging="360"/>
      </w:pPr>
      <w:rPr>
        <w:rFonts w:ascii="Times New Roman" w:eastAsia="맑은 고딕" w:hAnsi="Times New Roman" w:cs="Times New Roman" w:hint="default"/>
      </w:rPr>
    </w:lvl>
    <w:lvl w:ilvl="1" w:tplc="E73C7EFC">
      <w:numFmt w:val="bullet"/>
      <w:lvlText w:val="—"/>
      <w:lvlJc w:val="left"/>
      <w:pPr>
        <w:ind w:left="1440" w:hanging="360"/>
      </w:pPr>
      <w:rPr>
        <w:rFonts w:ascii="Times New Roman" w:eastAsia="맑은 고딕"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E0A7B"/>
    <w:multiLevelType w:val="hybridMultilevel"/>
    <w:tmpl w:val="98DA57D0"/>
    <w:lvl w:ilvl="0" w:tplc="99F24FF4">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1CE"/>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7E7"/>
    <w:rsid w:val="00116903"/>
    <w:rsid w:val="00117299"/>
    <w:rsid w:val="00120298"/>
    <w:rsid w:val="00120BD6"/>
    <w:rsid w:val="001215C0"/>
    <w:rsid w:val="00121F21"/>
    <w:rsid w:val="00122191"/>
    <w:rsid w:val="00122D51"/>
    <w:rsid w:val="00123240"/>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5018"/>
    <w:rsid w:val="001B63BC"/>
    <w:rsid w:val="001B7AC5"/>
    <w:rsid w:val="001C047E"/>
    <w:rsid w:val="001C1A6C"/>
    <w:rsid w:val="001C1DF3"/>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B7E74"/>
    <w:rsid w:val="002C0F60"/>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1CFC"/>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957"/>
    <w:rsid w:val="00441C39"/>
    <w:rsid w:val="00441EC5"/>
    <w:rsid w:val="00442799"/>
    <w:rsid w:val="00443FBF"/>
    <w:rsid w:val="004452DF"/>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24F"/>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47F5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1EA"/>
    <w:rsid w:val="0067177F"/>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2047"/>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6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37"/>
    <w:rsid w:val="0076196C"/>
    <w:rsid w:val="007623D6"/>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7FFC"/>
    <w:rsid w:val="007E21DF"/>
    <w:rsid w:val="007E2920"/>
    <w:rsid w:val="007E41CB"/>
    <w:rsid w:val="007E4402"/>
    <w:rsid w:val="007E5479"/>
    <w:rsid w:val="007E5F8E"/>
    <w:rsid w:val="007E611D"/>
    <w:rsid w:val="007E7134"/>
    <w:rsid w:val="007E79A4"/>
    <w:rsid w:val="007F072E"/>
    <w:rsid w:val="007F2366"/>
    <w:rsid w:val="007F3B09"/>
    <w:rsid w:val="007F6EC7"/>
    <w:rsid w:val="007F75A8"/>
    <w:rsid w:val="007F7EA7"/>
    <w:rsid w:val="008007C7"/>
    <w:rsid w:val="00802FC5"/>
    <w:rsid w:val="0080318B"/>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6B39"/>
    <w:rsid w:val="00897183"/>
    <w:rsid w:val="008973DF"/>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A44"/>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4D0D"/>
    <w:rsid w:val="00955A8E"/>
    <w:rsid w:val="0095758E"/>
    <w:rsid w:val="00957FA2"/>
    <w:rsid w:val="00961347"/>
    <w:rsid w:val="00962377"/>
    <w:rsid w:val="00962886"/>
    <w:rsid w:val="00962A0E"/>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39BC"/>
    <w:rsid w:val="009948C1"/>
    <w:rsid w:val="00996772"/>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F07"/>
    <w:rsid w:val="00A00EE5"/>
    <w:rsid w:val="00A03261"/>
    <w:rsid w:val="00A03E68"/>
    <w:rsid w:val="00A049E2"/>
    <w:rsid w:val="00A04DE9"/>
    <w:rsid w:val="00A063CC"/>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3EEB"/>
    <w:rsid w:val="00AB4292"/>
    <w:rsid w:val="00AB4E03"/>
    <w:rsid w:val="00AC0237"/>
    <w:rsid w:val="00AC14B8"/>
    <w:rsid w:val="00AC1B7C"/>
    <w:rsid w:val="00AC3A4B"/>
    <w:rsid w:val="00AC3A66"/>
    <w:rsid w:val="00AC45DD"/>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4E60"/>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BBB"/>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728B"/>
    <w:rsid w:val="00BB7702"/>
    <w:rsid w:val="00BB7718"/>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3BAB"/>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6C3D"/>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67C4C"/>
    <w:rsid w:val="00D7080B"/>
    <w:rsid w:val="00D72906"/>
    <w:rsid w:val="00D72BC8"/>
    <w:rsid w:val="00D72BCE"/>
    <w:rsid w:val="00D73E07"/>
    <w:rsid w:val="00D74A52"/>
    <w:rsid w:val="00D74D66"/>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ED7073"/>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4Char">
    <w:name w:val="제목 4 Char"/>
    <w:basedOn w:val="a0"/>
    <w:link w:val="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9CFA-C265-4CF3-B120-58E6308C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376</Words>
  <Characters>2145</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Broadcom Limited</Company>
  <LinksUpToDate>false</LinksUpToDate>
  <CharactersWithSpaces>2516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Taewon Song</dc:creator>
  <cp:lastModifiedBy>Taewon Song</cp:lastModifiedBy>
  <cp:revision>9</cp:revision>
  <cp:lastPrinted>2010-05-04T03:47:00Z</cp:lastPrinted>
  <dcterms:created xsi:type="dcterms:W3CDTF">2018-11-15T04:28:00Z</dcterms:created>
  <dcterms:modified xsi:type="dcterms:W3CDTF">2019-01-07T06:30:00Z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