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694F0A" w:rsidP="00893864">
            <w:pPr>
              <w:pStyle w:val="T2"/>
              <w:rPr>
                <w:szCs w:val="28"/>
                <w:lang w:val="en-US" w:eastAsia="zh-CN"/>
              </w:rPr>
            </w:pPr>
            <w:r w:rsidRPr="005D62D4">
              <w:rPr>
                <w:szCs w:val="28"/>
                <w:lang w:val="en-US" w:eastAsia="zh-CN"/>
              </w:rPr>
              <w:t xml:space="preserve">Comment </w:t>
            </w:r>
            <w:r w:rsidR="00A00217">
              <w:rPr>
                <w:szCs w:val="28"/>
                <w:lang w:val="en-US" w:eastAsia="zh-CN"/>
              </w:rPr>
              <w:t>R</w:t>
            </w:r>
            <w:r w:rsidRPr="005D62D4">
              <w:rPr>
                <w:szCs w:val="28"/>
                <w:lang w:val="en-US" w:eastAsia="zh-CN"/>
              </w:rPr>
              <w:t>esolution on CID</w:t>
            </w:r>
            <w:r w:rsidR="00893864">
              <w:rPr>
                <w:szCs w:val="28"/>
                <w:lang w:val="en-US" w:eastAsia="zh-CN"/>
              </w:rPr>
              <w:t xml:space="preserve"> 16768</w:t>
            </w:r>
            <w:r>
              <w:rPr>
                <w:szCs w:val="28"/>
                <w:lang w:val="en-US" w:eastAsia="zh-CN"/>
              </w:rPr>
              <w:t xml:space="preserve"> 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1A069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 w:rsidR="00E61265"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1A0698">
              <w:rPr>
                <w:b w:val="0"/>
                <w:sz w:val="20"/>
                <w:lang w:eastAsia="zh-CN"/>
              </w:rPr>
              <w:t>9</w:t>
            </w:r>
            <w:r>
              <w:rPr>
                <w:b w:val="0"/>
                <w:sz w:val="20"/>
                <w:lang w:eastAsia="zh-CN"/>
              </w:rPr>
              <w:t>-06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Merge w:val="restart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Merge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2E376B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comment resolution on the following CID for </w:t>
      </w:r>
      <w:r w:rsidRPr="00356392">
        <w:rPr>
          <w:bCs/>
          <w:sz w:val="22"/>
          <w:szCs w:val="22"/>
        </w:rPr>
        <w:t>28.</w:t>
      </w:r>
      <w:r w:rsidR="00A00217">
        <w:rPr>
          <w:bCs/>
          <w:sz w:val="22"/>
          <w:szCs w:val="22"/>
        </w:rPr>
        <w:t>4.3</w:t>
      </w:r>
      <w:r w:rsidR="001D7986" w:rsidRPr="00356392">
        <w:rPr>
          <w:bCs/>
          <w:sz w:val="22"/>
          <w:szCs w:val="22"/>
        </w:rPr>
        <w:t xml:space="preserve"> </w:t>
      </w:r>
      <w:r w:rsidR="005738F7" w:rsidRPr="00356392">
        <w:rPr>
          <w:bCs/>
          <w:sz w:val="22"/>
          <w:szCs w:val="22"/>
        </w:rPr>
        <w:t xml:space="preserve">and the proposed specification changes are </w:t>
      </w:r>
      <w:r w:rsidR="001D7986" w:rsidRPr="00356392">
        <w:rPr>
          <w:bCs/>
          <w:sz w:val="22"/>
          <w:szCs w:val="22"/>
        </w:rPr>
        <w:t xml:space="preserve">in draft </w:t>
      </w:r>
      <w:r w:rsidR="00A00217">
        <w:rPr>
          <w:bCs/>
          <w:sz w:val="22"/>
          <w:szCs w:val="22"/>
        </w:rPr>
        <w:t>3.</w:t>
      </w:r>
      <w:r w:rsidR="00DD58E3">
        <w:rPr>
          <w:bCs/>
          <w:sz w:val="22"/>
          <w:szCs w:val="22"/>
        </w:rPr>
        <w:t>2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</w:t>
      </w:r>
      <w:r w:rsidR="003C4113">
        <w:rPr>
          <w:rFonts w:ascii="Arial" w:hAnsi="Arial" w:cs="Arial"/>
          <w:sz w:val="20"/>
          <w:szCs w:val="20"/>
        </w:rPr>
        <w:t>68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AC1163" w:rsidTr="00AC1163">
        <w:trPr>
          <w:tblCellSpacing w:w="0" w:type="dxa"/>
        </w:trPr>
        <w:tc>
          <w:tcPr>
            <w:tcW w:w="7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16768</w:t>
            </w:r>
          </w:p>
        </w:tc>
        <w:tc>
          <w:tcPr>
            <w:tcW w:w="70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353.35</w:t>
            </w:r>
          </w:p>
        </w:tc>
        <w:tc>
          <w:tcPr>
            <w:tcW w:w="75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27.11.3</w:t>
            </w:r>
          </w:p>
        </w:tc>
        <w:tc>
          <w:tcPr>
            <w:tcW w:w="2368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BEAM_CHANGE = 0 could be problematic if beamforming is applied to the legacy preamble. Beamforming may cause sudden phase jumps in the channel estimate. For this reason, HT, VHT and 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transmissions come with a "smoothing" or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indication in the preamble, so the receiver can adjust. This is not possible if BF is applied from the start of the packet. Since the receiver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know whether BF is applied or not, it may have no choice but to disable channel smoothing. This would be quite ironic since it would result in a reduction of channel estimate quality, which BEAM_CHANGE is supposed to help with.</w:t>
            </w:r>
          </w:p>
        </w:tc>
        <w:tc>
          <w:tcPr>
            <w:tcW w:w="255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bit to the HE Capabilities to allow the receiver to indicate that it is (or is not) willing to accept packets with BEAM_CHANGE=0 for which beamforming is applied.</w:t>
            </w:r>
          </w:p>
        </w:tc>
        <w:tc>
          <w:tcPr>
            <w:tcW w:w="23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63" w:rsidRPr="0058465A" w:rsidRDefault="00AC1163" w:rsidP="00AC116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AC1163" w:rsidRPr="0058465A" w:rsidRDefault="00AC1163" w:rsidP="00AC116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AC1163" w:rsidRDefault="00AC1163" w:rsidP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for instructions of CID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16768</w:t>
            </w: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58465A">
              <w:rPr>
                <w:sz w:val="20"/>
                <w:szCs w:val="20"/>
              </w:rPr>
              <w:t xml:space="preserve">in doc </w:t>
            </w:r>
            <w:r w:rsidRPr="0058465A">
              <w:t>IEEE</w:t>
            </w:r>
            <w:r w:rsidRPr="0058465A">
              <w:rPr>
                <w:sz w:val="20"/>
                <w:szCs w:val="20"/>
              </w:rPr>
              <w:t xml:space="preserve"> 802.11-18/</w:t>
            </w:r>
            <w:r w:rsidR="00BE68BE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r</w:t>
            </w:r>
            <w:r w:rsidR="004003F9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58465A">
              <w:rPr>
                <w:sz w:val="20"/>
                <w:szCs w:val="20"/>
              </w:rPr>
              <w:t>.</w:t>
            </w:r>
          </w:p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E3388D" w:rsidRDefault="00E3388D" w:rsidP="00AD4EFC">
      <w:pPr>
        <w:rPr>
          <w:b/>
          <w:u w:val="single"/>
        </w:rPr>
      </w:pPr>
    </w:p>
    <w:p w:rsidR="00AD4EFC" w:rsidRDefault="00AD4EFC" w:rsidP="00AD4EFC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 w:rsidRPr="00C5453A">
        <w:rPr>
          <w:b/>
          <w:bCs/>
          <w:u w:val="single"/>
        </w:rPr>
        <w:t>1</w:t>
      </w:r>
      <w:r>
        <w:rPr>
          <w:b/>
          <w:bCs/>
          <w:u w:val="single"/>
        </w:rPr>
        <w:t>67</w:t>
      </w:r>
      <w:r w:rsidR="00E3388D">
        <w:rPr>
          <w:b/>
          <w:bCs/>
          <w:u w:val="single"/>
        </w:rPr>
        <w:t>68</w:t>
      </w:r>
      <w:r w:rsidRPr="00C5453A">
        <w:rPr>
          <w:b/>
          <w:u w:val="single"/>
        </w:rPr>
        <w:t>:</w:t>
      </w:r>
    </w:p>
    <w:p w:rsidR="00AD4EFC" w:rsidRDefault="00AD4EFC" w:rsidP="00AD4EFC">
      <w:pPr>
        <w:rPr>
          <w:color w:val="1F497D"/>
        </w:rPr>
      </w:pPr>
    </w:p>
    <w:p w:rsidR="00AD4EFC" w:rsidRDefault="00AD4EFC" w:rsidP="002747EB">
      <w:pPr>
        <w:rPr>
          <w:rFonts w:ascii="Arial" w:hAnsi="Arial" w:cs="Arial"/>
          <w:sz w:val="20"/>
          <w:szCs w:val="20"/>
        </w:rPr>
      </w:pPr>
      <w:r w:rsidRPr="005C72A8">
        <w:rPr>
          <w:b/>
          <w:color w:val="000000" w:themeColor="text1"/>
          <w:sz w:val="20"/>
          <w:szCs w:val="20"/>
          <w:u w:val="single"/>
        </w:rPr>
        <w:t>Discussions:</w:t>
      </w:r>
    </w:p>
    <w:p w:rsidR="00AD4EFC" w:rsidRDefault="00AD4EFC" w:rsidP="00AD4EFC">
      <w:pPr>
        <w:spacing w:line="252" w:lineRule="auto"/>
        <w:rPr>
          <w:rFonts w:ascii="Arial" w:hAnsi="Arial" w:cs="Arial"/>
          <w:sz w:val="20"/>
          <w:szCs w:val="20"/>
        </w:rPr>
      </w:pPr>
    </w:p>
    <w:p w:rsidR="002A1055" w:rsidRDefault="00AD4EFC" w:rsidP="00AF788B">
      <w:p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BEAM_CHANGE or not at receiver does not affect the reception. Any STA can support BEAM_CHNAGE = 0 and BEAM_CHNAGE = 1 case without any efforts.</w:t>
      </w:r>
      <w:r w:rsidR="00AF78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Smoothing or not is a receiver’s decision. Receivers should check if the channel can be smoothed or not. </w:t>
      </w:r>
      <w:r w:rsidR="002A105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ven </w:t>
      </w:r>
      <w:r w:rsidR="002A1055">
        <w:rPr>
          <w:rFonts w:ascii="Arial" w:hAnsi="Arial" w:cs="Arial"/>
          <w:sz w:val="20"/>
          <w:szCs w:val="20"/>
        </w:rPr>
        <w:t xml:space="preserve">for </w:t>
      </w:r>
      <w:proofErr w:type="spellStart"/>
      <w:r w:rsidR="002A1055">
        <w:rPr>
          <w:rFonts w:ascii="Arial" w:hAnsi="Arial" w:cs="Arial"/>
          <w:sz w:val="20"/>
          <w:szCs w:val="20"/>
        </w:rPr>
        <w:t>beamform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A1055">
        <w:rPr>
          <w:rFonts w:ascii="Arial" w:hAnsi="Arial" w:cs="Arial"/>
          <w:sz w:val="20"/>
          <w:szCs w:val="20"/>
        </w:rPr>
        <w:t>HE frames</w:t>
      </w:r>
      <w:r>
        <w:rPr>
          <w:rFonts w:ascii="Arial" w:hAnsi="Arial" w:cs="Arial"/>
          <w:sz w:val="20"/>
          <w:szCs w:val="20"/>
        </w:rPr>
        <w:t xml:space="preserve">, the channel needs to be </w:t>
      </w:r>
      <w:proofErr w:type="spellStart"/>
      <w:r>
        <w:rPr>
          <w:rFonts w:ascii="Arial" w:hAnsi="Arial" w:cs="Arial"/>
          <w:sz w:val="20"/>
          <w:szCs w:val="20"/>
        </w:rPr>
        <w:t>smoothable</w:t>
      </w:r>
      <w:proofErr w:type="spellEnd"/>
      <w:r w:rsidR="002A1055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1x</w:t>
      </w:r>
      <w:r w:rsidR="002A1055">
        <w:rPr>
          <w:rFonts w:ascii="Arial" w:hAnsi="Arial" w:cs="Arial"/>
          <w:sz w:val="20"/>
          <w:szCs w:val="20"/>
        </w:rPr>
        <w:t xml:space="preserve"> HE-LTF</w:t>
      </w:r>
      <w:r>
        <w:rPr>
          <w:rFonts w:ascii="Arial" w:hAnsi="Arial" w:cs="Arial"/>
          <w:sz w:val="20"/>
          <w:szCs w:val="20"/>
        </w:rPr>
        <w:t xml:space="preserve"> and 2x HE-LTF</w:t>
      </w:r>
      <w:r w:rsidR="002A1055">
        <w:rPr>
          <w:rFonts w:ascii="Arial" w:hAnsi="Arial" w:cs="Arial"/>
          <w:sz w:val="20"/>
          <w:szCs w:val="20"/>
        </w:rPr>
        <w:t xml:space="preserve"> are used</w:t>
      </w:r>
      <w:r>
        <w:rPr>
          <w:rFonts w:ascii="Arial" w:hAnsi="Arial" w:cs="Arial"/>
          <w:sz w:val="20"/>
          <w:szCs w:val="20"/>
        </w:rPr>
        <w:t>.</w:t>
      </w:r>
      <w:r w:rsidR="002A1055">
        <w:rPr>
          <w:rFonts w:ascii="Arial" w:hAnsi="Arial" w:cs="Arial"/>
          <w:sz w:val="20"/>
          <w:szCs w:val="20"/>
        </w:rPr>
        <w:t xml:space="preserve"> </w:t>
      </w:r>
    </w:p>
    <w:p w:rsidR="002A1055" w:rsidRDefault="002A1055" w:rsidP="00AF788B">
      <w:pPr>
        <w:spacing w:line="252" w:lineRule="auto"/>
        <w:rPr>
          <w:rFonts w:ascii="Arial" w:hAnsi="Arial" w:cs="Arial"/>
          <w:sz w:val="20"/>
          <w:szCs w:val="20"/>
        </w:rPr>
      </w:pPr>
    </w:p>
    <w:p w:rsidR="00AD4EFC" w:rsidRDefault="00AD4EFC" w:rsidP="00AF788B">
      <w:p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Knowing the </w:t>
      </w:r>
      <w:proofErr w:type="spellStart"/>
      <w:r>
        <w:rPr>
          <w:rFonts w:ascii="Arial" w:hAnsi="Arial" w:cs="Arial"/>
          <w:sz w:val="20"/>
          <w:szCs w:val="20"/>
        </w:rPr>
        <w:t>Beamformed</w:t>
      </w:r>
      <w:proofErr w:type="spellEnd"/>
      <w:r>
        <w:rPr>
          <w:rFonts w:ascii="Arial" w:hAnsi="Arial" w:cs="Arial"/>
          <w:sz w:val="20"/>
          <w:szCs w:val="20"/>
        </w:rPr>
        <w:t xml:space="preserve"> from HE-SIGA does not help the preamble reception</w:t>
      </w:r>
      <w:r w:rsidR="00AF788B">
        <w:rPr>
          <w:rFonts w:ascii="Arial" w:hAnsi="Arial" w:cs="Arial"/>
          <w:sz w:val="20"/>
          <w:szCs w:val="20"/>
        </w:rPr>
        <w:t>. So adding the capability bit is not necessary.</w:t>
      </w:r>
    </w:p>
    <w:p w:rsidR="00AD4EFC" w:rsidRDefault="00AD4EFC" w:rsidP="00AD4EFC">
      <w:pPr>
        <w:rPr>
          <w:rFonts w:ascii="Arial" w:hAnsi="Arial" w:cs="Arial"/>
          <w:sz w:val="20"/>
          <w:szCs w:val="20"/>
        </w:rPr>
      </w:pPr>
    </w:p>
    <w:p w:rsidR="00AD4EFC" w:rsidRDefault="00AD4EFC" w:rsidP="00AD4EFC">
      <w:pPr>
        <w:rPr>
          <w:bCs/>
          <w:sz w:val="20"/>
          <w:szCs w:val="20"/>
        </w:rPr>
      </w:pPr>
      <w:r w:rsidRPr="002A1055">
        <w:rPr>
          <w:sz w:val="20"/>
          <w:szCs w:val="20"/>
        </w:rPr>
        <w:t xml:space="preserve">However, </w:t>
      </w:r>
      <w:r w:rsidR="00AF788B" w:rsidRPr="002A1055">
        <w:rPr>
          <w:sz w:val="20"/>
          <w:szCs w:val="20"/>
        </w:rPr>
        <w:t xml:space="preserve">adding an informative note about the setting of BEAM_CHANGE may </w:t>
      </w:r>
      <w:proofErr w:type="spellStart"/>
      <w:r w:rsidR="00AF788B" w:rsidRPr="002A1055">
        <w:rPr>
          <w:sz w:val="20"/>
          <w:szCs w:val="20"/>
        </w:rPr>
        <w:t>helps</w:t>
      </w:r>
      <w:proofErr w:type="spellEnd"/>
      <w:r w:rsidR="00AF788B" w:rsidRPr="002A1055">
        <w:rPr>
          <w:sz w:val="20"/>
          <w:szCs w:val="20"/>
        </w:rPr>
        <w:t xml:space="preserve"> the </w:t>
      </w:r>
      <w:proofErr w:type="spellStart"/>
      <w:r w:rsidR="00AF788B" w:rsidRPr="002A1055">
        <w:rPr>
          <w:sz w:val="20"/>
          <w:szCs w:val="20"/>
        </w:rPr>
        <w:t>understanding.The</w:t>
      </w:r>
      <w:proofErr w:type="spellEnd"/>
      <w:r w:rsidR="00AF788B" w:rsidRPr="002A1055">
        <w:rPr>
          <w:sz w:val="20"/>
          <w:szCs w:val="20"/>
        </w:rPr>
        <w:t xml:space="preserve"> note is added to the </w:t>
      </w:r>
      <w:r w:rsidR="00AF788B" w:rsidRPr="002A1055">
        <w:rPr>
          <w:bCs/>
          <w:sz w:val="20"/>
          <w:szCs w:val="20"/>
        </w:rPr>
        <w:t>Table 28-1—TXVECTOR and RXVECTOR parameters.</w:t>
      </w:r>
    </w:p>
    <w:p w:rsidR="002A1055" w:rsidRDefault="002A1055" w:rsidP="00AD4EFC">
      <w:pPr>
        <w:rPr>
          <w:bCs/>
          <w:sz w:val="20"/>
          <w:szCs w:val="20"/>
        </w:rPr>
      </w:pPr>
    </w:p>
    <w:p w:rsidR="002A1055" w:rsidRPr="002A1055" w:rsidRDefault="002A1055" w:rsidP="00AD4EFC">
      <w:pPr>
        <w:rPr>
          <w:sz w:val="20"/>
          <w:szCs w:val="20"/>
        </w:rPr>
      </w:pPr>
    </w:p>
    <w:p w:rsidR="00AD4EFC" w:rsidRDefault="00AD4EFC" w:rsidP="00AD4EFC">
      <w:pPr>
        <w:rPr>
          <w:rFonts w:ascii="Arial" w:hAnsi="Arial" w:cs="Arial"/>
          <w:sz w:val="20"/>
          <w:szCs w:val="20"/>
        </w:rPr>
      </w:pPr>
    </w:p>
    <w:p w:rsidR="00AD4EFC" w:rsidRDefault="00AD4EFC" w:rsidP="00AD4EFC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</w:t>
      </w:r>
      <w:r w:rsidR="00AF788B">
        <w:rPr>
          <w:b/>
          <w:i/>
          <w:color w:val="000000" w:themeColor="text1"/>
          <w:sz w:val="20"/>
          <w:highlight w:val="yellow"/>
        </w:rPr>
        <w:t>add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the following </w:t>
      </w:r>
      <w:r w:rsidR="00AF788B">
        <w:rPr>
          <w:b/>
          <w:i/>
          <w:color w:val="000000" w:themeColor="text1"/>
          <w:sz w:val="20"/>
          <w:highlight w:val="yellow"/>
        </w:rPr>
        <w:t xml:space="preserve">note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1B4524">
        <w:rPr>
          <w:b/>
          <w:i/>
          <w:color w:val="000000" w:themeColor="text1"/>
          <w:sz w:val="20"/>
          <w:highlight w:val="yellow"/>
        </w:rPr>
        <w:t>41-</w:t>
      </w:r>
      <w:r w:rsidR="00AF788B">
        <w:rPr>
          <w:b/>
          <w:i/>
          <w:color w:val="000000" w:themeColor="text1"/>
          <w:sz w:val="20"/>
          <w:highlight w:val="yellow"/>
        </w:rPr>
        <w:t>4</w:t>
      </w:r>
      <w:r w:rsidR="001B4524">
        <w:rPr>
          <w:b/>
          <w:i/>
          <w:color w:val="000000" w:themeColor="text1"/>
          <w:sz w:val="20"/>
          <w:highlight w:val="yellow"/>
        </w:rPr>
        <w:t>9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AF788B">
        <w:rPr>
          <w:b/>
          <w:i/>
          <w:color w:val="000000" w:themeColor="text1"/>
          <w:sz w:val="20"/>
          <w:highlight w:val="yellow"/>
        </w:rPr>
        <w:t>416</w:t>
      </w:r>
      <w:r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1B4524" w:rsidRDefault="001B4524" w:rsidP="00AD4EFC">
      <w:pPr>
        <w:spacing w:after="160" w:line="259" w:lineRule="auto"/>
        <w:rPr>
          <w:sz w:val="22"/>
          <w:szCs w:val="22"/>
        </w:rPr>
      </w:pPr>
      <w:r w:rsidRPr="001B4524">
        <w:rPr>
          <w:sz w:val="22"/>
          <w:szCs w:val="22"/>
        </w:rPr>
        <w:t xml:space="preserve">Integer: </w:t>
      </w:r>
    </w:p>
    <w:p w:rsidR="001B4524" w:rsidRPr="001B4524" w:rsidRDefault="001B4524" w:rsidP="00AD4EFC">
      <w:pPr>
        <w:spacing w:after="160" w:line="259" w:lineRule="auto"/>
        <w:rPr>
          <w:color w:val="000000" w:themeColor="text1"/>
          <w:sz w:val="22"/>
          <w:szCs w:val="22"/>
        </w:rPr>
      </w:pPr>
      <w:r w:rsidRPr="001B4524">
        <w:rPr>
          <w:sz w:val="22"/>
          <w:szCs w:val="22"/>
        </w:rPr>
        <w:t xml:space="preserve">Set to 0 to </w:t>
      </w:r>
      <w:proofErr w:type="gramStart"/>
      <w:r w:rsidRPr="001B4524">
        <w:rPr>
          <w:sz w:val="22"/>
          <w:szCs w:val="22"/>
        </w:rPr>
        <w:t>indicate(</w:t>
      </w:r>
      <w:proofErr w:type="gramEnd"/>
      <w:r w:rsidRPr="001B4524">
        <w:rPr>
          <w:sz w:val="22"/>
          <w:szCs w:val="22"/>
        </w:rPr>
        <w:t xml:space="preserve">#15429) that the spatial mapping of the </w:t>
      </w:r>
      <w:r w:rsidRPr="001B4524">
        <w:rPr>
          <w:strike/>
          <w:color w:val="FF0000"/>
          <w:sz w:val="22"/>
          <w:szCs w:val="22"/>
        </w:rPr>
        <w:t>pre-HE-STF portion of the PPDU</w:t>
      </w:r>
      <w:r w:rsidRPr="001B4524">
        <w:rPr>
          <w:color w:val="FF0000"/>
          <w:sz w:val="22"/>
          <w:szCs w:val="22"/>
        </w:rPr>
        <w:t xml:space="preserve"> </w:t>
      </w:r>
      <w:r w:rsidRPr="001B4524">
        <w:rPr>
          <w:color w:val="FF0000"/>
          <w:sz w:val="22"/>
          <w:szCs w:val="22"/>
        </w:rPr>
        <w:t>pre-HE modulated fields</w:t>
      </w:r>
      <w:r>
        <w:rPr>
          <w:color w:val="FF0000"/>
          <w:sz w:val="22"/>
          <w:szCs w:val="22"/>
        </w:rPr>
        <w:t xml:space="preserve"> </w:t>
      </w:r>
      <w:r w:rsidRPr="001B4524">
        <w:rPr>
          <w:sz w:val="22"/>
          <w:szCs w:val="22"/>
        </w:rPr>
        <w:t>the same as first symbol of HE-LTF</w:t>
      </w:r>
      <w:r w:rsidRPr="001B4524">
        <w:rPr>
          <w:sz w:val="22"/>
          <w:szCs w:val="22"/>
        </w:rPr>
        <w:t xml:space="preserve"> </w:t>
      </w:r>
      <w:r w:rsidRPr="001B4524">
        <w:rPr>
          <w:strike/>
          <w:color w:val="FF0000"/>
          <w:sz w:val="22"/>
          <w:szCs w:val="22"/>
        </w:rPr>
        <w:t>on each tone</w:t>
      </w:r>
      <w:r w:rsidRPr="001B4524">
        <w:rPr>
          <w:sz w:val="22"/>
          <w:szCs w:val="22"/>
        </w:rPr>
        <w:t xml:space="preserve">. Set to 1 to </w:t>
      </w:r>
      <w:proofErr w:type="gramStart"/>
      <w:r w:rsidRPr="001B4524">
        <w:rPr>
          <w:sz w:val="22"/>
          <w:szCs w:val="22"/>
        </w:rPr>
        <w:t>indicate(</w:t>
      </w:r>
      <w:proofErr w:type="gramEnd"/>
      <w:r w:rsidRPr="001B4524">
        <w:rPr>
          <w:sz w:val="22"/>
          <w:szCs w:val="22"/>
        </w:rPr>
        <w:t xml:space="preserve">#15430) that the spatial mapping of </w:t>
      </w:r>
      <w:r w:rsidRPr="001B4524">
        <w:rPr>
          <w:strike/>
          <w:color w:val="FF0000"/>
          <w:sz w:val="22"/>
          <w:szCs w:val="22"/>
        </w:rPr>
        <w:t>pre-HE-STF portion of the PPDU</w:t>
      </w:r>
      <w:r w:rsidRPr="001B4524">
        <w:rPr>
          <w:color w:val="FF0000"/>
          <w:sz w:val="22"/>
          <w:szCs w:val="22"/>
        </w:rPr>
        <w:t xml:space="preserve"> pre-HE modulated fields</w:t>
      </w:r>
      <w:r w:rsidRPr="001B4524">
        <w:rPr>
          <w:sz w:val="22"/>
          <w:szCs w:val="22"/>
        </w:rPr>
        <w:t xml:space="preserve"> </w:t>
      </w:r>
      <w:r w:rsidRPr="001B4524">
        <w:rPr>
          <w:sz w:val="22"/>
          <w:szCs w:val="22"/>
        </w:rPr>
        <w:t>is different from the first symbol of HE-LTF.</w:t>
      </w:r>
    </w:p>
    <w:p w:rsidR="00AD4EFC" w:rsidRPr="00AF788B" w:rsidRDefault="00AF788B" w:rsidP="00AD4EFC">
      <w:pPr>
        <w:rPr>
          <w:rFonts w:ascii="Arial" w:hAnsi="Arial" w:cs="Arial"/>
          <w:color w:val="FF0000"/>
          <w:sz w:val="20"/>
          <w:szCs w:val="20"/>
        </w:rPr>
      </w:pPr>
      <w:r w:rsidRPr="00AF788B">
        <w:rPr>
          <w:color w:val="FF0000"/>
        </w:rPr>
        <w:lastRenderedPageBreak/>
        <w:t xml:space="preserve">NOTE: </w:t>
      </w:r>
      <w:r w:rsidR="00A95E47">
        <w:rPr>
          <w:color w:val="FF0000"/>
        </w:rPr>
        <w:t>W</w:t>
      </w:r>
      <w:r w:rsidRPr="00AF788B">
        <w:rPr>
          <w:color w:val="FF0000"/>
        </w:rPr>
        <w:t>hen BEAM_CHANGE=0 and BEAMFORMED=1, this may result in beamforming of the</w:t>
      </w:r>
      <w:r w:rsidR="001B4524">
        <w:rPr>
          <w:color w:val="FF0000"/>
        </w:rPr>
        <w:t xml:space="preserve"> </w:t>
      </w:r>
      <w:r w:rsidR="001B4524" w:rsidRPr="001B4524">
        <w:rPr>
          <w:color w:val="FF0000"/>
          <w:sz w:val="22"/>
          <w:szCs w:val="22"/>
        </w:rPr>
        <w:t>pre-HE modulated fields</w:t>
      </w:r>
      <w:r w:rsidRPr="00AF788B">
        <w:rPr>
          <w:color w:val="FF0000"/>
        </w:rPr>
        <w:t>.</w:t>
      </w:r>
    </w:p>
    <w:sectPr w:rsidR="00AD4EFC" w:rsidRPr="00AF788B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E5" w:rsidRDefault="004F33E5">
      <w:r>
        <w:separator/>
      </w:r>
    </w:p>
  </w:endnote>
  <w:endnote w:type="continuationSeparator" w:id="0">
    <w:p w:rsidR="004F33E5" w:rsidRDefault="004F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E5" w:rsidRDefault="004F33E5">
      <w:r>
        <w:separator/>
      </w:r>
    </w:p>
  </w:footnote>
  <w:footnote w:type="continuationSeparator" w:id="0">
    <w:p w:rsidR="004F33E5" w:rsidRDefault="004F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B6AEB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November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F56090">
      <w:rPr>
        <w:color w:val="000000" w:themeColor="text1"/>
        <w:szCs w:val="28"/>
      </w:rPr>
      <w:t>IEEE 802.11-18/</w:t>
    </w:r>
    <w:r w:rsidR="00084239">
      <w:rPr>
        <w:color w:val="000000" w:themeColor="text1"/>
        <w:szCs w:val="28"/>
      </w:rPr>
      <w:t>2023</w:t>
    </w:r>
    <w:r w:rsidR="00D54162" w:rsidRPr="00D54162">
      <w:rPr>
        <w:color w:val="000000" w:themeColor="text1"/>
        <w:szCs w:val="28"/>
      </w:rPr>
      <w:t>r</w:t>
    </w:r>
    <w:r w:rsidR="001B4524">
      <w:rPr>
        <w:color w:val="000000" w:themeColor="text1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239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24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59D2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55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6CB1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13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3F9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3E5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864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385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47E43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4E3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5E47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1163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4EFC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AF788B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BE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0E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58E3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B1F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88D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0C2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2A83C3D-9E96-4094-96A9-58842962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2548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</cp:revision>
  <cp:lastPrinted>2013-12-02T17:26:00Z</cp:lastPrinted>
  <dcterms:created xsi:type="dcterms:W3CDTF">2018-11-13T10:30:00Z</dcterms:created>
  <dcterms:modified xsi:type="dcterms:W3CDTF">2018-11-13T10:30:00Z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