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2D83" w:rsidRPr="00BD6FB0" w:rsidRDefault="000654DF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Proposed </w:t>
            </w:r>
            <w:r w:rsidR="0094117C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proofErr w:type="spellStart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Miscs</w:t>
            </w:r>
            <w:proofErr w:type="spellEnd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PHY and MAC CIDs</w:t>
            </w:r>
          </w:p>
          <w:p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EC7CC4" w:rsidRDefault="00BD6FB0" w:rsidP="00174E23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972D83">
              <w:t>1</w:t>
            </w:r>
            <w:r w:rsidR="00174E23">
              <w:t>1</w:t>
            </w:r>
            <w:r w:rsidR="00361A7D">
              <w:t>-</w:t>
            </w:r>
            <w:r w:rsidR="00E77BC1">
              <w:rPr>
                <w:rFonts w:eastAsiaTheme="minorEastAsia"/>
                <w:lang w:eastAsia="ja-JP"/>
              </w:rPr>
              <w:t>0</w:t>
            </w:r>
            <w:r w:rsidR="00174E23">
              <w:rPr>
                <w:rFonts w:eastAsiaTheme="minorEastAsia"/>
                <w:lang w:eastAsia="ja-JP"/>
              </w:rPr>
              <w:t>9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732"/>
        <w:gridCol w:w="1261"/>
        <w:gridCol w:w="2439"/>
        <w:gridCol w:w="1176"/>
        <w:gridCol w:w="2742"/>
      </w:tblGrid>
      <w:tr w:rsidR="0068272D" w:rsidRPr="0019516D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 Loc</w:t>
            </w: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jc w:val="center"/>
              <w:rPr>
                <w:rFonts w:eastAsiaTheme="minorEastAsia"/>
                <w:b/>
                <w:sz w:val="20"/>
                <w:lang w:eastAsia="ja-JP"/>
              </w:rPr>
            </w:pPr>
            <w:proofErr w:type="spellStart"/>
            <w:r w:rsidRPr="00174E23">
              <w:rPr>
                <w:rFonts w:eastAsiaTheme="minorEastAsia"/>
                <w:b/>
                <w:sz w:val="20"/>
                <w:lang w:eastAsia="ja-JP"/>
              </w:rPr>
              <w:t>Huawei</w:t>
            </w:r>
            <w:proofErr w:type="spellEnd"/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217EFF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b/>
                <w:sz w:val="20"/>
              </w:rPr>
              <w:t> </w:t>
            </w:r>
            <w:r w:rsidR="00217EFF" w:rsidRPr="00174E23">
              <w:rPr>
                <w:rFonts w:eastAsiaTheme="minorEastAsia"/>
                <w:b/>
                <w:sz w:val="20"/>
                <w:lang w:eastAsia="ja-JP"/>
              </w:rPr>
              <w:t>+1408 807 -0868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174E23" w:rsidP="00174E23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peterloc@iwirelesstech.com</w:t>
            </w:r>
          </w:p>
        </w:tc>
      </w:tr>
      <w:tr w:rsidR="00AC32D5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</w:tbl>
    <w:p w:rsidR="007C67E6" w:rsidRDefault="007C67E6">
      <w:pPr>
        <w:pStyle w:val="T1"/>
        <w:rPr>
          <w:sz w:val="22"/>
        </w:rPr>
      </w:pPr>
    </w:p>
    <w:p w:rsidR="00F44D0F" w:rsidRDefault="00F44D0F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CA09B2" w:rsidRDefault="00EB0DCF">
      <w:pPr>
        <w:pStyle w:val="T1"/>
        <w:rPr>
          <w:sz w:val="22"/>
        </w:rPr>
      </w:pPr>
      <w:r w:rsidRPr="00EB0DCF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16.4pt;width:468pt;height:2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<v:textbox>
              <w:txbxContent>
                <w:p w:rsidR="00F61C24" w:rsidRDefault="00F61C24">
                  <w:pPr>
                    <w:pStyle w:val="T1"/>
                  </w:pPr>
                  <w:r>
                    <w:t>Abstract</w:t>
                  </w:r>
                </w:p>
                <w:p w:rsidR="006C5E91" w:rsidRDefault="006C5E91" w:rsidP="00AC32D5">
                  <w:pPr>
                    <w:rPr>
                      <w:lang w:eastAsia="ko-KR"/>
                    </w:rPr>
                  </w:pPr>
                </w:p>
                <w:p w:rsidR="00F61C24" w:rsidRPr="006C5E91" w:rsidRDefault="00707C99" w:rsidP="00AC32D5">
                  <w:pPr>
                    <w:rPr>
                      <w:rFonts w:eastAsiaTheme="minorEastAsia"/>
                      <w:sz w:val="24"/>
                      <w:szCs w:val="24"/>
                      <w:lang w:eastAsia="ja-JP"/>
                    </w:rPr>
                  </w:pPr>
                  <w:r w:rsidRPr="006C5E91">
                    <w:rPr>
                      <w:sz w:val="24"/>
                      <w:szCs w:val="24"/>
                      <w:lang w:eastAsia="ko-KR"/>
                    </w:rPr>
                    <w:t xml:space="preserve">This 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submission propos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>es resolution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for the following comments from the letter ballot</w:t>
                  </w:r>
                  <w:r w:rsidR="002158E6">
                    <w:rPr>
                      <w:sz w:val="24"/>
                      <w:szCs w:val="24"/>
                      <w:lang w:eastAsia="ko-KR"/>
                    </w:rPr>
                    <w:t xml:space="preserve"> LB233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on P802.11ax D3.0</w:t>
                  </w:r>
                </w:p>
                <w:p w:rsidR="004412C8" w:rsidRDefault="004412C8" w:rsidP="00AC32D5">
                  <w:pPr>
                    <w:rPr>
                      <w:lang w:eastAsia="ko-KR"/>
                    </w:rPr>
                  </w:pPr>
                </w:p>
                <w:p w:rsidR="00046FEF" w:rsidRPr="006C5E91" w:rsidRDefault="004412C8" w:rsidP="0061459C">
                  <w:pPr>
                    <w:pStyle w:val="ListParagraph"/>
                    <w:numPr>
                      <w:ilvl w:val="0"/>
                      <w:numId w:val="95"/>
                    </w:numPr>
                    <w:contextualSpacing w:val="0"/>
                    <w:rPr>
                      <w:sz w:val="32"/>
                      <w:szCs w:val="32"/>
                      <w:lang w:eastAsia="ko-KR"/>
                    </w:rPr>
                  </w:pPr>
                  <w:r w:rsidRPr="006C5E91"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>16557, 16570, 16571, 16573, 16574, 16575, 16579, 16580</w:t>
                  </w:r>
                </w:p>
                <w:p w:rsidR="00F61C24" w:rsidRPr="006C5E91" w:rsidRDefault="00F61C24" w:rsidP="00A8394A">
                  <w:pPr>
                    <w:rPr>
                      <w:sz w:val="32"/>
                      <w:szCs w:val="32"/>
                    </w:rPr>
                  </w:pPr>
                </w:p>
                <w:p w:rsidR="00F61C24" w:rsidRDefault="00F61C24" w:rsidP="00A8394A"/>
              </w:txbxContent>
            </v:textbox>
          </v:shape>
        </w:pict>
      </w:r>
    </w:p>
    <w:p w:rsidR="001D4CD9" w:rsidRDefault="00CA09B2" w:rsidP="005A3964">
      <w:pPr>
        <w:pStyle w:val="Heading1"/>
      </w:pPr>
      <w:r w:rsidRPr="00924879">
        <w:br w:type="page"/>
      </w:r>
    </w:p>
    <w:p w:rsidR="00AA1C47" w:rsidRDefault="00AA1C47" w:rsidP="0047110F"/>
    <w:p w:rsidR="002E5287" w:rsidRDefault="002E5287" w:rsidP="0047110F">
      <w:pPr>
        <w:rPr>
          <w:rFonts w:eastAsiaTheme="minorEastAsia"/>
          <w:lang w:eastAsia="ja-JP"/>
        </w:rPr>
      </w:pPr>
    </w:p>
    <w:p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78"/>
        <w:gridCol w:w="1220"/>
        <w:gridCol w:w="1085"/>
        <w:gridCol w:w="2700"/>
        <w:gridCol w:w="2339"/>
        <w:gridCol w:w="1797"/>
      </w:tblGrid>
      <w:tr w:rsidR="00E05E12" w:rsidTr="002F0A23">
        <w:trPr>
          <w:trHeight w:val="386"/>
        </w:trPr>
        <w:tc>
          <w:tcPr>
            <w:tcW w:w="392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615" w:type="pct"/>
            <w:shd w:val="clear" w:color="auto" w:fill="FFFFFF" w:themeFill="background1"/>
            <w:hideMark/>
          </w:tcPr>
          <w:p w:rsidR="00C541EC" w:rsidRDefault="00133E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 Clause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61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79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06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16557</w:t>
            </w:r>
          </w:p>
        </w:tc>
        <w:tc>
          <w:tcPr>
            <w:tcW w:w="615" w:type="pct"/>
            <w:shd w:val="clear" w:color="auto" w:fill="FFFFFF" w:themeFill="background1"/>
          </w:tcPr>
          <w:p w:rsidR="004F06BC" w:rsidRDefault="00011B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27.16.2.2.2</w:t>
            </w:r>
          </w:p>
        </w:tc>
        <w:tc>
          <w:tcPr>
            <w:tcW w:w="547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374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.29</w:t>
            </w:r>
          </w:p>
        </w:tc>
        <w:tc>
          <w:tcPr>
            <w:tcW w:w="1361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potentially a technical issue with the rule for  reporting the status of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collision. Based on this paragraph, starting from line 28, once the AP sets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transmits, the non-AP HE STA does not report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 if it no longer exits. If it's the case, the HE AP could announce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change prematurely. This can give the hacker an easy way to force the HE AP to change its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very frequently.</w:t>
            </w:r>
          </w:p>
        </w:tc>
        <w:tc>
          <w:tcPr>
            <w:tcW w:w="1179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"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Bss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no longer exists". The paragraph should read: "A non-AP HE STA that intends to autonomously report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to its associated HE AP, shall do so by scheduling for transmission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Event Report frame every dot11BSSColorCollisionSTAPeriod  the associated HE AP has set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 or if the non-AP STA has transmitted several such reports to its associated HE AP.</w:t>
            </w:r>
          </w:p>
        </w:tc>
        <w:tc>
          <w:tcPr>
            <w:tcW w:w="906" w:type="pct"/>
            <w:shd w:val="clear" w:color="auto" w:fill="FFFFFF" w:themeFill="background1"/>
          </w:tcPr>
          <w:p w:rsidR="004F06BC" w:rsidRPr="00C13C1B" w:rsidRDefault="005129FB" w:rsidP="002158E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Rejected. 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Although in certain race conditions, to allow the AP to continue to   change its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even when the reporting STA no longer detects the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collision, would have minimal impact on the network performance.   </w:t>
            </w:r>
            <w:r w:rsidR="004F06BC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16570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011B2A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28.3.14.3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545</w:t>
            </w:r>
            <w:r w:rsidR="00011B2A"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.44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 w:rsidP="00EB4335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Without an actual measurement and feedback from the HE AP, the non-AP HE STA has no way of knowing that the HE TB PPDU it transmits arrives at the AP within +/-0.4 </w:t>
            </w:r>
            <w:r w:rsidR="00EB4335" w:rsidRPr="00D633B3">
              <w:rPr>
                <w:rFonts w:ascii="Arial" w:hAnsi="Arial" w:cs="Arial"/>
                <w:color w:val="000000"/>
                <w:szCs w:val="22"/>
                <w:highlight w:val="yellow"/>
              </w:rPr>
              <w:t>u</w:t>
            </w: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s of TXTIME + </w:t>
            </w:r>
            <w:proofErr w:type="spellStart"/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aSIFSTime</w:t>
            </w:r>
            <w:proofErr w:type="spellEnd"/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 + RTD from the transmission start time of the triggering PPDU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On line 46 of this paragraph, change "shall ensure" to "should ensure"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D633B3" w:rsidP="00177EFB">
            <w:pPr>
              <w:rPr>
                <w:rFonts w:ascii="Arial" w:eastAsiaTheme="minorEastAsia" w:hAnsi="Arial" w:cs="Arial"/>
                <w:sz w:val="20"/>
                <w:highlight w:val="yellow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highlight w:val="yellow"/>
                <w:lang w:eastAsia="ja-JP"/>
              </w:rPr>
              <w:t>Transferred to PHY.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11B2A" w:rsidP="00174E23">
            <w:pPr>
              <w:rPr>
                <w:rFonts w:ascii="Calibri" w:hAnsi="Calibri" w:cs="Calibri"/>
                <w:color w:val="000000"/>
                <w:szCs w:val="22"/>
              </w:rPr>
            </w:pPr>
            <w:r w:rsidRPr="00011B2A">
              <w:rPr>
                <w:rFonts w:ascii="Calibri" w:hAnsi="Calibri" w:cs="Calibri"/>
                <w:color w:val="000000"/>
                <w:szCs w:val="22"/>
              </w:rPr>
              <w:t>10.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>30</w:t>
            </w:r>
            <w:r w:rsidRPr="00011B2A">
              <w:rPr>
                <w:rFonts w:ascii="Calibri" w:hAnsi="Calibri" w:cs="Calibri"/>
                <w:color w:val="000000"/>
                <w:szCs w:val="22"/>
              </w:rPr>
              <w:t>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.56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RD responder, which is a HE AP, may transmit a Basic Trigger frame to one or more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not just any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Modify the paragraph as follows: "If the RD initiator is an HE STA and the RD responder is an HE AP, the RD responder may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transmit a Basic Trigger frame to trigger more than one non-AP HE-STA to do UL MU-MIMO transmission. The triggered non-AP HE-STA shall include the RD initiator in its transmitted HE TB PPDU."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289" w:rsidRDefault="00740289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Revised.</w:t>
            </w:r>
          </w:p>
          <w:p w:rsidR="004F06BC" w:rsidRDefault="00740289" w:rsidP="0074028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proposed resolution is accepted with </w:t>
            </w:r>
            <w:r w:rsidR="00DD201B">
              <w:rPr>
                <w:rFonts w:ascii="Calibri" w:hAnsi="Calibri" w:cs="Calibri"/>
                <w:color w:val="000000"/>
                <w:szCs w:val="22"/>
              </w:rPr>
              <w:t xml:space="preserve"> a minor editorial change (see 11-</w:t>
            </w:r>
            <w:r w:rsidR="00DD201B">
              <w:rPr>
                <w:rFonts w:ascii="Calibri" w:hAnsi="Calibri" w:cs="Calibri"/>
                <w:color w:val="000000"/>
                <w:szCs w:val="22"/>
              </w:rPr>
              <w:lastRenderedPageBreak/>
              <w:t>18-1932r3)</w:t>
            </w:r>
            <w:r w:rsidR="00EF4D50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4F06BC" w:rsidRPr="00C13C1B" w:rsidTr="002F0A23">
        <w:trPr>
          <w:trHeight w:val="350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CE2593" w:rsidP="00032DB7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032DB7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.28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 emphasize the existence of the 20 MHz only non-AP HE STA, bit B1 should be described as suggested.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the Encoding column, replace the description of B1 with the following: " For 5 GHz band, B1 is set to 1 for 20 MHz only non-AP HE STA. B1 is set to 1 for HE AP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32DB7" w:rsidP="00D633B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</w:t>
            </w:r>
            <w:r w:rsidR="00177EFB">
              <w:rPr>
                <w:sz w:val="24"/>
                <w:szCs w:val="24"/>
              </w:rPr>
              <w:t xml:space="preserve"> Although the proposed text offers a </w:t>
            </w:r>
            <w:r w:rsidR="00D633B3">
              <w:rPr>
                <w:sz w:val="24"/>
                <w:szCs w:val="24"/>
              </w:rPr>
              <w:t xml:space="preserve">slightly better </w:t>
            </w:r>
            <w:r w:rsidR="00177EFB">
              <w:rPr>
                <w:sz w:val="24"/>
                <w:szCs w:val="24"/>
              </w:rPr>
              <w:t xml:space="preserve"> </w:t>
            </w:r>
            <w:r w:rsidR="00D633B3">
              <w:rPr>
                <w:sz w:val="24"/>
                <w:szCs w:val="24"/>
              </w:rPr>
              <w:t xml:space="preserve">description </w:t>
            </w:r>
            <w:r w:rsidR="00177EFB">
              <w:rPr>
                <w:sz w:val="24"/>
                <w:szCs w:val="24"/>
              </w:rPr>
              <w:t>of B1</w:t>
            </w:r>
            <w:r w:rsidR="00D633B3">
              <w:rPr>
                <w:sz w:val="24"/>
                <w:szCs w:val="24"/>
              </w:rPr>
              <w:t xml:space="preserve">, it does not change the technical meaning of the current description. Moreover, leaving it the way it is would maintain the consistency with other descriptions in the same table. 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9.4.2.237.3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.37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definition of B4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the definition for B4 to: "In 2.4 GHz band, a non-AP HE STA that sets the 20 MHz In 40 MHz HE PPDU subfield to 1 sets B4 to 1 to indicate support of 242-tone RU in a 40 MHz HE MU PPDU. Otherwise, B4 is set to 0"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D633B3" w:rsidP="00551FB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 Although the proposed text offers a slightly better  description of B1, it does not change the technical meaning of the current description. Moreover, leaving it the way it is would maintain the </w:t>
            </w:r>
            <w:r>
              <w:rPr>
                <w:sz w:val="24"/>
                <w:szCs w:val="24"/>
              </w:rPr>
              <w:lastRenderedPageBreak/>
              <w:t>consistency with other descriptions in the same table.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 w:rsidP="0066099D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66099D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B5 definition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the definition of B5, change all non-AP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2F0A23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10.22.2.9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are required to maintain 2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NAVs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This paragraph does not apply to HE STA. There is no requirement that a HE STA that maintains one NAV would keep track of what caused the last update of the NAV.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A23" w:rsidRDefault="002F0A23" w:rsidP="004E777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</w:p>
          <w:p w:rsidR="00217EFF" w:rsidRDefault="002F0A23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Note that t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>his CID has been sufficiently addressed  in P802.11ax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>Draft 3.2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and therefore there is no changes to the draft is needed here.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.64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no known  benefits for a HE STA to determine a PPDU is an intra-BSS or inter-BSS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PPDUs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when it is associated with a non HE-AP.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paragraph.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</w:tbl>
    <w:p w:rsidR="006C5E91" w:rsidRDefault="006C5E91" w:rsidP="00B75DB1">
      <w:pPr>
        <w:pStyle w:val="BodyText"/>
        <w:rPr>
          <w:rFonts w:eastAsiaTheme="minorEastAsia"/>
          <w:b/>
          <w:sz w:val="40"/>
          <w:szCs w:val="40"/>
          <w:lang w:eastAsia="ja-JP"/>
        </w:rPr>
      </w:pPr>
    </w:p>
    <w:p w:rsidR="00EA3249" w:rsidRDefault="00EA3249" w:rsidP="00B75DB1">
      <w:pPr>
        <w:pStyle w:val="BodyText"/>
        <w:rPr>
          <w:rFonts w:eastAsiaTheme="minorEastAsia"/>
          <w:b/>
          <w:sz w:val="28"/>
          <w:szCs w:val="28"/>
          <w:lang w:eastAsia="ja-JP"/>
        </w:rPr>
      </w:pPr>
    </w:p>
    <w:p w:rsidR="0066099D" w:rsidRDefault="0066099D" w:rsidP="00B75DB1">
      <w:pPr>
        <w:pStyle w:val="BodyText"/>
        <w:rPr>
          <w:sz w:val="20"/>
        </w:rPr>
      </w:pPr>
    </w:p>
    <w:p w:rsidR="00740289" w:rsidRDefault="00740289" w:rsidP="00740289">
      <w:pPr>
        <w:pStyle w:val="BodyText"/>
        <w:rPr>
          <w:b/>
          <w:sz w:val="32"/>
          <w:szCs w:val="32"/>
        </w:rPr>
      </w:pPr>
      <w:r w:rsidRPr="0066099D">
        <w:rPr>
          <w:b/>
          <w:sz w:val="32"/>
          <w:szCs w:val="32"/>
        </w:rPr>
        <w:t xml:space="preserve">CID </w:t>
      </w:r>
      <w:r>
        <w:rPr>
          <w:b/>
          <w:sz w:val="32"/>
          <w:szCs w:val="32"/>
        </w:rPr>
        <w:t>16571</w:t>
      </w:r>
    </w:p>
    <w:p w:rsidR="00740289" w:rsidRDefault="00740289" w:rsidP="00740289">
      <w:pPr>
        <w:pStyle w:val="BodyText"/>
        <w:rPr>
          <w:b/>
          <w:sz w:val="32"/>
          <w:szCs w:val="32"/>
        </w:rPr>
      </w:pPr>
    </w:p>
    <w:p w:rsidR="00740289" w:rsidRPr="00740289" w:rsidRDefault="00740289" w:rsidP="00740289">
      <w:pPr>
        <w:pStyle w:val="BodyText"/>
        <w:rPr>
          <w:b/>
          <w:bCs/>
          <w:sz w:val="28"/>
          <w:szCs w:val="28"/>
        </w:rPr>
      </w:pPr>
      <w:r w:rsidRPr="00740289">
        <w:rPr>
          <w:b/>
          <w:bCs/>
          <w:sz w:val="28"/>
          <w:szCs w:val="28"/>
        </w:rPr>
        <w:t>10.30.2 Reverse direction (RD) exchange sequence</w:t>
      </w:r>
    </w:p>
    <w:p w:rsidR="00740289" w:rsidRDefault="00740289" w:rsidP="00740289">
      <w:pPr>
        <w:pStyle w:val="BodyText"/>
        <w:rPr>
          <w:i/>
          <w:sz w:val="28"/>
          <w:szCs w:val="28"/>
          <w:highlight w:val="yellow"/>
        </w:rPr>
      </w:pPr>
    </w:p>
    <w:p w:rsidR="00740289" w:rsidRPr="00740289" w:rsidRDefault="00740289" w:rsidP="00740289">
      <w:pPr>
        <w:pStyle w:val="BodyText"/>
        <w:rPr>
          <w:i/>
          <w:sz w:val="28"/>
          <w:szCs w:val="28"/>
        </w:rPr>
      </w:pPr>
      <w:proofErr w:type="spellStart"/>
      <w:r w:rsidRPr="00740289">
        <w:rPr>
          <w:i/>
          <w:sz w:val="28"/>
          <w:szCs w:val="28"/>
          <w:highlight w:val="yellow"/>
        </w:rPr>
        <w:t>TGax</w:t>
      </w:r>
      <w:proofErr w:type="spellEnd"/>
      <w:r w:rsidRPr="00740289">
        <w:rPr>
          <w:i/>
          <w:sz w:val="28"/>
          <w:szCs w:val="28"/>
          <w:highlight w:val="yellow"/>
        </w:rPr>
        <w:t xml:space="preserve"> Editor: Update D3.2, P240L43-46 with the paragraph below</w:t>
      </w:r>
    </w:p>
    <w:p w:rsidR="00740289" w:rsidRPr="00740289" w:rsidRDefault="00740289" w:rsidP="00740289">
      <w:pPr>
        <w:pStyle w:val="BodyText"/>
        <w:rPr>
          <w:i/>
          <w:sz w:val="28"/>
          <w:szCs w:val="28"/>
        </w:rPr>
      </w:pPr>
    </w:p>
    <w:p w:rsidR="0013710B" w:rsidRPr="00740289" w:rsidRDefault="00740289" w:rsidP="00740289">
      <w:pPr>
        <w:pStyle w:val="BodyText"/>
        <w:rPr>
          <w:i/>
          <w:sz w:val="28"/>
          <w:szCs w:val="28"/>
        </w:rPr>
      </w:pPr>
      <w:r w:rsidRPr="00740289">
        <w:rPr>
          <w:sz w:val="28"/>
          <w:szCs w:val="28"/>
        </w:rPr>
        <w:t xml:space="preserve">If the RD initiator is an HE STA and the RD responder is an HE AP, the RD responder may transmit a Basic Trigger frame to trigger more than one </w:t>
      </w:r>
      <w:r w:rsidRPr="00740289">
        <w:rPr>
          <w:sz w:val="28"/>
          <w:szCs w:val="28"/>
          <w:highlight w:val="yellow"/>
        </w:rPr>
        <w:t>HE non-AP</w:t>
      </w:r>
      <w:r>
        <w:rPr>
          <w:sz w:val="28"/>
          <w:szCs w:val="28"/>
        </w:rPr>
        <w:t xml:space="preserve"> </w:t>
      </w:r>
      <w:proofErr w:type="spellStart"/>
      <w:r w:rsidRPr="00740289">
        <w:rPr>
          <w:sz w:val="28"/>
          <w:szCs w:val="28"/>
        </w:rPr>
        <w:t>STA</w:t>
      </w:r>
      <w:r w:rsidRPr="00740289">
        <w:rPr>
          <w:strike/>
          <w:sz w:val="28"/>
          <w:szCs w:val="28"/>
          <w:highlight w:val="yellow"/>
        </w:rPr>
        <w:t>s</w:t>
      </w:r>
      <w:proofErr w:type="spellEnd"/>
      <w:r w:rsidRPr="00740289">
        <w:rPr>
          <w:sz w:val="28"/>
          <w:szCs w:val="28"/>
        </w:rPr>
        <w:t xml:space="preserve"> to do UL MU-MIMO transmission. The triggered </w:t>
      </w:r>
      <w:proofErr w:type="spellStart"/>
      <w:r w:rsidRPr="00740289">
        <w:rPr>
          <w:sz w:val="28"/>
          <w:szCs w:val="28"/>
        </w:rPr>
        <w:t>STAs</w:t>
      </w:r>
      <w:proofErr w:type="spellEnd"/>
      <w:r w:rsidRPr="00740289">
        <w:rPr>
          <w:sz w:val="28"/>
          <w:szCs w:val="28"/>
        </w:rPr>
        <w:t xml:space="preserve"> shall include the RD initiator.</w:t>
      </w:r>
    </w:p>
    <w:sectPr w:rsidR="0013710B" w:rsidRPr="00740289" w:rsidSect="006C5E9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A1" w:rsidRDefault="006958A1">
      <w:r>
        <w:separator/>
      </w:r>
    </w:p>
  </w:endnote>
  <w:endnote w:type="continuationSeparator" w:id="0">
    <w:p w:rsidR="006958A1" w:rsidRDefault="0069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F61C24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EB0DCF">
      <w:fldChar w:fldCharType="begin"/>
    </w:r>
    <w:r>
      <w:instrText xml:space="preserve">page </w:instrText>
    </w:r>
    <w:r w:rsidR="00EB0DCF">
      <w:fldChar w:fldCharType="separate"/>
    </w:r>
    <w:r w:rsidR="00DD201B">
      <w:rPr>
        <w:noProof/>
      </w:rPr>
      <w:t>3</w:t>
    </w:r>
    <w:r w:rsidR="00EB0DCF">
      <w:fldChar w:fldCharType="end"/>
    </w:r>
    <w:r>
      <w:tab/>
    </w:r>
    <w:r w:rsidR="001A48A9">
      <w:rPr>
        <w:rFonts w:eastAsiaTheme="minorEastAsia"/>
        <w:lang w:eastAsia="ja-JP"/>
      </w:rPr>
      <w:t xml:space="preserve">Peter Loc, </w:t>
    </w:r>
    <w:proofErr w:type="spellStart"/>
    <w:r w:rsidR="001A48A9">
      <w:rPr>
        <w:rFonts w:eastAsiaTheme="minorEastAsia"/>
        <w:lang w:eastAsia="ja-JP"/>
      </w:rPr>
      <w:t>Huawei</w:t>
    </w:r>
    <w:proofErr w:type="spellEnd"/>
  </w:p>
  <w:p w:rsidR="00F61C24" w:rsidRDefault="00F61C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A1" w:rsidRDefault="006958A1">
      <w:r>
        <w:separator/>
      </w:r>
    </w:p>
  </w:footnote>
  <w:footnote w:type="continuationSeparator" w:id="0">
    <w:p w:rsidR="006958A1" w:rsidRDefault="00695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D03812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November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r w:rsidR="006E7FD0">
        <w:t>doc.: IEEE 802.11-18/</w:t>
      </w:r>
      <w:r>
        <w:t>1932</w:t>
      </w:r>
      <w:r w:rsidR="006E7FD0">
        <w:t>r</w:t>
      </w:r>
      <w:r w:rsidR="00DD201B"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D5B68"/>
    <w:multiLevelType w:val="hybridMultilevel"/>
    <w:tmpl w:val="EDDCD08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2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95A4B"/>
    <w:multiLevelType w:val="hybridMultilevel"/>
    <w:tmpl w:val="6AC4641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33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7"/>
  </w:num>
  <w:num w:numId="17">
    <w:abstractNumId w:val="24"/>
  </w:num>
  <w:num w:numId="18">
    <w:abstractNumId w:val="12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6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6"/>
  </w:num>
  <w:num w:numId="40">
    <w:abstractNumId w:val="10"/>
  </w:num>
  <w:num w:numId="41">
    <w:abstractNumId w:val="41"/>
  </w:num>
  <w:num w:numId="42">
    <w:abstractNumId w:val="29"/>
  </w:num>
  <w:num w:numId="43">
    <w:abstractNumId w:val="48"/>
  </w:num>
  <w:num w:numId="44">
    <w:abstractNumId w:val="45"/>
  </w:num>
  <w:num w:numId="45">
    <w:abstractNumId w:val="37"/>
  </w:num>
  <w:num w:numId="46">
    <w:abstractNumId w:val="46"/>
  </w:num>
  <w:num w:numId="47">
    <w:abstractNumId w:val="1"/>
  </w:num>
  <w:num w:numId="48">
    <w:abstractNumId w:val="28"/>
  </w:num>
  <w:num w:numId="49">
    <w:abstractNumId w:val="30"/>
  </w:num>
  <w:num w:numId="50">
    <w:abstractNumId w:val="22"/>
  </w:num>
  <w:num w:numId="51">
    <w:abstractNumId w:val="9"/>
  </w:num>
  <w:num w:numId="52">
    <w:abstractNumId w:val="39"/>
  </w:num>
  <w:num w:numId="53">
    <w:abstractNumId w:val="31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</w:num>
  <w:num w:numId="86">
    <w:abstractNumId w:val="44"/>
  </w:num>
  <w:num w:numId="87">
    <w:abstractNumId w:val="20"/>
  </w:num>
  <w:num w:numId="88">
    <w:abstractNumId w:val="40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5"/>
  </w:num>
  <w:num w:numId="92">
    <w:abstractNumId w:val="38"/>
  </w:num>
  <w:num w:numId="93">
    <w:abstractNumId w:val="47"/>
  </w:num>
  <w:num w:numId="94">
    <w:abstractNumId w:val="14"/>
  </w:num>
  <w:num w:numId="95">
    <w:abstractNumId w:val="0"/>
  </w:num>
  <w:num w:numId="96">
    <w:abstractNumId w:val="42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2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508"/>
    <w:rsid w:val="00003ACB"/>
    <w:rsid w:val="00011009"/>
    <w:rsid w:val="00011B2A"/>
    <w:rsid w:val="00012150"/>
    <w:rsid w:val="00013ABD"/>
    <w:rsid w:val="00013C43"/>
    <w:rsid w:val="00015F03"/>
    <w:rsid w:val="00017517"/>
    <w:rsid w:val="00017B78"/>
    <w:rsid w:val="00021FBC"/>
    <w:rsid w:val="0002639C"/>
    <w:rsid w:val="0002705B"/>
    <w:rsid w:val="00027709"/>
    <w:rsid w:val="0003211C"/>
    <w:rsid w:val="00032DB7"/>
    <w:rsid w:val="00032E02"/>
    <w:rsid w:val="0003442E"/>
    <w:rsid w:val="0003454E"/>
    <w:rsid w:val="000359C1"/>
    <w:rsid w:val="0003628E"/>
    <w:rsid w:val="00036328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024"/>
    <w:rsid w:val="00050BE8"/>
    <w:rsid w:val="00050DF7"/>
    <w:rsid w:val="000513BD"/>
    <w:rsid w:val="00051571"/>
    <w:rsid w:val="00053715"/>
    <w:rsid w:val="00055361"/>
    <w:rsid w:val="0005676F"/>
    <w:rsid w:val="00057012"/>
    <w:rsid w:val="00057544"/>
    <w:rsid w:val="00057981"/>
    <w:rsid w:val="000654DF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17F5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3E46"/>
    <w:rsid w:val="00135192"/>
    <w:rsid w:val="00135B34"/>
    <w:rsid w:val="0013710B"/>
    <w:rsid w:val="0014225D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4E23"/>
    <w:rsid w:val="00175B26"/>
    <w:rsid w:val="00177568"/>
    <w:rsid w:val="00177EFB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48A9"/>
    <w:rsid w:val="001A5226"/>
    <w:rsid w:val="001B02FA"/>
    <w:rsid w:val="001B217E"/>
    <w:rsid w:val="001B2BCE"/>
    <w:rsid w:val="001B4648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0088"/>
    <w:rsid w:val="002126A1"/>
    <w:rsid w:val="00212EC4"/>
    <w:rsid w:val="00214C65"/>
    <w:rsid w:val="002158E6"/>
    <w:rsid w:val="002173D7"/>
    <w:rsid w:val="00217EFF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39BC"/>
    <w:rsid w:val="002E5287"/>
    <w:rsid w:val="002E58AC"/>
    <w:rsid w:val="002E6AC9"/>
    <w:rsid w:val="002E71FC"/>
    <w:rsid w:val="002E7A28"/>
    <w:rsid w:val="002F0A23"/>
    <w:rsid w:val="002F15F4"/>
    <w:rsid w:val="002F272A"/>
    <w:rsid w:val="002F2D4F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09F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2B21"/>
    <w:rsid w:val="003A3E8F"/>
    <w:rsid w:val="003A42E0"/>
    <w:rsid w:val="003A4753"/>
    <w:rsid w:val="003A74B1"/>
    <w:rsid w:val="003B3090"/>
    <w:rsid w:val="003B4F7E"/>
    <w:rsid w:val="003B7FE9"/>
    <w:rsid w:val="003C0E24"/>
    <w:rsid w:val="003C1BDC"/>
    <w:rsid w:val="003C292F"/>
    <w:rsid w:val="003C2B72"/>
    <w:rsid w:val="003C5A06"/>
    <w:rsid w:val="003D2021"/>
    <w:rsid w:val="003D66D1"/>
    <w:rsid w:val="003D6E7F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0894"/>
    <w:rsid w:val="004412C8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5FE0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842"/>
    <w:rsid w:val="00475257"/>
    <w:rsid w:val="0047559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283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57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E777B"/>
    <w:rsid w:val="004F038D"/>
    <w:rsid w:val="004F06BC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29FB"/>
    <w:rsid w:val="0051324F"/>
    <w:rsid w:val="0051368F"/>
    <w:rsid w:val="0051408C"/>
    <w:rsid w:val="005149B3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1FB9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6EEB"/>
    <w:rsid w:val="00577F01"/>
    <w:rsid w:val="00584232"/>
    <w:rsid w:val="005856E6"/>
    <w:rsid w:val="00585E89"/>
    <w:rsid w:val="00586443"/>
    <w:rsid w:val="00587937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279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3DC4"/>
    <w:rsid w:val="00654EE0"/>
    <w:rsid w:val="00656181"/>
    <w:rsid w:val="006565EE"/>
    <w:rsid w:val="00656E90"/>
    <w:rsid w:val="00660961"/>
    <w:rsid w:val="0066099D"/>
    <w:rsid w:val="00663373"/>
    <w:rsid w:val="006644A7"/>
    <w:rsid w:val="00664B2C"/>
    <w:rsid w:val="006658B6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58A1"/>
    <w:rsid w:val="006960A7"/>
    <w:rsid w:val="006A050E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C5E91"/>
    <w:rsid w:val="006D25FA"/>
    <w:rsid w:val="006D3866"/>
    <w:rsid w:val="006D43A9"/>
    <w:rsid w:val="006D61F5"/>
    <w:rsid w:val="006E145F"/>
    <w:rsid w:val="006E1FF0"/>
    <w:rsid w:val="006E6466"/>
    <w:rsid w:val="006E7FD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0289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366CB"/>
    <w:rsid w:val="008374D8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3F4A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2AE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593F"/>
    <w:rsid w:val="00AA75F4"/>
    <w:rsid w:val="00AB15FE"/>
    <w:rsid w:val="00AB7D1B"/>
    <w:rsid w:val="00AC0BF3"/>
    <w:rsid w:val="00AC32D5"/>
    <w:rsid w:val="00AC3EDC"/>
    <w:rsid w:val="00AD00B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C62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567"/>
    <w:rsid w:val="00BC7044"/>
    <w:rsid w:val="00BD0E08"/>
    <w:rsid w:val="00BD231A"/>
    <w:rsid w:val="00BD42B2"/>
    <w:rsid w:val="00BD56E1"/>
    <w:rsid w:val="00BD6FB0"/>
    <w:rsid w:val="00BE68C2"/>
    <w:rsid w:val="00BE6AA9"/>
    <w:rsid w:val="00BF04CD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013A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2DA0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0D3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2593"/>
    <w:rsid w:val="00CE3CFC"/>
    <w:rsid w:val="00CE3D20"/>
    <w:rsid w:val="00CE5F8F"/>
    <w:rsid w:val="00CE713E"/>
    <w:rsid w:val="00CF08B1"/>
    <w:rsid w:val="00CF5327"/>
    <w:rsid w:val="00D02143"/>
    <w:rsid w:val="00D029E5"/>
    <w:rsid w:val="00D03812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188C"/>
    <w:rsid w:val="00D47223"/>
    <w:rsid w:val="00D50EE6"/>
    <w:rsid w:val="00D53C8A"/>
    <w:rsid w:val="00D53E89"/>
    <w:rsid w:val="00D571BE"/>
    <w:rsid w:val="00D62906"/>
    <w:rsid w:val="00D629B9"/>
    <w:rsid w:val="00D631DB"/>
    <w:rsid w:val="00D633B3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630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201B"/>
    <w:rsid w:val="00DD237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E36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249"/>
    <w:rsid w:val="00EA3B25"/>
    <w:rsid w:val="00EA58BF"/>
    <w:rsid w:val="00EA6B47"/>
    <w:rsid w:val="00EB0DCF"/>
    <w:rsid w:val="00EB2CD0"/>
    <w:rsid w:val="00EB30F6"/>
    <w:rsid w:val="00EB4335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0918"/>
    <w:rsid w:val="00ED100E"/>
    <w:rsid w:val="00ED116D"/>
    <w:rsid w:val="00ED1FC2"/>
    <w:rsid w:val="00ED6C66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D50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A3965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72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E72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E7279"/>
    <w:pPr>
      <w:jc w:val="center"/>
    </w:pPr>
    <w:rPr>
      <w:b/>
      <w:sz w:val="28"/>
    </w:rPr>
  </w:style>
  <w:style w:type="paragraph" w:customStyle="1" w:styleId="T2">
    <w:name w:val="T2"/>
    <w:basedOn w:val="T1"/>
    <w:rsid w:val="005E7279"/>
    <w:pPr>
      <w:spacing w:after="240"/>
      <w:ind w:left="720" w:right="720"/>
    </w:pPr>
  </w:style>
  <w:style w:type="paragraph" w:customStyle="1" w:styleId="T3">
    <w:name w:val="T3"/>
    <w:basedOn w:val="T1"/>
    <w:rsid w:val="005E72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E7279"/>
    <w:pPr>
      <w:ind w:left="720" w:hanging="720"/>
    </w:pPr>
  </w:style>
  <w:style w:type="character" w:styleId="Hyperlink">
    <w:name w:val="Hyperlink"/>
    <w:basedOn w:val="DefaultParagraphFont"/>
    <w:uiPriority w:val="99"/>
    <w:rsid w:val="005E727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9393B54-9D8B-41CA-A73F-8E344DA7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802.11-18/1703r1</vt:lpstr>
      <vt:lpstr>doc.: IEEE 802.11-18/1703r0</vt:lpstr>
    </vt:vector>
  </TitlesOfParts>
  <Company>Huawei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802.11-18/1703r1</dc:title>
  <dc:subject>Resolution to CID 17150</dc:subject>
  <dc:creator>tomo.adachi@toshiba.co.jp</dc:creator>
  <cp:keywords>CTPClassification=CTP_PUBLIC:VisualMarkings=</cp:keywords>
  <cp:lastModifiedBy>Peter Loc</cp:lastModifiedBy>
  <cp:revision>2</cp:revision>
  <cp:lastPrinted>2016-06-06T01:38:00Z</cp:lastPrinted>
  <dcterms:created xsi:type="dcterms:W3CDTF">2018-11-14T02:19:00Z</dcterms:created>
  <dcterms:modified xsi:type="dcterms:W3CDTF">2018-11-14T02:19:00Z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