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2D83" w:rsidRPr="00BD6FB0" w:rsidRDefault="000654DF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Proposed </w:t>
            </w:r>
            <w:r w:rsidR="0094117C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proofErr w:type="spellStart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Miscs</w:t>
            </w:r>
            <w:proofErr w:type="spellEnd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PHY and MAC CIDs</w:t>
            </w:r>
          </w:p>
          <w:p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EC7CC4" w:rsidRDefault="00BD6FB0" w:rsidP="00174E23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972D83">
              <w:t>1</w:t>
            </w:r>
            <w:r w:rsidR="00174E23">
              <w:t>1</w:t>
            </w:r>
            <w:r w:rsidR="00361A7D">
              <w:t>-</w:t>
            </w:r>
            <w:r w:rsidR="00E77BC1">
              <w:rPr>
                <w:rFonts w:eastAsiaTheme="minorEastAsia"/>
                <w:lang w:eastAsia="ja-JP"/>
              </w:rPr>
              <w:t>0</w:t>
            </w:r>
            <w:r w:rsidR="00174E23">
              <w:rPr>
                <w:rFonts w:eastAsiaTheme="minorEastAsia"/>
                <w:lang w:eastAsia="ja-JP"/>
              </w:rPr>
              <w:t>9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732"/>
        <w:gridCol w:w="1261"/>
        <w:gridCol w:w="2439"/>
        <w:gridCol w:w="1176"/>
        <w:gridCol w:w="2742"/>
      </w:tblGrid>
      <w:tr w:rsidR="0068272D" w:rsidRPr="0019516D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217EFF" w:rsidP="003D66D1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rFonts w:eastAsiaTheme="minorEastAsia"/>
                <w:b/>
                <w:sz w:val="20"/>
                <w:lang w:eastAsia="ja-JP"/>
              </w:rPr>
              <w:t>Peter Loc</w:t>
            </w: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217EFF" w:rsidP="003D66D1">
            <w:pPr>
              <w:jc w:val="center"/>
              <w:rPr>
                <w:rFonts w:eastAsiaTheme="minorEastAsia"/>
                <w:b/>
                <w:sz w:val="20"/>
                <w:lang w:eastAsia="ja-JP"/>
              </w:rPr>
            </w:pPr>
            <w:proofErr w:type="spellStart"/>
            <w:r w:rsidRPr="00174E23">
              <w:rPr>
                <w:rFonts w:eastAsiaTheme="minorEastAsia"/>
                <w:b/>
                <w:sz w:val="20"/>
                <w:lang w:eastAsia="ja-JP"/>
              </w:rPr>
              <w:t>Huawei</w:t>
            </w:r>
            <w:proofErr w:type="spellEnd"/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68272D" w:rsidP="003D66D1">
            <w:pPr>
              <w:rPr>
                <w:rFonts w:eastAsiaTheme="minorEastAsia"/>
                <w:b/>
                <w:sz w:val="20"/>
                <w:lang w:eastAsia="ja-JP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68272D" w:rsidP="00217EFF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b/>
                <w:sz w:val="20"/>
              </w:rPr>
              <w:t> </w:t>
            </w:r>
            <w:r w:rsidR="00217EFF" w:rsidRPr="00174E23">
              <w:rPr>
                <w:rFonts w:eastAsiaTheme="minorEastAsia"/>
                <w:b/>
                <w:sz w:val="20"/>
                <w:lang w:eastAsia="ja-JP"/>
              </w:rPr>
              <w:t>+1408 807 -0868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174E23" w:rsidP="00174E23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rFonts w:eastAsiaTheme="minorEastAsia"/>
                <w:b/>
                <w:sz w:val="20"/>
                <w:lang w:eastAsia="ja-JP"/>
              </w:rPr>
              <w:t>peterloc@iwirelesstech.com</w:t>
            </w:r>
          </w:p>
        </w:tc>
      </w:tr>
      <w:tr w:rsidR="00AC32D5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</w:tbl>
    <w:p w:rsidR="007C67E6" w:rsidRDefault="007C67E6">
      <w:pPr>
        <w:pStyle w:val="T1"/>
        <w:rPr>
          <w:sz w:val="22"/>
        </w:rPr>
      </w:pPr>
    </w:p>
    <w:p w:rsidR="00F44D0F" w:rsidRDefault="00F44D0F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CA09B2" w:rsidRDefault="00653DC4">
      <w:pPr>
        <w:pStyle w:val="T1"/>
        <w:rPr>
          <w:sz w:val="22"/>
        </w:rPr>
      </w:pPr>
      <w:r w:rsidRPr="00653DC4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16.4pt;width:468pt;height:2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<v:textbox>
              <w:txbxContent>
                <w:p w:rsidR="00F61C24" w:rsidRDefault="00F61C24">
                  <w:pPr>
                    <w:pStyle w:val="T1"/>
                  </w:pPr>
                  <w:r>
                    <w:t>Abstract</w:t>
                  </w:r>
                </w:p>
                <w:p w:rsidR="006C5E91" w:rsidRDefault="006C5E91" w:rsidP="00AC32D5">
                  <w:pPr>
                    <w:rPr>
                      <w:lang w:eastAsia="ko-KR"/>
                    </w:rPr>
                  </w:pPr>
                </w:p>
                <w:p w:rsidR="00F61C24" w:rsidRPr="006C5E91" w:rsidRDefault="00707C99" w:rsidP="00AC32D5">
                  <w:pPr>
                    <w:rPr>
                      <w:rFonts w:eastAsiaTheme="minorEastAsia"/>
                      <w:sz w:val="24"/>
                      <w:szCs w:val="24"/>
                      <w:lang w:eastAsia="ja-JP"/>
                    </w:rPr>
                  </w:pPr>
                  <w:r w:rsidRPr="006C5E91">
                    <w:rPr>
                      <w:sz w:val="24"/>
                      <w:szCs w:val="24"/>
                      <w:lang w:eastAsia="ko-KR"/>
                    </w:rPr>
                    <w:t xml:space="preserve">This 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submission propos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>es resolution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for the following comments from the letter ballot</w:t>
                  </w:r>
                  <w:r w:rsidR="002158E6">
                    <w:rPr>
                      <w:sz w:val="24"/>
                      <w:szCs w:val="24"/>
                      <w:lang w:eastAsia="ko-KR"/>
                    </w:rPr>
                    <w:t xml:space="preserve"> LB233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on P802.11ax D3.0</w:t>
                  </w:r>
                </w:p>
                <w:p w:rsidR="004412C8" w:rsidRDefault="004412C8" w:rsidP="00AC32D5">
                  <w:pPr>
                    <w:rPr>
                      <w:lang w:eastAsia="ko-KR"/>
                    </w:rPr>
                  </w:pPr>
                </w:p>
                <w:p w:rsidR="00046FEF" w:rsidRPr="006C5E91" w:rsidRDefault="004412C8" w:rsidP="0061459C">
                  <w:pPr>
                    <w:pStyle w:val="ListParagraph"/>
                    <w:numPr>
                      <w:ilvl w:val="0"/>
                      <w:numId w:val="95"/>
                    </w:numPr>
                    <w:contextualSpacing w:val="0"/>
                    <w:rPr>
                      <w:sz w:val="32"/>
                      <w:szCs w:val="32"/>
                      <w:lang w:eastAsia="ko-KR"/>
                    </w:rPr>
                  </w:pPr>
                  <w:r w:rsidRPr="006C5E91">
                    <w:rPr>
                      <w:rFonts w:eastAsiaTheme="minorEastAsia"/>
                      <w:sz w:val="32"/>
                      <w:szCs w:val="32"/>
                      <w:lang w:eastAsia="ja-JP"/>
                    </w:rPr>
                    <w:t>16557, 16570, 16571, 16573, 16574, 16575, 16579, 16580</w:t>
                  </w:r>
                </w:p>
                <w:p w:rsidR="00F61C24" w:rsidRPr="006C5E91" w:rsidRDefault="00F61C24" w:rsidP="00A8394A">
                  <w:pPr>
                    <w:rPr>
                      <w:sz w:val="32"/>
                      <w:szCs w:val="32"/>
                    </w:rPr>
                  </w:pPr>
                </w:p>
                <w:p w:rsidR="00F61C24" w:rsidRDefault="00F61C24" w:rsidP="00A8394A"/>
              </w:txbxContent>
            </v:textbox>
          </v:shape>
        </w:pict>
      </w:r>
    </w:p>
    <w:p w:rsidR="001D4CD9" w:rsidRDefault="00CA09B2" w:rsidP="005A3964">
      <w:pPr>
        <w:pStyle w:val="Heading1"/>
      </w:pPr>
      <w:r w:rsidRPr="00924879">
        <w:br w:type="page"/>
      </w:r>
    </w:p>
    <w:p w:rsidR="00AA1C47" w:rsidRDefault="00AA1C47" w:rsidP="0047110F"/>
    <w:p w:rsidR="002E5287" w:rsidRDefault="002E5287" w:rsidP="0047110F">
      <w:pPr>
        <w:rPr>
          <w:rFonts w:eastAsiaTheme="minorEastAsia"/>
          <w:lang w:eastAsia="ja-JP"/>
        </w:rPr>
      </w:pPr>
    </w:p>
    <w:p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76"/>
        <w:gridCol w:w="1405"/>
        <w:gridCol w:w="900"/>
        <w:gridCol w:w="2700"/>
        <w:gridCol w:w="2339"/>
        <w:gridCol w:w="1619"/>
      </w:tblGrid>
      <w:tr w:rsidR="00E05E12" w:rsidTr="00177EFB">
        <w:trPr>
          <w:trHeight w:val="386"/>
        </w:trPr>
        <w:tc>
          <w:tcPr>
            <w:tcW w:w="398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21" w:type="pct"/>
            <w:shd w:val="clear" w:color="auto" w:fill="FFFFFF" w:themeFill="background1"/>
            <w:hideMark/>
          </w:tcPr>
          <w:p w:rsidR="00C541EC" w:rsidRDefault="00133E4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 Clause</w:t>
            </w:r>
          </w:p>
        </w:tc>
        <w:tc>
          <w:tcPr>
            <w:tcW w:w="462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86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201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831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06BC" w:rsidTr="00177EFB">
        <w:trPr>
          <w:trHeight w:val="194"/>
        </w:trPr>
        <w:tc>
          <w:tcPr>
            <w:tcW w:w="398" w:type="pct"/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16557</w:t>
            </w:r>
          </w:p>
        </w:tc>
        <w:tc>
          <w:tcPr>
            <w:tcW w:w="721" w:type="pct"/>
            <w:shd w:val="clear" w:color="auto" w:fill="FFFFFF" w:themeFill="background1"/>
          </w:tcPr>
          <w:p w:rsidR="004F06BC" w:rsidRDefault="00011B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27.16.2.2.2</w:t>
            </w:r>
          </w:p>
        </w:tc>
        <w:tc>
          <w:tcPr>
            <w:tcW w:w="462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374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.29</w:t>
            </w:r>
          </w:p>
        </w:tc>
        <w:tc>
          <w:tcPr>
            <w:tcW w:w="1386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There is potentially a technical issue with the rule for  reporting the status of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collision. Based on this paragraph, starting from line 28, once the AP sets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transmits, the non-AP HE STA does not report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 if it no longer exits. If it's the case, the HE AP could announce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change prematurely. This can give the hacker an easy way to force the HE AP to change its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very frequently.</w:t>
            </w:r>
          </w:p>
        </w:tc>
        <w:tc>
          <w:tcPr>
            <w:tcW w:w="1201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"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Bss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no longer exists". The paragraph should read: "A non-AP HE STA that intends to autonomously report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to its associated HE AP, shall do so by scheduling for transmission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Event Report frame every dot11BSSColorCollisionSTAPeriod  the associated HE AP has set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 or if the non-AP STA has transmitted several such reports to its associated HE AP.</w:t>
            </w:r>
          </w:p>
        </w:tc>
        <w:tc>
          <w:tcPr>
            <w:tcW w:w="831" w:type="pct"/>
            <w:shd w:val="clear" w:color="auto" w:fill="FFFFFF" w:themeFill="background1"/>
          </w:tcPr>
          <w:p w:rsidR="004F06BC" w:rsidRPr="00C13C1B" w:rsidRDefault="005129FB" w:rsidP="002158E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Rejected. </w:t>
            </w:r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Although in certain race conditions, to allow the AP to continue to   change its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even when the reporting STA no longer detects the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collision, would have minimal impact on the network performance.   </w:t>
            </w:r>
            <w:r w:rsidR="004F06BC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  <w:tr w:rsidR="004F06BC" w:rsidTr="00177EFB">
        <w:trPr>
          <w:trHeight w:val="19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11B2A">
            <w:pPr>
              <w:rPr>
                <w:rFonts w:ascii="Calibri" w:hAnsi="Calibri" w:cs="Calibri"/>
                <w:color w:val="000000"/>
                <w:szCs w:val="22"/>
              </w:rPr>
            </w:pPr>
            <w:r w:rsidRPr="00011B2A">
              <w:rPr>
                <w:rFonts w:ascii="Calibri" w:hAnsi="Calibri" w:cs="Calibri"/>
                <w:color w:val="000000"/>
                <w:szCs w:val="22"/>
              </w:rPr>
              <w:t>28.3.14.3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545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.44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 w:rsidP="00EB433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Without an actual measurement and feedback from the HE AP, the non-AP HE STA has no way of knowing that the HE TB PPDU it transmits arrives at the AP within +/-0.4 </w:t>
            </w:r>
            <w:r w:rsidR="00EB4335">
              <w:rPr>
                <w:rFonts w:ascii="Arial" w:hAnsi="Arial" w:cs="Arial"/>
                <w:color w:val="000000"/>
                <w:szCs w:val="22"/>
              </w:rPr>
              <w:t>u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s of TXTIME +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aSIFSTime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+ RTD from the transmission start time of the triggering PPDU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On line 46 of this paragraph, change "shall ensure" to "should ensure"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2158E6" w:rsidP="00BF799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Rejected</w:t>
            </w:r>
            <w:r w:rsidR="004F06BC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. </w:t>
            </w:r>
          </w:p>
          <w:p w:rsidR="004F06BC" w:rsidRPr="00C13C1B" w:rsidRDefault="00177EFB" w:rsidP="00177EF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 commenter</w:t>
            </w:r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offered no suggestion to how the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STAs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would be able to ensure the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accuracy of its transmission to be</w:t>
            </w:r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received at the AP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within the said time.</w:t>
            </w:r>
          </w:p>
        </w:tc>
      </w:tr>
      <w:tr w:rsidR="004F06BC" w:rsidTr="00177EFB">
        <w:trPr>
          <w:trHeight w:val="19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11B2A" w:rsidP="00174E23">
            <w:pPr>
              <w:rPr>
                <w:rFonts w:ascii="Calibri" w:hAnsi="Calibri" w:cs="Calibri"/>
                <w:color w:val="000000"/>
                <w:szCs w:val="22"/>
              </w:rPr>
            </w:pPr>
            <w:r w:rsidRPr="00011B2A">
              <w:rPr>
                <w:rFonts w:ascii="Calibri" w:hAnsi="Calibri" w:cs="Calibri"/>
                <w:color w:val="000000"/>
                <w:szCs w:val="22"/>
              </w:rPr>
              <w:t>10.</w:t>
            </w:r>
            <w:r w:rsidR="00174E23">
              <w:rPr>
                <w:rFonts w:ascii="Calibri" w:hAnsi="Calibri" w:cs="Calibri"/>
                <w:color w:val="000000"/>
                <w:szCs w:val="22"/>
              </w:rPr>
              <w:t>30</w:t>
            </w:r>
            <w:r w:rsidRPr="00011B2A">
              <w:rPr>
                <w:rFonts w:ascii="Calibri" w:hAnsi="Calibri" w:cs="Calibri"/>
                <w:color w:val="000000"/>
                <w:szCs w:val="22"/>
              </w:rPr>
              <w:t>.2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.56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RD responder, which is a HE AP, may transmit a Basic Trigger frame to one or more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not just any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Modify the paragraph as follows: "If the RD initiator is an HE STA and the RD responder is an HE AP, the RD responder may transmit a Basic Trigger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frame to trigger more than one non-AP HE-STA to do UL MU-MIMO transmission. The triggered non-AP HE-STA shall include the RD initiator in its transmitted HE TB PPDU."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EF4D50" w:rsidP="00EF4D5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Accepted. </w:t>
            </w:r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 to the </w:t>
            </w:r>
            <w:proofErr w:type="spellStart"/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11-18/1932r0</w:t>
            </w:r>
          </w:p>
        </w:tc>
      </w:tr>
      <w:tr w:rsidR="004F06BC" w:rsidRPr="00C13C1B" w:rsidTr="00177EFB">
        <w:trPr>
          <w:trHeight w:val="3509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16573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CE2593" w:rsidP="00032DB7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032DB7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.28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 emphasize the existence of the 20 MHz only non-AP HE STA, bit B1 should be described as suggested.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the Encoding column, replace the description of B1 with the following: " For 5 GHz band, B1 is set to 1 for 20 MHz only non-AP HE STA. B1 is set to 1 for HE AP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32DB7" w:rsidP="00177EF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 w:val="24"/>
                <w:szCs w:val="24"/>
              </w:rPr>
              <w:t xml:space="preserve">Rejected. </w:t>
            </w:r>
            <w:r w:rsidR="00177EFB">
              <w:rPr>
                <w:sz w:val="24"/>
                <w:szCs w:val="24"/>
              </w:rPr>
              <w:t xml:space="preserve"> Although the proposed text offers a clearer definition of B1, we should keep the current definition in order to maintain the consistency  </w:t>
            </w:r>
            <w:r w:rsidR="00BD0E08">
              <w:rPr>
                <w:sz w:val="24"/>
                <w:szCs w:val="24"/>
              </w:rPr>
              <w:t xml:space="preserve"> </w:t>
            </w:r>
            <w:r w:rsidR="00177EFB">
              <w:rPr>
                <w:sz w:val="24"/>
                <w:szCs w:val="24"/>
              </w:rPr>
              <w:t xml:space="preserve"> </w:t>
            </w:r>
            <w:r w:rsidR="00BD0E08">
              <w:rPr>
                <w:sz w:val="24"/>
                <w:szCs w:val="24"/>
              </w:rPr>
              <w:t xml:space="preserve">  </w:t>
            </w:r>
            <w:r w:rsidR="00177EFB">
              <w:rPr>
                <w:sz w:val="24"/>
                <w:szCs w:val="24"/>
              </w:rPr>
              <w:t xml:space="preserve">   </w:t>
            </w:r>
            <w:r w:rsidR="00BD0E08">
              <w:rPr>
                <w:sz w:val="24"/>
                <w:szCs w:val="24"/>
              </w:rPr>
              <w:t xml:space="preserve">with other </w:t>
            </w:r>
            <w:proofErr w:type="spellStart"/>
            <w:r w:rsidR="00177EFB">
              <w:rPr>
                <w:sz w:val="24"/>
                <w:szCs w:val="24"/>
              </w:rPr>
              <w:t>Bx</w:t>
            </w:r>
            <w:proofErr w:type="spellEnd"/>
            <w:r w:rsidR="00177EFB">
              <w:rPr>
                <w:sz w:val="24"/>
                <w:szCs w:val="24"/>
              </w:rPr>
              <w:t xml:space="preserve"> </w:t>
            </w:r>
            <w:r w:rsidR="00BD0E08">
              <w:rPr>
                <w:sz w:val="24"/>
                <w:szCs w:val="24"/>
              </w:rPr>
              <w:t>descriptions</w:t>
            </w:r>
            <w:r w:rsidR="00177EFB">
              <w:rPr>
                <w:sz w:val="24"/>
                <w:szCs w:val="24"/>
              </w:rPr>
              <w:t xml:space="preserve">, </w:t>
            </w:r>
            <w:r w:rsidR="00EF4D50">
              <w:rPr>
                <w:sz w:val="18"/>
                <w:szCs w:val="18"/>
              </w:rPr>
              <w:t>.</w:t>
            </w:r>
          </w:p>
        </w:tc>
      </w:tr>
      <w:tr w:rsidR="00217EFF" w:rsidRPr="00C13C1B" w:rsidTr="00177EFB">
        <w:trPr>
          <w:trHeight w:val="19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9.4.2.237.3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.37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definition of B4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the definition for B4 to: "In 2.4 GHz band, a non-AP HE STA that sets the 20 MHz In 40 MHz HE PPDU subfield to 1 sets B4 to 1 to indicate support of 242-tone RU in a 40 MHz HE MU PPDU. Otherwise, B4 is set to 0"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Accepted.</w:t>
            </w:r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See the instruction to the </w:t>
            </w:r>
            <w:proofErr w:type="spellStart"/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11-18/1932r0</w:t>
            </w:r>
          </w:p>
        </w:tc>
      </w:tr>
      <w:tr w:rsidR="00217EFF" w:rsidRPr="00C13C1B" w:rsidTr="00177EFB">
        <w:trPr>
          <w:trHeight w:val="19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 w:rsidP="0066099D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66099D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.43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B5 definition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 the definition of B5, change all non-AP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177EFB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 to the </w:t>
            </w:r>
            <w:proofErr w:type="spellStart"/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11-18/1932r0</w:t>
            </w:r>
          </w:p>
        </w:tc>
      </w:tr>
      <w:tr w:rsidR="00217EFF" w:rsidRPr="00C13C1B" w:rsidTr="00177EFB">
        <w:trPr>
          <w:trHeight w:val="19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10.22.2.9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.48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are required to maintain 2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NAVs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This paragraph does not apply to HE STA. There is no requirement that a HE STA that maintains one NAV would keep track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of what caused the last update of the NAV.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4E777B" w:rsidP="004E777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Revised. This CID has been sufficiently addressed  in P802.11ax</w:t>
            </w:r>
            <w:r w:rsidR="00174E2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Draft 3.2</w:t>
            </w:r>
          </w:p>
        </w:tc>
      </w:tr>
      <w:tr w:rsidR="00217EFF" w:rsidRPr="00C13C1B" w:rsidTr="00177EFB">
        <w:trPr>
          <w:trHeight w:val="19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16580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27.2.2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253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.64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There is no known  benefits for a HE STA to determine a PPDU is an intra-BSS or inter-BSS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PPDUs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when it is associated with a non HE-AP.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paragraph.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 w:rsidP="00BD0E0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See the instruction to the </w:t>
            </w:r>
            <w:proofErr w:type="spellStart"/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11-18/1932r0</w:t>
            </w:r>
          </w:p>
        </w:tc>
      </w:tr>
    </w:tbl>
    <w:p w:rsidR="006C5E91" w:rsidRDefault="006C5E91" w:rsidP="00B75DB1">
      <w:pPr>
        <w:pStyle w:val="BodyText"/>
        <w:rPr>
          <w:rFonts w:eastAsiaTheme="minorEastAsia"/>
          <w:b/>
          <w:sz w:val="40"/>
          <w:szCs w:val="40"/>
          <w:lang w:eastAsia="ja-JP"/>
        </w:rPr>
      </w:pPr>
    </w:p>
    <w:p w:rsidR="00EA3249" w:rsidRDefault="00EA3249" w:rsidP="00B75DB1">
      <w:pPr>
        <w:pStyle w:val="BodyText"/>
        <w:rPr>
          <w:rFonts w:eastAsiaTheme="minorEastAsia"/>
          <w:b/>
          <w:sz w:val="28"/>
          <w:szCs w:val="28"/>
          <w:lang w:eastAsia="ja-JP"/>
        </w:rPr>
      </w:pPr>
    </w:p>
    <w:p w:rsidR="00EA3249" w:rsidRPr="0066099D" w:rsidRDefault="00EA3249" w:rsidP="00B75DB1">
      <w:pPr>
        <w:pStyle w:val="BodyText"/>
        <w:rPr>
          <w:rFonts w:eastAsiaTheme="minorEastAsia"/>
          <w:b/>
          <w:sz w:val="32"/>
          <w:szCs w:val="32"/>
          <w:lang w:eastAsia="ja-JP"/>
        </w:rPr>
      </w:pPr>
      <w:r w:rsidRPr="0066099D">
        <w:rPr>
          <w:rFonts w:eastAsiaTheme="minorEastAsia"/>
          <w:b/>
          <w:sz w:val="32"/>
          <w:szCs w:val="32"/>
          <w:lang w:eastAsia="ja-JP"/>
        </w:rPr>
        <w:t>CID 16571</w:t>
      </w:r>
    </w:p>
    <w:p w:rsidR="0066099D" w:rsidRDefault="0066099D" w:rsidP="00B75DB1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10.30.2 Reverse direction (RD) exchange sequence</w:t>
      </w:r>
    </w:p>
    <w:p w:rsidR="0066099D" w:rsidRDefault="0066099D" w:rsidP="00B75DB1">
      <w:pPr>
        <w:pStyle w:val="BodyText"/>
        <w:rPr>
          <w:b/>
          <w:bCs/>
          <w:sz w:val="20"/>
        </w:rPr>
      </w:pPr>
    </w:p>
    <w:p w:rsidR="0066099D" w:rsidRDefault="0066099D" w:rsidP="0066099D">
      <w:pPr>
        <w:pStyle w:val="ListParagraph"/>
        <w:ind w:left="0"/>
        <w:rPr>
          <w:i/>
          <w:szCs w:val="22"/>
        </w:rPr>
      </w:pPr>
      <w:proofErr w:type="spellStart"/>
      <w:r w:rsidRPr="001075DC">
        <w:rPr>
          <w:i/>
          <w:szCs w:val="22"/>
          <w:highlight w:val="yellow"/>
        </w:rPr>
        <w:t>TGax</w:t>
      </w:r>
      <w:proofErr w:type="spellEnd"/>
      <w:r w:rsidRPr="001075DC">
        <w:rPr>
          <w:i/>
          <w:szCs w:val="22"/>
          <w:highlight w:val="yellow"/>
        </w:rPr>
        <w:t xml:space="preserve"> Editor: </w:t>
      </w:r>
      <w:r>
        <w:rPr>
          <w:i/>
          <w:szCs w:val="22"/>
          <w:highlight w:val="yellow"/>
        </w:rPr>
        <w:t>Update D3.2</w:t>
      </w:r>
      <w:r w:rsidR="0013710B">
        <w:rPr>
          <w:i/>
          <w:szCs w:val="22"/>
          <w:highlight w:val="yellow"/>
        </w:rPr>
        <w:t>,</w:t>
      </w:r>
      <w:r>
        <w:rPr>
          <w:i/>
          <w:szCs w:val="22"/>
          <w:highlight w:val="yellow"/>
        </w:rPr>
        <w:t xml:space="preserve"> P240L43-46 as shown below</w:t>
      </w:r>
      <w:r w:rsidRPr="001075DC">
        <w:rPr>
          <w:i/>
          <w:szCs w:val="22"/>
          <w:highlight w:val="yellow"/>
        </w:rPr>
        <w:t>.</w:t>
      </w:r>
    </w:p>
    <w:p w:rsidR="0066099D" w:rsidRDefault="0066099D" w:rsidP="0066099D">
      <w:pPr>
        <w:pStyle w:val="ListParagraph"/>
        <w:ind w:left="0"/>
        <w:rPr>
          <w:i/>
          <w:szCs w:val="22"/>
        </w:rPr>
      </w:pPr>
    </w:p>
    <w:p w:rsidR="0066099D" w:rsidRDefault="0066099D" w:rsidP="00B75DB1">
      <w:pPr>
        <w:pStyle w:val="BodyText"/>
        <w:rPr>
          <w:sz w:val="20"/>
        </w:rPr>
      </w:pPr>
      <w:r>
        <w:rPr>
          <w:sz w:val="20"/>
        </w:rPr>
        <w:t xml:space="preserve">If the RD initiator is an HE STA and the RD responder is an HE AP, the RD responder may transmit a Basic Trigger frame to trigger more than one </w:t>
      </w:r>
      <w:r w:rsidRPr="0066099D">
        <w:rPr>
          <w:sz w:val="20"/>
          <w:highlight w:val="yellow"/>
        </w:rPr>
        <w:t>non-AP</w:t>
      </w:r>
      <w:r>
        <w:rPr>
          <w:sz w:val="20"/>
          <w:highlight w:val="yellow"/>
        </w:rPr>
        <w:t xml:space="preserve"> HE</w:t>
      </w:r>
      <w:r w:rsidRPr="0066099D">
        <w:rPr>
          <w:sz w:val="20"/>
          <w:highlight w:val="yellow"/>
        </w:rPr>
        <w:t xml:space="preserve"> STA</w:t>
      </w:r>
      <w:r>
        <w:rPr>
          <w:sz w:val="20"/>
        </w:rPr>
        <w:t xml:space="preserve"> to do UL MU-MIMO transmission. The triggered </w:t>
      </w:r>
      <w:r w:rsidRPr="0066099D">
        <w:rPr>
          <w:sz w:val="20"/>
          <w:highlight w:val="yellow"/>
        </w:rPr>
        <w:t xml:space="preserve">non-AP HE </w:t>
      </w:r>
      <w:proofErr w:type="spellStart"/>
      <w:r w:rsidRPr="0066099D">
        <w:rPr>
          <w:sz w:val="20"/>
          <w:highlight w:val="yellow"/>
        </w:rPr>
        <w:t>STAs</w:t>
      </w:r>
      <w:proofErr w:type="spellEnd"/>
      <w:r>
        <w:rPr>
          <w:sz w:val="20"/>
        </w:rPr>
        <w:t xml:space="preserve"> shall include the RD initiator.</w:t>
      </w:r>
    </w:p>
    <w:p w:rsidR="0066099D" w:rsidRDefault="0066099D" w:rsidP="00B75DB1">
      <w:pPr>
        <w:pStyle w:val="BodyText"/>
        <w:rPr>
          <w:sz w:val="20"/>
        </w:rPr>
      </w:pPr>
    </w:p>
    <w:p w:rsidR="0066099D" w:rsidRDefault="0066099D" w:rsidP="00B75DB1">
      <w:pPr>
        <w:pStyle w:val="BodyText"/>
        <w:rPr>
          <w:b/>
          <w:sz w:val="32"/>
          <w:szCs w:val="32"/>
        </w:rPr>
      </w:pPr>
      <w:r w:rsidRPr="0066099D">
        <w:rPr>
          <w:b/>
          <w:sz w:val="32"/>
          <w:szCs w:val="32"/>
        </w:rPr>
        <w:t>CID 16574</w:t>
      </w:r>
    </w:p>
    <w:p w:rsidR="0066099D" w:rsidRDefault="0066099D" w:rsidP="0066099D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9.4.2.241.3 HE PHY Capabilities Information field</w:t>
      </w:r>
    </w:p>
    <w:p w:rsidR="0066099D" w:rsidRDefault="0066099D" w:rsidP="0066099D">
      <w:pPr>
        <w:pStyle w:val="BodyText"/>
        <w:rPr>
          <w:b/>
          <w:bCs/>
          <w:sz w:val="20"/>
        </w:rPr>
      </w:pPr>
    </w:p>
    <w:p w:rsidR="0066099D" w:rsidRDefault="0066099D" w:rsidP="0066099D">
      <w:pPr>
        <w:pStyle w:val="BodyText"/>
        <w:rPr>
          <w:i/>
          <w:szCs w:val="22"/>
        </w:rPr>
      </w:pPr>
      <w:proofErr w:type="spellStart"/>
      <w:r w:rsidRPr="001075DC">
        <w:rPr>
          <w:i/>
          <w:szCs w:val="22"/>
          <w:highlight w:val="yellow"/>
        </w:rPr>
        <w:t>TGax</w:t>
      </w:r>
      <w:proofErr w:type="spellEnd"/>
      <w:r w:rsidRPr="001075DC">
        <w:rPr>
          <w:i/>
          <w:szCs w:val="22"/>
          <w:highlight w:val="yellow"/>
        </w:rPr>
        <w:t xml:space="preserve"> Editor: </w:t>
      </w:r>
      <w:r>
        <w:rPr>
          <w:i/>
          <w:szCs w:val="22"/>
          <w:highlight w:val="yellow"/>
        </w:rPr>
        <w:t>Update D3.2</w:t>
      </w:r>
      <w:r w:rsidR="0013710B">
        <w:rPr>
          <w:i/>
          <w:szCs w:val="22"/>
          <w:highlight w:val="yellow"/>
        </w:rPr>
        <w:t>,</w:t>
      </w:r>
      <w:r>
        <w:rPr>
          <w:i/>
          <w:szCs w:val="22"/>
          <w:highlight w:val="yellow"/>
        </w:rPr>
        <w:t xml:space="preserve"> </w:t>
      </w:r>
      <w:r w:rsidR="00576EEB">
        <w:rPr>
          <w:i/>
          <w:szCs w:val="22"/>
          <w:highlight w:val="yellow"/>
        </w:rPr>
        <w:t>Table 9-322b</w:t>
      </w:r>
      <w:r w:rsidR="0013710B">
        <w:rPr>
          <w:i/>
          <w:szCs w:val="22"/>
          <w:highlight w:val="yellow"/>
        </w:rPr>
        <w:t xml:space="preserve">, </w:t>
      </w:r>
      <w:r w:rsidR="00576EEB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P</w:t>
      </w:r>
      <w:r w:rsidR="00576EEB">
        <w:rPr>
          <w:i/>
          <w:szCs w:val="22"/>
          <w:highlight w:val="yellow"/>
        </w:rPr>
        <w:t>163</w:t>
      </w:r>
      <w:r>
        <w:rPr>
          <w:i/>
          <w:szCs w:val="22"/>
          <w:highlight w:val="yellow"/>
        </w:rPr>
        <w:t>L</w:t>
      </w:r>
      <w:r w:rsidR="00576EEB">
        <w:rPr>
          <w:i/>
          <w:szCs w:val="22"/>
          <w:highlight w:val="yellow"/>
        </w:rPr>
        <w:t>22-27</w:t>
      </w:r>
      <w:r>
        <w:rPr>
          <w:i/>
          <w:szCs w:val="22"/>
          <w:highlight w:val="yellow"/>
        </w:rPr>
        <w:t xml:space="preserve"> as shown below</w:t>
      </w:r>
    </w:p>
    <w:p w:rsidR="00576EEB" w:rsidRDefault="00576EEB" w:rsidP="0066099D">
      <w:pPr>
        <w:pStyle w:val="BodyText"/>
        <w:rPr>
          <w:szCs w:val="22"/>
        </w:rPr>
      </w:pPr>
      <w:r>
        <w:rPr>
          <w:szCs w:val="22"/>
        </w:rPr>
        <w:t>From :</w:t>
      </w:r>
    </w:p>
    <w:p w:rsidR="00576EEB" w:rsidRPr="00576EEB" w:rsidRDefault="00576EEB" w:rsidP="0066099D">
      <w:pPr>
        <w:pStyle w:val="BodyText"/>
        <w:rPr>
          <w:i/>
          <w:szCs w:val="22"/>
        </w:rPr>
      </w:pPr>
      <w:r w:rsidRPr="00576EEB">
        <w:rPr>
          <w:szCs w:val="22"/>
        </w:rPr>
        <w:t xml:space="preserve">If a non-AP STA operates with 20 MHz channel width and 20 MHz In 40 MHz HE PPDU In 2.4 GHz subfield is 1, then B4 indicates support of 242-tone </w:t>
      </w:r>
      <w:proofErr w:type="spellStart"/>
      <w:r w:rsidRPr="00576EEB">
        <w:rPr>
          <w:szCs w:val="22"/>
        </w:rPr>
        <w:t>RUs</w:t>
      </w:r>
      <w:proofErr w:type="spellEnd"/>
      <w:r w:rsidRPr="00576EEB">
        <w:rPr>
          <w:szCs w:val="22"/>
        </w:rPr>
        <w:t xml:space="preserve"> in a 40 MHz HE MU PPDU in the 2.4 GHz band. Otherwise, B4 is reserved.</w:t>
      </w:r>
    </w:p>
    <w:p w:rsidR="00576EEB" w:rsidRDefault="00576EEB" w:rsidP="0066099D">
      <w:pPr>
        <w:pStyle w:val="BodyTex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To: </w:t>
      </w:r>
    </w:p>
    <w:p w:rsidR="00576EEB" w:rsidRDefault="00576EEB" w:rsidP="0066099D">
      <w:pPr>
        <w:pStyle w:val="BodyText"/>
        <w:rPr>
          <w:rFonts w:ascii="Calibri" w:hAnsi="Calibri" w:cs="Calibri"/>
          <w:color w:val="000000"/>
          <w:sz w:val="24"/>
          <w:szCs w:val="24"/>
        </w:rPr>
      </w:pPr>
      <w:r w:rsidRPr="00576EEB">
        <w:rPr>
          <w:rFonts w:ascii="Calibri" w:hAnsi="Calibri" w:cs="Calibri"/>
          <w:color w:val="000000"/>
          <w:sz w:val="24"/>
          <w:szCs w:val="24"/>
          <w:highlight w:val="yellow"/>
        </w:rPr>
        <w:t xml:space="preserve">In 2.4 GHz band, a non-AP HE STA that sets the 20 MHz In 40 MHz HE PPDU subfield to 1 sets B4 to 1 to indicate support of 242-tone RU in a 40 MHz HE MU </w:t>
      </w:r>
      <w:r w:rsidR="0013710B">
        <w:rPr>
          <w:rFonts w:ascii="Calibri" w:hAnsi="Calibri" w:cs="Calibri"/>
          <w:color w:val="000000"/>
          <w:sz w:val="24"/>
          <w:szCs w:val="24"/>
          <w:highlight w:val="yellow"/>
        </w:rPr>
        <w:t>PPDU. Otherwise, B4 is set to 0</w:t>
      </w:r>
      <w:r w:rsidR="0013710B">
        <w:rPr>
          <w:rFonts w:ascii="Calibri" w:hAnsi="Calibri" w:cs="Calibri"/>
          <w:color w:val="000000"/>
          <w:sz w:val="24"/>
          <w:szCs w:val="24"/>
        </w:rPr>
        <w:t>.</w:t>
      </w:r>
    </w:p>
    <w:p w:rsidR="0013710B" w:rsidRDefault="0013710B" w:rsidP="0066099D">
      <w:pPr>
        <w:pStyle w:val="BodyText"/>
        <w:rPr>
          <w:rFonts w:ascii="Calibri" w:hAnsi="Calibri" w:cs="Calibri"/>
          <w:color w:val="000000"/>
          <w:sz w:val="24"/>
          <w:szCs w:val="24"/>
        </w:rPr>
      </w:pPr>
    </w:p>
    <w:p w:rsidR="0013710B" w:rsidRPr="0013710B" w:rsidRDefault="0013710B" w:rsidP="0066099D">
      <w:pPr>
        <w:pStyle w:val="BodyText"/>
        <w:rPr>
          <w:b/>
          <w:bCs/>
          <w:sz w:val="28"/>
          <w:szCs w:val="28"/>
        </w:rPr>
      </w:pPr>
      <w:r w:rsidRPr="0013710B">
        <w:rPr>
          <w:b/>
          <w:bCs/>
          <w:sz w:val="28"/>
          <w:szCs w:val="28"/>
        </w:rPr>
        <w:t>CID 16580</w:t>
      </w:r>
    </w:p>
    <w:p w:rsidR="0013710B" w:rsidRDefault="0013710B" w:rsidP="0066099D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27.2.2 Intra-BSS and inter-BSS PPDU classification</w:t>
      </w:r>
    </w:p>
    <w:p w:rsidR="0013710B" w:rsidRDefault="0013710B" w:rsidP="0013710B">
      <w:pPr>
        <w:pStyle w:val="BodyText"/>
        <w:rPr>
          <w:i/>
          <w:szCs w:val="22"/>
        </w:rPr>
      </w:pPr>
      <w:proofErr w:type="spellStart"/>
      <w:r w:rsidRPr="001075DC">
        <w:rPr>
          <w:i/>
          <w:szCs w:val="22"/>
          <w:highlight w:val="yellow"/>
        </w:rPr>
        <w:t>TGax</w:t>
      </w:r>
      <w:proofErr w:type="spellEnd"/>
      <w:r w:rsidRPr="001075DC">
        <w:rPr>
          <w:i/>
          <w:szCs w:val="22"/>
          <w:highlight w:val="yellow"/>
        </w:rPr>
        <w:t xml:space="preserve"> Editor: </w:t>
      </w:r>
      <w:r>
        <w:rPr>
          <w:i/>
          <w:szCs w:val="22"/>
          <w:highlight w:val="yellow"/>
        </w:rPr>
        <w:t>Update D3.2 by removing lines 64-65 on Page 263 shown below</w:t>
      </w:r>
    </w:p>
    <w:p w:rsidR="0013710B" w:rsidRDefault="0013710B" w:rsidP="0013710B">
      <w:pPr>
        <w:pStyle w:val="BodyText"/>
        <w:rPr>
          <w:i/>
          <w:szCs w:val="22"/>
        </w:rPr>
      </w:pPr>
      <w:r w:rsidRPr="0013710B">
        <w:rPr>
          <w:sz w:val="20"/>
          <w:highlight w:val="yellow"/>
        </w:rPr>
        <w:t>The PPDU is an HE PPDU with the RXVECTOR parameter BSS_COLOR not equal to 0 and the STA is an HE STA associated with a non-HE AP.</w:t>
      </w:r>
    </w:p>
    <w:p w:rsidR="0013710B" w:rsidRPr="00576EEB" w:rsidRDefault="0013710B" w:rsidP="0066099D">
      <w:pPr>
        <w:pStyle w:val="BodyText"/>
        <w:rPr>
          <w:rFonts w:ascii="Calibri" w:hAnsi="Calibri" w:cs="Calibri"/>
          <w:color w:val="000000"/>
          <w:sz w:val="24"/>
          <w:szCs w:val="24"/>
        </w:rPr>
      </w:pPr>
    </w:p>
    <w:sectPr w:rsidR="0013710B" w:rsidRPr="00576EEB" w:rsidSect="006C5E9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18" w:rsidRDefault="00ED0918">
      <w:r>
        <w:separator/>
      </w:r>
    </w:p>
  </w:endnote>
  <w:endnote w:type="continuationSeparator" w:id="0">
    <w:p w:rsidR="00ED0918" w:rsidRDefault="00ED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F61C24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653DC4">
      <w:fldChar w:fldCharType="begin"/>
    </w:r>
    <w:r>
      <w:instrText xml:space="preserve">page </w:instrText>
    </w:r>
    <w:r w:rsidR="00653DC4">
      <w:fldChar w:fldCharType="separate"/>
    </w:r>
    <w:r w:rsidR="00177EFB">
      <w:rPr>
        <w:noProof/>
      </w:rPr>
      <w:t>2</w:t>
    </w:r>
    <w:r w:rsidR="00653DC4">
      <w:fldChar w:fldCharType="end"/>
    </w:r>
    <w:r>
      <w:tab/>
    </w:r>
    <w:r w:rsidR="001A48A9">
      <w:rPr>
        <w:rFonts w:eastAsiaTheme="minorEastAsia"/>
        <w:lang w:eastAsia="ja-JP"/>
      </w:rPr>
      <w:t xml:space="preserve">Peter Loc, </w:t>
    </w:r>
    <w:proofErr w:type="spellStart"/>
    <w:r w:rsidR="001A48A9">
      <w:rPr>
        <w:rFonts w:eastAsiaTheme="minorEastAsia"/>
        <w:lang w:eastAsia="ja-JP"/>
      </w:rPr>
      <w:t>Huawei</w:t>
    </w:r>
    <w:proofErr w:type="spellEnd"/>
  </w:p>
  <w:p w:rsidR="00F61C24" w:rsidRDefault="00F61C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18" w:rsidRDefault="00ED0918">
      <w:r>
        <w:separator/>
      </w:r>
    </w:p>
  </w:footnote>
  <w:footnote w:type="continuationSeparator" w:id="0">
    <w:p w:rsidR="00ED0918" w:rsidRDefault="00ED0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D03812" w:rsidP="00732A32">
    <w:pPr>
      <w:pStyle w:val="Header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November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fldSimple w:instr=" TITLE  \* MERGEFORMAT ">
      <w:r w:rsidR="006E7FD0">
        <w:t>doc.: IEEE 802.11-18/</w:t>
      </w:r>
      <w:r>
        <w:t>1932</w:t>
      </w:r>
      <w:r w:rsidR="006E7FD0">
        <w:t>r</w:t>
      </w:r>
      <w:r w:rsidR="00E23E36"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D5B68"/>
    <w:multiLevelType w:val="hybridMultilevel"/>
    <w:tmpl w:val="EDDCD08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2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4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95A4B"/>
    <w:multiLevelType w:val="hybridMultilevel"/>
    <w:tmpl w:val="6AC4641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33"/>
  </w:num>
  <w:num w:numId="5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27"/>
  </w:num>
  <w:num w:numId="17">
    <w:abstractNumId w:val="24"/>
  </w:num>
  <w:num w:numId="18">
    <w:abstractNumId w:val="12"/>
  </w:num>
  <w:num w:numId="19">
    <w:abstractNumId w:val="21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6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6"/>
  </w:num>
  <w:num w:numId="40">
    <w:abstractNumId w:val="10"/>
  </w:num>
  <w:num w:numId="41">
    <w:abstractNumId w:val="41"/>
  </w:num>
  <w:num w:numId="42">
    <w:abstractNumId w:val="29"/>
  </w:num>
  <w:num w:numId="43">
    <w:abstractNumId w:val="48"/>
  </w:num>
  <w:num w:numId="44">
    <w:abstractNumId w:val="45"/>
  </w:num>
  <w:num w:numId="45">
    <w:abstractNumId w:val="37"/>
  </w:num>
  <w:num w:numId="46">
    <w:abstractNumId w:val="46"/>
  </w:num>
  <w:num w:numId="47">
    <w:abstractNumId w:val="1"/>
  </w:num>
  <w:num w:numId="48">
    <w:abstractNumId w:val="28"/>
  </w:num>
  <w:num w:numId="49">
    <w:abstractNumId w:val="30"/>
  </w:num>
  <w:num w:numId="50">
    <w:abstractNumId w:val="22"/>
  </w:num>
  <w:num w:numId="51">
    <w:abstractNumId w:val="9"/>
  </w:num>
  <w:num w:numId="52">
    <w:abstractNumId w:val="39"/>
  </w:num>
  <w:num w:numId="53">
    <w:abstractNumId w:val="31"/>
  </w:num>
  <w:num w:numId="54">
    <w:abstractNumId w:val="6"/>
  </w:num>
  <w:num w:numId="55">
    <w:abstractNumId w:val="21"/>
  </w:num>
  <w:num w:numId="56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4"/>
  </w:num>
  <w:num w:numId="86">
    <w:abstractNumId w:val="44"/>
  </w:num>
  <w:num w:numId="87">
    <w:abstractNumId w:val="20"/>
  </w:num>
  <w:num w:numId="88">
    <w:abstractNumId w:val="40"/>
  </w:num>
  <w:num w:numId="8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</w:num>
  <w:num w:numId="91">
    <w:abstractNumId w:val="35"/>
  </w:num>
  <w:num w:numId="92">
    <w:abstractNumId w:val="38"/>
  </w:num>
  <w:num w:numId="93">
    <w:abstractNumId w:val="47"/>
  </w:num>
  <w:num w:numId="94">
    <w:abstractNumId w:val="14"/>
  </w:num>
  <w:num w:numId="95">
    <w:abstractNumId w:val="0"/>
  </w:num>
  <w:num w:numId="96">
    <w:abstractNumId w:val="42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2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508"/>
    <w:rsid w:val="00003ACB"/>
    <w:rsid w:val="00011009"/>
    <w:rsid w:val="00011B2A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DB7"/>
    <w:rsid w:val="00032E02"/>
    <w:rsid w:val="0003442E"/>
    <w:rsid w:val="000359C1"/>
    <w:rsid w:val="0003628E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024"/>
    <w:rsid w:val="00050BE8"/>
    <w:rsid w:val="00050DF7"/>
    <w:rsid w:val="000513BD"/>
    <w:rsid w:val="00051571"/>
    <w:rsid w:val="00053715"/>
    <w:rsid w:val="00055361"/>
    <w:rsid w:val="0005676F"/>
    <w:rsid w:val="00057012"/>
    <w:rsid w:val="00057544"/>
    <w:rsid w:val="00057981"/>
    <w:rsid w:val="000654DF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3E46"/>
    <w:rsid w:val="00135192"/>
    <w:rsid w:val="00135B34"/>
    <w:rsid w:val="0013710B"/>
    <w:rsid w:val="0014225D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4E23"/>
    <w:rsid w:val="00175B26"/>
    <w:rsid w:val="00177568"/>
    <w:rsid w:val="00177EFB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48A9"/>
    <w:rsid w:val="001A5226"/>
    <w:rsid w:val="001B02FA"/>
    <w:rsid w:val="001B217E"/>
    <w:rsid w:val="001B2BCE"/>
    <w:rsid w:val="001B4648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0088"/>
    <w:rsid w:val="002126A1"/>
    <w:rsid w:val="00212EC4"/>
    <w:rsid w:val="00214C65"/>
    <w:rsid w:val="002158E6"/>
    <w:rsid w:val="002173D7"/>
    <w:rsid w:val="00217EFF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5C7B"/>
    <w:rsid w:val="00303414"/>
    <w:rsid w:val="003039DE"/>
    <w:rsid w:val="003044AC"/>
    <w:rsid w:val="00305B68"/>
    <w:rsid w:val="0030778C"/>
    <w:rsid w:val="00307D38"/>
    <w:rsid w:val="00312897"/>
    <w:rsid w:val="003165B1"/>
    <w:rsid w:val="00317E81"/>
    <w:rsid w:val="00321BC8"/>
    <w:rsid w:val="0032502A"/>
    <w:rsid w:val="0032609F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2B21"/>
    <w:rsid w:val="003A3E8F"/>
    <w:rsid w:val="003A42E0"/>
    <w:rsid w:val="003A4753"/>
    <w:rsid w:val="003A74B1"/>
    <w:rsid w:val="003B3090"/>
    <w:rsid w:val="003B4F7E"/>
    <w:rsid w:val="003B7FE9"/>
    <w:rsid w:val="003C0E24"/>
    <w:rsid w:val="003C1BDC"/>
    <w:rsid w:val="003C292F"/>
    <w:rsid w:val="003C2B72"/>
    <w:rsid w:val="003C5A06"/>
    <w:rsid w:val="003D2021"/>
    <w:rsid w:val="003D66D1"/>
    <w:rsid w:val="003D6E7F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12C8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283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388"/>
    <w:rsid w:val="004C3D5C"/>
    <w:rsid w:val="004C4208"/>
    <w:rsid w:val="004C657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E777B"/>
    <w:rsid w:val="004F038D"/>
    <w:rsid w:val="004F06BC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29FB"/>
    <w:rsid w:val="0051324F"/>
    <w:rsid w:val="0051368F"/>
    <w:rsid w:val="0051408C"/>
    <w:rsid w:val="005149B3"/>
    <w:rsid w:val="005164D7"/>
    <w:rsid w:val="00516A55"/>
    <w:rsid w:val="005209E9"/>
    <w:rsid w:val="005234B0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6EEB"/>
    <w:rsid w:val="00577F01"/>
    <w:rsid w:val="005856E6"/>
    <w:rsid w:val="00585E89"/>
    <w:rsid w:val="00586443"/>
    <w:rsid w:val="00587937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279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3DC4"/>
    <w:rsid w:val="00654EE0"/>
    <w:rsid w:val="00656181"/>
    <w:rsid w:val="006565EE"/>
    <w:rsid w:val="00656E90"/>
    <w:rsid w:val="00660961"/>
    <w:rsid w:val="0066099D"/>
    <w:rsid w:val="00663373"/>
    <w:rsid w:val="006644A7"/>
    <w:rsid w:val="00664B2C"/>
    <w:rsid w:val="006658B6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60A7"/>
    <w:rsid w:val="006A050E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C5E91"/>
    <w:rsid w:val="006D25FA"/>
    <w:rsid w:val="006D3866"/>
    <w:rsid w:val="006D43A9"/>
    <w:rsid w:val="006D61F5"/>
    <w:rsid w:val="006E145F"/>
    <w:rsid w:val="006E1FF0"/>
    <w:rsid w:val="006E6466"/>
    <w:rsid w:val="006E7FD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374D8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3F4A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593F"/>
    <w:rsid w:val="00AA75F4"/>
    <w:rsid w:val="00AB15FE"/>
    <w:rsid w:val="00AB7D1B"/>
    <w:rsid w:val="00AC0BF3"/>
    <w:rsid w:val="00AC32D5"/>
    <w:rsid w:val="00AC3EDC"/>
    <w:rsid w:val="00AD00B5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567"/>
    <w:rsid w:val="00BC7044"/>
    <w:rsid w:val="00BD0E08"/>
    <w:rsid w:val="00BD231A"/>
    <w:rsid w:val="00BD42B2"/>
    <w:rsid w:val="00BD56E1"/>
    <w:rsid w:val="00BD6FB0"/>
    <w:rsid w:val="00BE68C2"/>
    <w:rsid w:val="00BE6AA9"/>
    <w:rsid w:val="00BF04CD"/>
    <w:rsid w:val="00BF140C"/>
    <w:rsid w:val="00BF1CE4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1819"/>
    <w:rsid w:val="00CA2847"/>
    <w:rsid w:val="00CB0D21"/>
    <w:rsid w:val="00CB0D3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2593"/>
    <w:rsid w:val="00CE3CFC"/>
    <w:rsid w:val="00CE3D20"/>
    <w:rsid w:val="00CE5F8F"/>
    <w:rsid w:val="00CE713E"/>
    <w:rsid w:val="00CF08B1"/>
    <w:rsid w:val="00CF5327"/>
    <w:rsid w:val="00D02143"/>
    <w:rsid w:val="00D029E5"/>
    <w:rsid w:val="00D03812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188C"/>
    <w:rsid w:val="00D47223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630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237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E36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249"/>
    <w:rsid w:val="00EA3B25"/>
    <w:rsid w:val="00EA58BF"/>
    <w:rsid w:val="00EA6B47"/>
    <w:rsid w:val="00EB2CD0"/>
    <w:rsid w:val="00EB30F6"/>
    <w:rsid w:val="00EB4335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0918"/>
    <w:rsid w:val="00ED100E"/>
    <w:rsid w:val="00ED116D"/>
    <w:rsid w:val="00ED1FC2"/>
    <w:rsid w:val="00ED6C66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D50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A3965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E72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E72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E7279"/>
    <w:pPr>
      <w:jc w:val="center"/>
    </w:pPr>
    <w:rPr>
      <w:b/>
      <w:sz w:val="28"/>
    </w:rPr>
  </w:style>
  <w:style w:type="paragraph" w:customStyle="1" w:styleId="T2">
    <w:name w:val="T2"/>
    <w:basedOn w:val="T1"/>
    <w:rsid w:val="005E7279"/>
    <w:pPr>
      <w:spacing w:after="240"/>
      <w:ind w:left="720" w:right="720"/>
    </w:pPr>
  </w:style>
  <w:style w:type="paragraph" w:customStyle="1" w:styleId="T3">
    <w:name w:val="T3"/>
    <w:basedOn w:val="T1"/>
    <w:rsid w:val="005E72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E7279"/>
    <w:pPr>
      <w:ind w:left="720" w:hanging="720"/>
    </w:pPr>
  </w:style>
  <w:style w:type="character" w:styleId="Hyperlink">
    <w:name w:val="Hyperlink"/>
    <w:basedOn w:val="DefaultParagraphFont"/>
    <w:uiPriority w:val="99"/>
    <w:rsid w:val="005E727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D16FCCD-5B5A-4A2B-AC62-F98BF03E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802.11-18/1703r1</vt:lpstr>
      <vt:lpstr>doc.: IEEE 802.11-18/1703r0</vt:lpstr>
    </vt:vector>
  </TitlesOfParts>
  <Company>Huawei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802.11-18/1703r1</dc:title>
  <dc:subject>Resolution to CID 17150</dc:subject>
  <dc:creator>tomo.adachi@toshiba.co.jp</dc:creator>
  <cp:keywords>CTPClassification=CTP_PUBLIC:VisualMarkings=</cp:keywords>
  <cp:lastModifiedBy>Peter Loc</cp:lastModifiedBy>
  <cp:revision>2</cp:revision>
  <cp:lastPrinted>2016-06-06T01:38:00Z</cp:lastPrinted>
  <dcterms:created xsi:type="dcterms:W3CDTF">2018-11-10T20:03:00Z</dcterms:created>
  <dcterms:modified xsi:type="dcterms:W3CDTF">2018-11-10T20:03:00Z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