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63D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C9EA83" w14:textId="77777777">
        <w:trPr>
          <w:trHeight w:val="485"/>
          <w:jc w:val="center"/>
        </w:trPr>
        <w:tc>
          <w:tcPr>
            <w:tcW w:w="9576" w:type="dxa"/>
            <w:gridSpan w:val="5"/>
            <w:vAlign w:val="center"/>
          </w:tcPr>
          <w:p w14:paraId="6D577FAC" w14:textId="77777777" w:rsidR="00CA09B2" w:rsidRDefault="00CB08CC">
            <w:pPr>
              <w:pStyle w:val="T2"/>
            </w:pPr>
            <w:r>
              <w:t xml:space="preserve">Proxy </w:t>
            </w:r>
            <w:proofErr w:type="spellStart"/>
            <w:r>
              <w:t>Neighbor</w:t>
            </w:r>
            <w:proofErr w:type="spellEnd"/>
            <w:r>
              <w:t xml:space="preserve"> Discovery </w:t>
            </w:r>
          </w:p>
        </w:tc>
      </w:tr>
      <w:tr w:rsidR="00CA09B2" w14:paraId="5D404499" w14:textId="77777777">
        <w:trPr>
          <w:trHeight w:val="359"/>
          <w:jc w:val="center"/>
        </w:trPr>
        <w:tc>
          <w:tcPr>
            <w:tcW w:w="9576" w:type="dxa"/>
            <w:gridSpan w:val="5"/>
            <w:vAlign w:val="center"/>
          </w:tcPr>
          <w:p w14:paraId="6D367556" w14:textId="0EBD2D16" w:rsidR="00CA09B2" w:rsidRDefault="00CA09B2">
            <w:pPr>
              <w:pStyle w:val="T2"/>
              <w:ind w:left="0"/>
              <w:rPr>
                <w:sz w:val="20"/>
              </w:rPr>
            </w:pPr>
            <w:r>
              <w:rPr>
                <w:sz w:val="20"/>
              </w:rPr>
              <w:t>Date:</w:t>
            </w:r>
            <w:r>
              <w:rPr>
                <w:b w:val="0"/>
                <w:sz w:val="20"/>
              </w:rPr>
              <w:t xml:space="preserve">  </w:t>
            </w:r>
            <w:r w:rsidR="00E62E6C">
              <w:rPr>
                <w:b w:val="0"/>
                <w:sz w:val="20"/>
              </w:rPr>
              <w:t>2018 – 11 - 09</w:t>
            </w:r>
            <w:bookmarkStart w:id="0" w:name="_GoBack"/>
            <w:bookmarkEnd w:id="0"/>
          </w:p>
        </w:tc>
      </w:tr>
      <w:tr w:rsidR="00CA09B2" w14:paraId="2FB98898" w14:textId="77777777">
        <w:trPr>
          <w:cantSplit/>
          <w:jc w:val="center"/>
        </w:trPr>
        <w:tc>
          <w:tcPr>
            <w:tcW w:w="9576" w:type="dxa"/>
            <w:gridSpan w:val="5"/>
            <w:vAlign w:val="center"/>
          </w:tcPr>
          <w:p w14:paraId="05949234" w14:textId="77777777" w:rsidR="00CA09B2" w:rsidRDefault="00CA09B2">
            <w:pPr>
              <w:pStyle w:val="T2"/>
              <w:spacing w:after="0"/>
              <w:ind w:left="0" w:right="0"/>
              <w:jc w:val="left"/>
              <w:rPr>
                <w:sz w:val="20"/>
              </w:rPr>
            </w:pPr>
            <w:r>
              <w:rPr>
                <w:sz w:val="20"/>
              </w:rPr>
              <w:t>Author(s):</w:t>
            </w:r>
          </w:p>
        </w:tc>
      </w:tr>
      <w:tr w:rsidR="00CA09B2" w14:paraId="45D1F9E3" w14:textId="77777777">
        <w:trPr>
          <w:jc w:val="center"/>
        </w:trPr>
        <w:tc>
          <w:tcPr>
            <w:tcW w:w="1336" w:type="dxa"/>
            <w:vAlign w:val="center"/>
          </w:tcPr>
          <w:p w14:paraId="7BB9EF6E" w14:textId="77777777" w:rsidR="00CA09B2" w:rsidRDefault="00CA09B2">
            <w:pPr>
              <w:pStyle w:val="T2"/>
              <w:spacing w:after="0"/>
              <w:ind w:left="0" w:right="0"/>
              <w:jc w:val="left"/>
              <w:rPr>
                <w:sz w:val="20"/>
              </w:rPr>
            </w:pPr>
            <w:r>
              <w:rPr>
                <w:sz w:val="20"/>
              </w:rPr>
              <w:t>Name</w:t>
            </w:r>
          </w:p>
        </w:tc>
        <w:tc>
          <w:tcPr>
            <w:tcW w:w="2064" w:type="dxa"/>
            <w:vAlign w:val="center"/>
          </w:tcPr>
          <w:p w14:paraId="2723425A" w14:textId="77777777" w:rsidR="00CA09B2" w:rsidRDefault="0062440B">
            <w:pPr>
              <w:pStyle w:val="T2"/>
              <w:spacing w:after="0"/>
              <w:ind w:left="0" w:right="0"/>
              <w:jc w:val="left"/>
              <w:rPr>
                <w:sz w:val="20"/>
              </w:rPr>
            </w:pPr>
            <w:r>
              <w:rPr>
                <w:sz w:val="20"/>
              </w:rPr>
              <w:t>Affiliation</w:t>
            </w:r>
          </w:p>
        </w:tc>
        <w:tc>
          <w:tcPr>
            <w:tcW w:w="2814" w:type="dxa"/>
            <w:vAlign w:val="center"/>
          </w:tcPr>
          <w:p w14:paraId="0EB5460C" w14:textId="77777777" w:rsidR="00CA09B2" w:rsidRDefault="00CA09B2">
            <w:pPr>
              <w:pStyle w:val="T2"/>
              <w:spacing w:after="0"/>
              <w:ind w:left="0" w:right="0"/>
              <w:jc w:val="left"/>
              <w:rPr>
                <w:sz w:val="20"/>
              </w:rPr>
            </w:pPr>
            <w:r>
              <w:rPr>
                <w:sz w:val="20"/>
              </w:rPr>
              <w:t>Address</w:t>
            </w:r>
          </w:p>
        </w:tc>
        <w:tc>
          <w:tcPr>
            <w:tcW w:w="1715" w:type="dxa"/>
            <w:vAlign w:val="center"/>
          </w:tcPr>
          <w:p w14:paraId="5B4CFB8C" w14:textId="77777777" w:rsidR="00CA09B2" w:rsidRDefault="00CA09B2">
            <w:pPr>
              <w:pStyle w:val="T2"/>
              <w:spacing w:after="0"/>
              <w:ind w:left="0" w:right="0"/>
              <w:jc w:val="left"/>
              <w:rPr>
                <w:sz w:val="20"/>
              </w:rPr>
            </w:pPr>
            <w:r>
              <w:rPr>
                <w:sz w:val="20"/>
              </w:rPr>
              <w:t>Phone</w:t>
            </w:r>
          </w:p>
        </w:tc>
        <w:tc>
          <w:tcPr>
            <w:tcW w:w="1647" w:type="dxa"/>
            <w:vAlign w:val="center"/>
          </w:tcPr>
          <w:p w14:paraId="335B04C0" w14:textId="77777777" w:rsidR="00CA09B2" w:rsidRDefault="00CA09B2">
            <w:pPr>
              <w:pStyle w:val="T2"/>
              <w:spacing w:after="0"/>
              <w:ind w:left="0" w:right="0"/>
              <w:jc w:val="left"/>
              <w:rPr>
                <w:sz w:val="20"/>
              </w:rPr>
            </w:pPr>
            <w:r>
              <w:rPr>
                <w:sz w:val="20"/>
              </w:rPr>
              <w:t>email</w:t>
            </w:r>
          </w:p>
        </w:tc>
      </w:tr>
      <w:tr w:rsidR="00CA09B2" w14:paraId="50B6B151" w14:textId="77777777">
        <w:trPr>
          <w:jc w:val="center"/>
        </w:trPr>
        <w:tc>
          <w:tcPr>
            <w:tcW w:w="1336" w:type="dxa"/>
            <w:vAlign w:val="center"/>
          </w:tcPr>
          <w:p w14:paraId="236C65E3" w14:textId="77777777" w:rsidR="00CA09B2" w:rsidRDefault="00CB08CC">
            <w:pPr>
              <w:pStyle w:val="T2"/>
              <w:spacing w:after="0"/>
              <w:ind w:left="0" w:right="0"/>
              <w:rPr>
                <w:b w:val="0"/>
                <w:sz w:val="20"/>
              </w:rPr>
            </w:pPr>
            <w:r>
              <w:rPr>
                <w:b w:val="0"/>
                <w:sz w:val="20"/>
              </w:rPr>
              <w:t xml:space="preserve">Pascal </w:t>
            </w:r>
            <w:proofErr w:type="spellStart"/>
            <w:r>
              <w:rPr>
                <w:b w:val="0"/>
                <w:sz w:val="20"/>
              </w:rPr>
              <w:t>Thubert</w:t>
            </w:r>
            <w:proofErr w:type="spellEnd"/>
          </w:p>
        </w:tc>
        <w:tc>
          <w:tcPr>
            <w:tcW w:w="2064" w:type="dxa"/>
            <w:vAlign w:val="center"/>
          </w:tcPr>
          <w:p w14:paraId="108D88F0" w14:textId="77777777" w:rsidR="00CA09B2" w:rsidRDefault="00CB08CC">
            <w:pPr>
              <w:pStyle w:val="T2"/>
              <w:spacing w:after="0"/>
              <w:ind w:left="0" w:right="0"/>
              <w:rPr>
                <w:b w:val="0"/>
                <w:sz w:val="20"/>
              </w:rPr>
            </w:pPr>
            <w:r>
              <w:rPr>
                <w:b w:val="0"/>
                <w:sz w:val="20"/>
              </w:rPr>
              <w:t>Cisco Systems</w:t>
            </w:r>
          </w:p>
        </w:tc>
        <w:tc>
          <w:tcPr>
            <w:tcW w:w="2814" w:type="dxa"/>
            <w:vAlign w:val="center"/>
          </w:tcPr>
          <w:p w14:paraId="20CB2001" w14:textId="77777777" w:rsidR="00CA09B2" w:rsidRDefault="00CA09B2">
            <w:pPr>
              <w:pStyle w:val="T2"/>
              <w:spacing w:after="0"/>
              <w:ind w:left="0" w:right="0"/>
              <w:rPr>
                <w:b w:val="0"/>
                <w:sz w:val="20"/>
              </w:rPr>
            </w:pPr>
          </w:p>
        </w:tc>
        <w:tc>
          <w:tcPr>
            <w:tcW w:w="1715" w:type="dxa"/>
            <w:vAlign w:val="center"/>
          </w:tcPr>
          <w:p w14:paraId="2B977E69" w14:textId="77777777" w:rsidR="00CA09B2" w:rsidRDefault="00CA09B2">
            <w:pPr>
              <w:pStyle w:val="T2"/>
              <w:spacing w:after="0"/>
              <w:ind w:left="0" w:right="0"/>
              <w:rPr>
                <w:b w:val="0"/>
                <w:sz w:val="20"/>
              </w:rPr>
            </w:pPr>
          </w:p>
        </w:tc>
        <w:tc>
          <w:tcPr>
            <w:tcW w:w="1647" w:type="dxa"/>
            <w:vAlign w:val="center"/>
          </w:tcPr>
          <w:p w14:paraId="6DD956E3" w14:textId="77777777" w:rsidR="00783E6A" w:rsidRPr="00783E6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eastAsia="en-GB"/>
              </w:rPr>
            </w:pPr>
            <w:r w:rsidRPr="00783E6A">
              <w:rPr>
                <w:sz w:val="16"/>
                <w:lang w:eastAsia="en-GB"/>
              </w:rPr>
              <w:t>pthubert@cisco.com</w:t>
            </w:r>
          </w:p>
          <w:p w14:paraId="45E72D03" w14:textId="77777777" w:rsidR="00CA09B2" w:rsidRDefault="00CA09B2">
            <w:pPr>
              <w:pStyle w:val="T2"/>
              <w:spacing w:after="0"/>
              <w:ind w:left="0" w:right="0"/>
              <w:rPr>
                <w:b w:val="0"/>
                <w:sz w:val="16"/>
              </w:rPr>
            </w:pPr>
          </w:p>
        </w:tc>
      </w:tr>
      <w:tr w:rsidR="00CA09B2" w14:paraId="657593E9" w14:textId="77777777">
        <w:trPr>
          <w:jc w:val="center"/>
        </w:trPr>
        <w:tc>
          <w:tcPr>
            <w:tcW w:w="1336" w:type="dxa"/>
            <w:vAlign w:val="center"/>
          </w:tcPr>
          <w:p w14:paraId="0BBD597B" w14:textId="77777777" w:rsidR="00CA09B2" w:rsidRDefault="00CA09B2">
            <w:pPr>
              <w:pStyle w:val="T2"/>
              <w:spacing w:after="0"/>
              <w:ind w:left="0" w:right="0"/>
              <w:rPr>
                <w:b w:val="0"/>
                <w:sz w:val="20"/>
              </w:rPr>
            </w:pPr>
          </w:p>
        </w:tc>
        <w:tc>
          <w:tcPr>
            <w:tcW w:w="2064" w:type="dxa"/>
            <w:vAlign w:val="center"/>
          </w:tcPr>
          <w:p w14:paraId="7A1E6A1E" w14:textId="77777777" w:rsidR="00CA09B2" w:rsidRDefault="00CA09B2">
            <w:pPr>
              <w:pStyle w:val="T2"/>
              <w:spacing w:after="0"/>
              <w:ind w:left="0" w:right="0"/>
              <w:rPr>
                <w:b w:val="0"/>
                <w:sz w:val="20"/>
              </w:rPr>
            </w:pPr>
          </w:p>
        </w:tc>
        <w:tc>
          <w:tcPr>
            <w:tcW w:w="2814" w:type="dxa"/>
            <w:vAlign w:val="center"/>
          </w:tcPr>
          <w:p w14:paraId="7BDA0811" w14:textId="77777777" w:rsidR="00CA09B2" w:rsidRDefault="00CA09B2">
            <w:pPr>
              <w:pStyle w:val="T2"/>
              <w:spacing w:after="0"/>
              <w:ind w:left="0" w:right="0"/>
              <w:rPr>
                <w:b w:val="0"/>
                <w:sz w:val="20"/>
              </w:rPr>
            </w:pPr>
          </w:p>
        </w:tc>
        <w:tc>
          <w:tcPr>
            <w:tcW w:w="1715" w:type="dxa"/>
            <w:vAlign w:val="center"/>
          </w:tcPr>
          <w:p w14:paraId="76746816" w14:textId="77777777" w:rsidR="00CA09B2" w:rsidRDefault="00CA09B2">
            <w:pPr>
              <w:pStyle w:val="T2"/>
              <w:spacing w:after="0"/>
              <w:ind w:left="0" w:right="0"/>
              <w:rPr>
                <w:b w:val="0"/>
                <w:sz w:val="20"/>
              </w:rPr>
            </w:pPr>
          </w:p>
        </w:tc>
        <w:tc>
          <w:tcPr>
            <w:tcW w:w="1647" w:type="dxa"/>
            <w:vAlign w:val="center"/>
          </w:tcPr>
          <w:p w14:paraId="6ACA1431" w14:textId="77777777" w:rsidR="00CA09B2" w:rsidRDefault="00CA09B2">
            <w:pPr>
              <w:pStyle w:val="T2"/>
              <w:spacing w:after="0"/>
              <w:ind w:left="0" w:right="0"/>
              <w:rPr>
                <w:b w:val="0"/>
                <w:sz w:val="16"/>
              </w:rPr>
            </w:pPr>
          </w:p>
        </w:tc>
      </w:tr>
    </w:tbl>
    <w:p w14:paraId="6AB83213" w14:textId="77777777" w:rsidR="00CA09B2" w:rsidRDefault="00CB08C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rsidR="0029020B" w:rsidRDefault="0029020B">
                      <w:pPr>
                        <w:pStyle w:val="T1"/>
                        <w:spacing w:after="120"/>
                      </w:pPr>
                      <w:r>
                        <w:t>Abstract</w:t>
                      </w:r>
                    </w:p>
                    <w:p w:rsidR="0029020B" w:rsidRDefault="00A816E9">
                      <w:pPr>
                        <w:jc w:val="both"/>
                      </w:pPr>
                      <w:r>
                        <w:t>802.11-2016 11.22.14 describes a WNM STA ARP Proxy, and also adds an IPv6 ARP Proxy.</w:t>
                      </w:r>
                    </w:p>
                    <w:p w:rsidR="00A816E9" w:rsidRDefault="00A816E9">
                      <w:pPr>
                        <w:jc w:val="both"/>
                      </w:pPr>
                      <w:r>
                        <w:t>However, there is no such thing as ARP in IPv6. The equivalent function to IPv4 ARP Proxy is IPv6 ND Service.</w:t>
                      </w:r>
                    </w:p>
                    <w:p w:rsidR="00A816E9" w:rsidRDefault="00A816E9">
                      <w:pPr>
                        <w:jc w:val="both"/>
                      </w:pPr>
                      <w:r>
                        <w:t>This function operates differently from what 11.22.14 describes, as assuming equivalence with IPv4 ARP Proxy is an oversimplification.</w:t>
                      </w:r>
                    </w:p>
                    <w:p w:rsidR="00A816E9" w:rsidRDefault="00A816E9">
                      <w:pPr>
                        <w:jc w:val="both"/>
                      </w:pPr>
                      <w:r>
                        <w:t>This submission proposes a correction to the text, aiming at accurately stating the function description.</w:t>
                      </w:r>
                    </w:p>
                  </w:txbxContent>
                </v:textbox>
              </v:shape>
            </w:pict>
          </mc:Fallback>
        </mc:AlternateContent>
      </w:r>
    </w:p>
    <w:p w14:paraId="3765FA57" w14:textId="77777777" w:rsidR="00CB08CC" w:rsidRDefault="00CA09B2">
      <w:r>
        <w:br w:type="page"/>
      </w:r>
      <w:r w:rsidR="00A816E9" w:rsidDel="00A816E9">
        <w:lastRenderedPageBreak/>
        <w:t xml:space="preserve"> </w:t>
      </w:r>
    </w:p>
    <w:p w14:paraId="5E41A39C" w14:textId="77777777" w:rsidR="00CB08CC" w:rsidRDefault="00CB08CC">
      <w:r>
        <w:t>Current IEEE 802.11REVmd D1.0 text:</w:t>
      </w:r>
    </w:p>
    <w:p w14:paraId="172E86DE" w14:textId="77777777" w:rsidR="00CB08CC" w:rsidRDefault="00CB08CC"/>
    <w:p w14:paraId="6EF8BB67" w14:textId="77777777" w:rsidR="00CB08CC" w:rsidRDefault="00CB08CC">
      <w:pPr>
        <w:rPr>
          <w:rStyle w:val="fontstyle21"/>
        </w:rPr>
      </w:pPr>
      <w:r>
        <w:rPr>
          <w:rStyle w:val="fontstyle01"/>
        </w:rPr>
        <w:t>11.22.14 Proxy ARP service</w:t>
      </w:r>
      <w:r>
        <w:rPr>
          <w:rFonts w:ascii="Arial-BoldMT" w:hAnsi="Arial-BoldMT"/>
          <w:b/>
          <w:bCs/>
          <w:color w:val="218A21"/>
          <w:sz w:val="20"/>
        </w:rPr>
        <w:br/>
      </w:r>
      <w:r>
        <w:rPr>
          <w:rStyle w:val="fontstyle21"/>
        </w:rPr>
        <w:t>Implementation of the proxy ARP service is optional for a WNM STA. A STA that implements the proxy</w:t>
      </w:r>
      <w:r>
        <w:rPr>
          <w:rFonts w:ascii="TimesNewRomanPSMT" w:hAnsi="TimesNewRomanPSMT"/>
          <w:color w:val="000000"/>
          <w:sz w:val="20"/>
        </w:rPr>
        <w:br/>
      </w:r>
      <w:r>
        <w:rPr>
          <w:rStyle w:val="fontstyle21"/>
        </w:rPr>
        <w:t>ARP service has dot11ProxyARPImplemented equal to true. When dot11ProxyARPImplemented is true,</w:t>
      </w:r>
      <w:r>
        <w:rPr>
          <w:rFonts w:ascii="TimesNewRomanPSMT" w:hAnsi="TimesNewRomanPSMT"/>
          <w:color w:val="000000"/>
          <w:sz w:val="20"/>
        </w:rPr>
        <w:br/>
      </w:r>
      <w:r>
        <w:rPr>
          <w:rStyle w:val="fontstyle21"/>
        </w:rPr>
        <w:t>dot11WirelessManagementImplemented shall be true. When dot11ProxyARPActivated is true, the Proxy</w:t>
      </w:r>
      <w:r>
        <w:rPr>
          <w:rFonts w:ascii="TimesNewRomanPSMT" w:hAnsi="TimesNewRomanPSMT"/>
          <w:color w:val="000000"/>
          <w:sz w:val="20"/>
        </w:rPr>
        <w:br/>
      </w:r>
      <w:r>
        <w:rPr>
          <w:rStyle w:val="fontstyle21"/>
        </w:rPr>
        <w:t>ARP Service bit in the Extended Capabilities field shall be set to 1 to indicate that the AP supports the proxy</w:t>
      </w:r>
      <w:r>
        <w:rPr>
          <w:rFonts w:ascii="TimesNewRomanPSMT" w:hAnsi="TimesNewRomanPSMT"/>
          <w:color w:val="000000"/>
          <w:sz w:val="20"/>
        </w:rPr>
        <w:br/>
      </w:r>
      <w:r>
        <w:rPr>
          <w:rStyle w:val="fontstyle21"/>
        </w:rPr>
        <w:t>ARP service. When dot11ProxyARPActivated is false, the Proxy ARP Service bit shall be set to 0 to</w:t>
      </w:r>
      <w:r>
        <w:rPr>
          <w:rFonts w:ascii="TimesNewRomanPSMT" w:hAnsi="TimesNewRomanPSMT"/>
          <w:color w:val="000000"/>
          <w:sz w:val="20"/>
        </w:rPr>
        <w:br/>
      </w:r>
      <w:r>
        <w:rPr>
          <w:rStyle w:val="fontstyle21"/>
        </w:rPr>
        <w:t>indicate that the AP does not support the proxy ARP service.</w:t>
      </w:r>
    </w:p>
    <w:p w14:paraId="573A4691" w14:textId="77777777" w:rsidR="00CB08CC" w:rsidRDefault="00CB08CC">
      <w:pPr>
        <w:rPr>
          <w:rStyle w:val="fontstyle21"/>
        </w:rPr>
      </w:pPr>
      <w:r>
        <w:rPr>
          <w:rFonts w:ascii="TimesNewRomanPSMT" w:hAnsi="TimesNewRomanPSMT"/>
          <w:color w:val="000000"/>
          <w:sz w:val="20"/>
        </w:rPr>
        <w:br/>
      </w:r>
      <w:r>
        <w:rPr>
          <w:rStyle w:val="fontstyle21"/>
        </w:rPr>
        <w:t>When the AP sets the Proxy ARP field to 1 in the Extended Capabilities element, the AP shall maintain a</w:t>
      </w:r>
      <w:r>
        <w:rPr>
          <w:rFonts w:ascii="TimesNewRomanPSMT" w:hAnsi="TimesNewRomanPSMT"/>
          <w:color w:val="000000"/>
          <w:sz w:val="20"/>
        </w:rPr>
        <w:br/>
      </w:r>
      <w:r>
        <w:rPr>
          <w:rStyle w:val="fontstyle21"/>
        </w:rPr>
        <w:t>Hardware Address to Internet Address mapping for each associated station, and shall update the mapping</w:t>
      </w:r>
      <w:r>
        <w:rPr>
          <w:rFonts w:ascii="TimesNewRomanPSMT" w:hAnsi="TimesNewRomanPSMT"/>
          <w:color w:val="000000"/>
          <w:sz w:val="20"/>
        </w:rPr>
        <w:br/>
      </w:r>
      <w:r>
        <w:rPr>
          <w:rStyle w:val="fontstyle21"/>
        </w:rPr>
        <w:t>when the Internet Address of the associated station changes. When the IPv4 address being resolved in the</w:t>
      </w:r>
      <w:r>
        <w:rPr>
          <w:rFonts w:ascii="TimesNewRomanPSMT" w:hAnsi="TimesNewRomanPSMT"/>
          <w:color w:val="000000"/>
          <w:sz w:val="20"/>
        </w:rPr>
        <w:br/>
      </w:r>
      <w:r>
        <w:rPr>
          <w:rStyle w:val="fontstyle21"/>
        </w:rPr>
        <w:t>ARP request packet (IETF RFC 826) is used by a non-AP STA currently associated to the BSS, the proxy</w:t>
      </w:r>
      <w:r>
        <w:rPr>
          <w:rFonts w:ascii="TimesNewRomanPSMT" w:hAnsi="TimesNewRomanPSMT"/>
          <w:color w:val="000000"/>
          <w:sz w:val="20"/>
        </w:rPr>
        <w:br/>
      </w:r>
      <w:r>
        <w:rPr>
          <w:rStyle w:val="fontstyle21"/>
        </w:rPr>
        <w:t>ARP service shall respond on behalf of the STA to an ARP request (IETF RFC 925) or an ARP Probe (IETF</w:t>
      </w:r>
      <w:r>
        <w:rPr>
          <w:rFonts w:ascii="TimesNewRomanPSMT" w:hAnsi="TimesNewRomanPSMT"/>
          <w:color w:val="000000"/>
          <w:sz w:val="20"/>
        </w:rPr>
        <w:br/>
      </w:r>
      <w:r>
        <w:rPr>
          <w:rStyle w:val="fontstyle21"/>
        </w:rPr>
        <w:t>RFC 5227).</w:t>
      </w:r>
    </w:p>
    <w:p w14:paraId="71B21518" w14:textId="77777777" w:rsidR="00CB08CC" w:rsidRDefault="00CB08CC">
      <w:pPr>
        <w:rPr>
          <w:rStyle w:val="fontstyle21"/>
        </w:rPr>
      </w:pPr>
      <w:r>
        <w:rPr>
          <w:rFonts w:ascii="TimesNewRomanPSMT" w:hAnsi="TimesNewRomanPSMT"/>
          <w:color w:val="000000"/>
          <w:sz w:val="20"/>
        </w:rPr>
        <w:br/>
      </w:r>
      <w:r>
        <w:rPr>
          <w:rStyle w:val="fontstyle21"/>
        </w:rPr>
        <w:t>When an AP receives an ARP Request from one associated STA or from the DS with a Target IP Address</w:t>
      </w:r>
      <w:r>
        <w:rPr>
          <w:rFonts w:ascii="TimesNewRomanPSMT" w:hAnsi="TimesNewRomanPSMT"/>
          <w:color w:val="000000"/>
          <w:sz w:val="20"/>
        </w:rPr>
        <w:br/>
      </w:r>
      <w:r>
        <w:rPr>
          <w:rStyle w:val="fontstyle21"/>
        </w:rPr>
        <w:t>that corresponds to a second associated STA, the AP shall insert the second STA MAC address as the</w:t>
      </w:r>
      <w:r>
        <w:rPr>
          <w:rFonts w:ascii="TimesNewRomanPSMT" w:hAnsi="TimesNewRomanPSMT"/>
          <w:color w:val="000000"/>
          <w:sz w:val="20"/>
        </w:rPr>
        <w:br/>
      </w:r>
      <w:r>
        <w:rPr>
          <w:rStyle w:val="fontstyle21"/>
        </w:rPr>
        <w:t>Sender’s MAC Address in the ARP Response packet.</w:t>
      </w:r>
    </w:p>
    <w:p w14:paraId="57E0338D" w14:textId="77777777" w:rsidR="00DB64E5" w:rsidRDefault="00CB08CC">
      <w:pPr>
        <w:rPr>
          <w:rStyle w:val="fontstyle21"/>
        </w:rPr>
      </w:pPr>
      <w:r>
        <w:rPr>
          <w:rFonts w:ascii="TimesNewRomanPSMT" w:hAnsi="TimesNewRomanPSMT"/>
          <w:color w:val="000000"/>
          <w:sz w:val="20"/>
        </w:rPr>
        <w:br/>
      </w:r>
      <w:r>
        <w:rPr>
          <w:rStyle w:val="fontstyle21"/>
        </w:rPr>
        <w:t xml:space="preserve">When an IPv6 address is being resolved, the </w:t>
      </w:r>
      <w:r w:rsidR="00A816E9">
        <w:rPr>
          <w:rStyle w:val="fontstyle21"/>
        </w:rPr>
        <w:t>ARP</w:t>
      </w:r>
      <w:r w:rsidR="00DB64E5">
        <w:rPr>
          <w:rStyle w:val="fontstyle21"/>
        </w:rPr>
        <w:t xml:space="preserve"> </w:t>
      </w:r>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of a STA.</w:t>
      </w:r>
      <w:r w:rsidR="00DB64E5">
        <w:rPr>
          <w:rStyle w:val="fontstyle21"/>
        </w:rPr>
        <w:t xml:space="preserve"> </w:t>
      </w:r>
    </w:p>
    <w:p w14:paraId="4F268F8C" w14:textId="77777777" w:rsidR="00DB64E5" w:rsidRDefault="00DB64E5">
      <w:pPr>
        <w:rPr>
          <w:rStyle w:val="fontstyle21"/>
        </w:rPr>
      </w:pPr>
    </w:p>
    <w:p w14:paraId="155DDA35" w14:textId="77777777" w:rsidR="00CA09B2" w:rsidRDefault="00CA09B2"/>
    <w:p w14:paraId="4C88EFC1" w14:textId="77777777" w:rsidR="00CA09B2" w:rsidRDefault="00A816E9">
      <w:r>
        <w:t>Proposed change:</w:t>
      </w:r>
    </w:p>
    <w:p w14:paraId="3C62AA69" w14:textId="77777777" w:rsidR="00A816E9" w:rsidRDefault="00A816E9">
      <w:r>
        <w:t>Replace the last paragraph with the following text:</w:t>
      </w:r>
    </w:p>
    <w:p w14:paraId="30305C2E" w14:textId="77777777" w:rsidR="00A816E9" w:rsidRDefault="00A816E9" w:rsidP="00A816E9">
      <w:pPr>
        <w:rPr>
          <w:rStyle w:val="fontstyle21"/>
        </w:rPr>
      </w:pPr>
      <w:r>
        <w:rPr>
          <w:rStyle w:val="fontstyle21"/>
        </w:rPr>
        <w:t xml:space="preserve">When an IPv6 address is being resolved, the </w:t>
      </w:r>
      <w:ins w:id="1" w:author="Jerome Henry" w:date="2018-11-09T15:05:00Z">
        <w:r>
          <w:rPr>
            <w:rStyle w:val="fontstyle21"/>
          </w:rPr>
          <w:t xml:space="preserve">Proxy </w:t>
        </w:r>
        <w:proofErr w:type="spellStart"/>
        <w:r>
          <w:rPr>
            <w:rStyle w:val="fontstyle21"/>
          </w:rPr>
          <w:t>Neighbor</w:t>
        </w:r>
        <w:proofErr w:type="spellEnd"/>
        <w:r>
          <w:rPr>
            <w:rStyle w:val="fontstyle21"/>
          </w:rPr>
          <w:t xml:space="preserve"> Discovery (ND) </w:t>
        </w:r>
      </w:ins>
      <w:del w:id="2" w:author="Jerome Henry" w:date="2018-11-09T15:05:00Z">
        <w:r w:rsidDel="00A816E9">
          <w:rPr>
            <w:rStyle w:val="fontstyle21"/>
          </w:rPr>
          <w:delText xml:space="preserve">ARP </w:delText>
        </w:r>
      </w:del>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 xml:space="preserve">of a STA. </w:t>
      </w:r>
    </w:p>
    <w:p w14:paraId="4A4D28FA" w14:textId="77777777" w:rsidR="00A816E9" w:rsidRDefault="00A816E9" w:rsidP="00A816E9">
      <w:pPr>
        <w:rPr>
          <w:ins w:id="3" w:author="Jerome Henry" w:date="2018-11-09T15:04:00Z"/>
          <w:rStyle w:val="fontstyle21"/>
        </w:rPr>
      </w:pPr>
    </w:p>
    <w:p w14:paraId="0D29D79D" w14:textId="77777777" w:rsidR="00A816E9" w:rsidRDefault="00A816E9" w:rsidP="00A816E9">
      <w:pPr>
        <w:rPr>
          <w:ins w:id="4" w:author="Jerome Henry" w:date="2018-11-09T15:04:00Z"/>
          <w:rStyle w:val="fontstyle21"/>
        </w:rPr>
      </w:pPr>
      <w:ins w:id="5" w:author="Jerome Henry" w:date="2018-11-09T15:04:00Z">
        <w:r>
          <w:rPr>
            <w:rStyle w:val="fontstyle21"/>
          </w:rPr>
          <w:t xml:space="preserve">In contrast to IPv4, IPv6 enables a node to form multiple addresses, some of them temporary to elusive, and with a particular attention paid to privacy. Addresses may be formed and deprecated asynchronously to the association. Even if the knowledge of  IPv6 addresses used by a STA can be obtained by snooping protocols such as IPv6 ND and DHCPv6, or by observing data traffic sourced at the STA, such methods provide only an imperfect knowledge of the state of the STA at the AP. This may result in a loss of connectivity for some IPv6 addresses, in particular for addresses rarely used and in a situation of mobility. This may also result in undesirable </w:t>
        </w:r>
        <w:proofErr w:type="spellStart"/>
        <w:r>
          <w:rPr>
            <w:rStyle w:val="fontstyle21"/>
          </w:rPr>
          <w:t>remanent</w:t>
        </w:r>
        <w:proofErr w:type="spellEnd"/>
        <w:r>
          <w:rPr>
            <w:rStyle w:val="fontstyle21"/>
          </w:rPr>
          <w:t xml:space="preserve"> state in the AP when a STA ceases to use an IPv6 address. It results that snooping protocols is not a recommended technique and that it should only be used as last resort.</w:t>
        </w:r>
      </w:ins>
    </w:p>
    <w:p w14:paraId="19415EE1" w14:textId="77777777" w:rsidR="00A816E9" w:rsidRDefault="00A816E9" w:rsidP="00A816E9">
      <w:pPr>
        <w:rPr>
          <w:ins w:id="6" w:author="Jerome Henry" w:date="2018-11-09T15:04:00Z"/>
          <w:rFonts w:ascii="TimesNewRomanPSMT" w:hAnsi="TimesNewRomanPSMT"/>
          <w:color w:val="000000"/>
          <w:sz w:val="20"/>
        </w:rPr>
      </w:pPr>
    </w:p>
    <w:p w14:paraId="7BE1A418" w14:textId="77777777" w:rsidR="00A816E9" w:rsidRDefault="00A816E9" w:rsidP="00A816E9">
      <w:pPr>
        <w:rPr>
          <w:ins w:id="7" w:author="Jerome Henry" w:date="2018-11-09T15:04:00Z"/>
          <w:rFonts w:ascii="TimesNewRomanPSMT" w:hAnsi="TimesNewRomanPSMT"/>
          <w:color w:val="000000"/>
          <w:sz w:val="20"/>
        </w:rPr>
      </w:pPr>
      <w:ins w:id="8" w:author="Jerome Henry" w:date="2018-11-09T15:04:00Z">
        <w:r>
          <w:rPr>
            <w:rFonts w:ascii="TimesNewRomanPSMT" w:hAnsi="TimesNewRomanPSMT"/>
            <w:color w:val="000000"/>
            <w:sz w:val="20"/>
          </w:rPr>
          <w:t xml:space="preserve">The recommended alternate is to use the IPv6 Registration method </w:t>
        </w:r>
        <w:proofErr w:type="spellStart"/>
        <w:r>
          <w:rPr>
            <w:rFonts w:ascii="TimesNewRomanPSMT" w:hAnsi="TimesNewRomanPSMT"/>
            <w:color w:val="000000"/>
            <w:sz w:val="20"/>
          </w:rPr>
          <w:t>speficied</w:t>
        </w:r>
        <w:proofErr w:type="spellEnd"/>
        <w:r>
          <w:rPr>
            <w:rFonts w:ascii="TimesNewRomanPSMT" w:hAnsi="TimesNewRomanPSMT"/>
            <w:color w:val="000000"/>
            <w:sz w:val="20"/>
          </w:rPr>
          <w:t xml:space="preserve"> in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https://tools.ietf.org/html</w:instrText>
        </w:r>
        <w:r>
          <w:rPr>
            <w:rFonts w:ascii="TimesNewRomanPSMT" w:hAnsi="TimesNewRomanPSMT"/>
            <w:color w:val="000000"/>
            <w:sz w:val="20"/>
          </w:rPr>
          <w:instrText xml:space="preserve">/draft-ietf-6lo-rfc6775-update" </w:instrText>
        </w:r>
        <w:r>
          <w:rPr>
            <w:rFonts w:ascii="TimesNewRomanPSMT" w:hAnsi="TimesNewRomanPSMT"/>
            <w:color w:val="000000"/>
            <w:sz w:val="20"/>
          </w:rPr>
          <w:fldChar w:fldCharType="separate"/>
        </w:r>
        <w:r w:rsidRPr="00C81C97">
          <w:rPr>
            <w:rStyle w:val="Hyperlink"/>
            <w:rFonts w:ascii="TimesNewRomanPSMT" w:hAnsi="TimesNewRomanPSMT"/>
            <w:sz w:val="20"/>
          </w:rPr>
          <w:t>draft-ietf-6lo-rfc6775-update</w:t>
        </w:r>
        <w:r>
          <w:rPr>
            <w:rFonts w:ascii="TimesNewRomanPSMT" w:hAnsi="TimesNewRomanPSMT"/>
            <w:color w:val="000000"/>
            <w:sz w:val="20"/>
          </w:rPr>
          <w:fldChar w:fldCharType="end"/>
        </w:r>
        <w:r>
          <w:rPr>
            <w:rFonts w:ascii="TimesNewRomanPSMT" w:hAnsi="TimesNewRomanPSMT"/>
            <w:color w:val="000000"/>
            <w:sz w:val="20"/>
          </w:rPr>
          <w:t xml:space="preserve">]. By that method, the AP exposes its capability to proxy ND to the STA in Router Advertisement messages. In turn, the STA may request proxy ND services from the AP for one or more IPv6 addresses, using an Address Registration Option. The Registration state has a lifetime that limits unwanted state remanence in the network. The registration is optionally secured using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w:instrText>
        </w:r>
        <w:r>
          <w:rPr>
            <w:rFonts w:ascii="TimesNewRomanPSMT" w:hAnsi="TimesNewRomanPSMT"/>
            <w:color w:val="000000"/>
            <w:sz w:val="20"/>
          </w:rPr>
          <w:instrText xml:space="preserve">org/html/draft-ietf-6lo-ap-nd" </w:instrText>
        </w:r>
        <w:r>
          <w:rPr>
            <w:rFonts w:ascii="TimesNewRomanPSMT" w:hAnsi="TimesNewRomanPSMT"/>
            <w:color w:val="000000"/>
            <w:sz w:val="20"/>
          </w:rPr>
          <w:fldChar w:fldCharType="separate"/>
        </w:r>
        <w:r>
          <w:rPr>
            <w:rStyle w:val="Hyperlink"/>
            <w:rFonts w:ascii="TimesNewRomanPSMT" w:hAnsi="TimesNewRomanPSMT"/>
            <w:sz w:val="20"/>
          </w:rPr>
          <w:t>[</w:t>
        </w:r>
        <w:r w:rsidRPr="00C81C97">
          <w:rPr>
            <w:rStyle w:val="Hyperlink"/>
            <w:rFonts w:ascii="TimesNewRomanPSMT" w:hAnsi="TimesNewRomanPSMT"/>
            <w:sz w:val="20"/>
          </w:rPr>
          <w:t>draft-ietf-6lo-ap-nd</w:t>
        </w:r>
        <w:r>
          <w:rPr>
            <w:rFonts w:ascii="TimesNewRomanPSMT" w:hAnsi="TimesNewRomanPSMT"/>
            <w:color w:val="000000"/>
            <w:sz w:val="20"/>
          </w:rPr>
          <w:fldChar w:fldCharType="end"/>
        </w:r>
        <w:r>
          <w:rPr>
            <w:rFonts w:ascii="TimesNewRomanPSMT" w:hAnsi="TimesNewRomanPSMT"/>
            <w:color w:val="000000"/>
            <w:sz w:val="20"/>
          </w:rPr>
          <w:t xml:space="preserve">] to prevent address theft and impersonation. The registration carries a sequence number, which enables a fast mobility without a loss of connectivity. </w:t>
        </w:r>
      </w:ins>
    </w:p>
    <w:p w14:paraId="1A611C11" w14:textId="77777777" w:rsidR="00A816E9" w:rsidRDefault="00A816E9" w:rsidP="00A816E9">
      <w:pPr>
        <w:rPr>
          <w:ins w:id="9" w:author="Jerome Henry" w:date="2018-11-09T15:04:00Z"/>
          <w:rFonts w:ascii="TimesNewRomanPSMT" w:hAnsi="TimesNewRomanPSMT"/>
          <w:color w:val="000000"/>
          <w:sz w:val="20"/>
        </w:rPr>
      </w:pPr>
    </w:p>
    <w:p w14:paraId="1A7E68A8" w14:textId="77777777" w:rsidR="00A816E9" w:rsidRDefault="00A816E9" w:rsidP="00A816E9">
      <w:pPr>
        <w:rPr>
          <w:ins w:id="10" w:author="Jerome Henry" w:date="2018-11-09T15:04:00Z"/>
          <w:rFonts w:ascii="TimesNewRomanPSMT" w:hAnsi="TimesNewRomanPSMT"/>
          <w:color w:val="000000"/>
          <w:sz w:val="20"/>
        </w:rPr>
      </w:pPr>
      <w:ins w:id="11" w:author="Jerome Henry" w:date="2018-11-09T15:04:00Z">
        <w:r>
          <w:rPr>
            <w:rFonts w:ascii="TimesNewRomanPSMT" w:hAnsi="TimesNewRomanPSMT"/>
            <w:color w:val="000000"/>
            <w:sz w:val="20"/>
          </w:rPr>
          <w:t xml:space="preserve">The proxy ND operation needs to cover Duplicate Address Detection, </w:t>
        </w:r>
        <w:proofErr w:type="spellStart"/>
        <w:r>
          <w:rPr>
            <w:rFonts w:ascii="TimesNewRomanPSMT" w:hAnsi="TimesNewRomanPSMT"/>
            <w:color w:val="000000"/>
            <w:sz w:val="20"/>
          </w:rPr>
          <w:t>Neighbor</w:t>
        </w:r>
        <w:proofErr w:type="spellEnd"/>
        <w:r>
          <w:rPr>
            <w:rFonts w:ascii="TimesNewRomanPSMT" w:hAnsi="TimesNewRomanPSMT"/>
            <w:color w:val="000000"/>
            <w:sz w:val="20"/>
          </w:rPr>
          <w:t xml:space="preserve"> Unreachability Detection, Address Resolution and Address Mobility to transfer a role of ND proxy to the AP where a STA is associated following the mobility of the STA.  The proxy ND specification associated to the address registration is [</w:t>
        </w:r>
        <w:r>
          <w:rPr>
            <w:rFonts w:ascii="TimesNewRomanPSMT" w:hAnsi="TimesNewRomanPSMT"/>
            <w:color w:val="000000"/>
            <w:sz w:val="20"/>
          </w:rPr>
          <w:fldChar w:fldCharType="begin"/>
        </w:r>
        <w:r>
          <w:rPr>
            <w:rFonts w:ascii="TimesNewRomanPSMT" w:hAnsi="TimesNewRomanPSMT"/>
            <w:color w:val="000000"/>
            <w:sz w:val="20"/>
          </w:rPr>
          <w:instrText xml:space="preserve"> HYPERLINK "</w:instrText>
        </w:r>
        <w:r w:rsidRPr="00DB64E5">
          <w:rPr>
            <w:rFonts w:ascii="TimesNewRomanPSMT" w:hAnsi="TimesNewRomanPSMT"/>
            <w:color w:val="000000"/>
            <w:sz w:val="20"/>
          </w:rPr>
          <w:instrText>https://tools.ietf.org/html/d</w:instrText>
        </w:r>
        <w:r>
          <w:rPr>
            <w:rFonts w:ascii="TimesNewRomanPSMT" w:hAnsi="TimesNewRomanPSMT"/>
            <w:color w:val="000000"/>
            <w:sz w:val="20"/>
          </w:rPr>
          <w:instrText xml:space="preserve">raft-ietf-6lo-backbone-router" </w:instrText>
        </w:r>
        <w:r>
          <w:rPr>
            <w:rFonts w:ascii="TimesNewRomanPSMT" w:hAnsi="TimesNewRomanPSMT"/>
            <w:color w:val="000000"/>
            <w:sz w:val="20"/>
          </w:rPr>
          <w:fldChar w:fldCharType="separate"/>
        </w:r>
        <w:r w:rsidRPr="00C81C97">
          <w:rPr>
            <w:rStyle w:val="Hyperlink"/>
            <w:rFonts w:ascii="TimesNewRomanPSMT" w:hAnsi="TimesNewRomanPSMT"/>
            <w:sz w:val="20"/>
          </w:rPr>
          <w:t>draft-ietf-6lo-backbone-router</w:t>
        </w:r>
        <w:r>
          <w:rPr>
            <w:rFonts w:ascii="TimesNewRomanPSMT" w:hAnsi="TimesNewRomanPSMT"/>
            <w:color w:val="000000"/>
            <w:sz w:val="20"/>
          </w:rPr>
          <w:fldChar w:fldCharType="end"/>
        </w:r>
        <w:r>
          <w:rPr>
            <w:rFonts w:ascii="TimesNewRomanPSMT" w:hAnsi="TimesNewRomanPSMT"/>
            <w:color w:val="000000"/>
            <w:sz w:val="20"/>
          </w:rPr>
          <w:t xml:space="preserve">]. With that specification, the AP participates to the protocol as a Backbone Router, typically operating as a bridging proxy though the routing proxy operation is also possible. As a bridging proxy, the proxy replies to NS </w:t>
        </w:r>
        <w:r>
          <w:rPr>
            <w:rFonts w:ascii="TimesNewRomanPSMT" w:hAnsi="TimesNewRomanPSMT"/>
            <w:color w:val="000000"/>
            <w:sz w:val="20"/>
          </w:rPr>
          <w:lastRenderedPageBreak/>
          <w:t>lookups with the MAC address of the STA, and then bridges packets to the STA normally; as a routing proxy, it replies with its own MAC address and then routes to the STA at the IP layer. The routing proxy reduces the need to expose the MAC address of the STA on the wired side, for a better stability and scalability of the bridged fabric.</w:t>
        </w:r>
      </w:ins>
    </w:p>
    <w:p w14:paraId="7E81BC82" w14:textId="77777777" w:rsidR="00A816E9" w:rsidRDefault="00A816E9"/>
    <w:p w14:paraId="5229D25E" w14:textId="77777777" w:rsidR="00A816E9" w:rsidRDefault="00A816E9"/>
    <w:p w14:paraId="297845D4" w14:textId="77777777" w:rsidR="00A816E9" w:rsidRDefault="00A816E9">
      <w:r>
        <w:t>Insert the following references to annex A:</w:t>
      </w:r>
    </w:p>
    <w:p w14:paraId="061B9C27" w14:textId="77777777" w:rsidR="00A816E9" w:rsidRDefault="00A816E9"/>
    <w:p w14:paraId="6C42383E" w14:textId="77777777" w:rsidR="00CA09B2" w:rsidRDefault="00CA09B2">
      <w:pPr>
        <w:rPr>
          <w:b/>
          <w:sz w:val="24"/>
        </w:rPr>
      </w:pPr>
      <w:r>
        <w:rPr>
          <w:b/>
          <w:sz w:val="24"/>
        </w:rPr>
        <w:t>References:</w:t>
      </w:r>
    </w:p>
    <w:p w14:paraId="43748594" w14:textId="77777777" w:rsidR="00CA09B2" w:rsidRDefault="00CA09B2"/>
    <w:p w14:paraId="68355DB3" w14:textId="77777777" w:rsidR="00996DBF" w:rsidRDefault="00996DBF" w:rsidP="00996DBF">
      <w:pPr>
        <w:pStyle w:val="HTMLPreformatted"/>
      </w:pPr>
    </w:p>
    <w:p w14:paraId="62587B2F" w14:textId="77777777" w:rsidR="00996DBF" w:rsidRDefault="00996DBF" w:rsidP="00996DBF">
      <w:pPr>
        <w:pStyle w:val="HTMLPreformatted"/>
      </w:pPr>
      <w:r>
        <w:t xml:space="preserve">   [</w:t>
      </w:r>
      <w:bookmarkStart w:id="12" w:name="ref-I-D.ietf-6lo-rfc6775-update"/>
      <w:r>
        <w:t>I-D.ietf-6lo-rfc6775-update</w:t>
      </w:r>
      <w:bookmarkEnd w:id="12"/>
      <w:r>
        <w:t>]</w:t>
      </w:r>
    </w:p>
    <w:p w14:paraId="777AAE23" w14:textId="77777777" w:rsidR="00996DBF" w:rsidRDefault="00996DBF" w:rsidP="00996DBF">
      <w:pPr>
        <w:pStyle w:val="HTMLPreformatted"/>
      </w:pPr>
      <w:r>
        <w:t xml:space="preserve">              </w:t>
      </w:r>
      <w:proofErr w:type="spellStart"/>
      <w:r>
        <w:t>Thubert</w:t>
      </w:r>
      <w:proofErr w:type="spellEnd"/>
      <w:r>
        <w:t xml:space="preserve">, P., </w:t>
      </w:r>
      <w:proofErr w:type="spellStart"/>
      <w:r>
        <w:t>Nordmark</w:t>
      </w:r>
      <w:proofErr w:type="spellEnd"/>
      <w:r>
        <w:t>, E., Chakrabarti, S., and C.</w:t>
      </w:r>
    </w:p>
    <w:p w14:paraId="38775C6B" w14:textId="77777777" w:rsidR="00996DBF" w:rsidRDefault="00996DBF" w:rsidP="00996DBF">
      <w:pPr>
        <w:pStyle w:val="HTMLPreformatted"/>
      </w:pPr>
      <w:r>
        <w:t xml:space="preserve">              Perkins, "An Update to 6LoWPAN ND", </w:t>
      </w:r>
      <w:hyperlink r:id="rId6" w:history="1">
        <w:r>
          <w:rPr>
            <w:rStyle w:val="Hyperlink"/>
          </w:rPr>
          <w:t>draft-ietf-6lo-</w:t>
        </w:r>
      </w:hyperlink>
    </w:p>
    <w:p w14:paraId="56213755" w14:textId="77777777" w:rsidR="00996DBF" w:rsidRDefault="00996DBF" w:rsidP="00996DBF">
      <w:pPr>
        <w:pStyle w:val="HTMLPreformatted"/>
      </w:pPr>
      <w:r>
        <w:t xml:space="preserve">              </w:t>
      </w:r>
      <w:hyperlink r:id="rId7" w:history="1">
        <w:r>
          <w:rPr>
            <w:rStyle w:val="Hyperlink"/>
          </w:rPr>
          <w:t>rfc6775</w:t>
        </w:r>
      </w:hyperlink>
      <w:r>
        <w:t>-update-21 (work in progress), June 2018.</w:t>
      </w:r>
    </w:p>
    <w:p w14:paraId="53549623" w14:textId="77777777" w:rsidR="00996DBF" w:rsidRDefault="00996DBF" w:rsidP="00996DBF">
      <w:pPr>
        <w:pStyle w:val="HTMLPreformatted"/>
      </w:pPr>
    </w:p>
    <w:p w14:paraId="6F10A9E2" w14:textId="77777777" w:rsidR="00996DBF" w:rsidRDefault="00996DBF" w:rsidP="00996DBF">
      <w:pPr>
        <w:pStyle w:val="HTMLPreformatted"/>
      </w:pPr>
    </w:p>
    <w:p w14:paraId="6D5235E4" w14:textId="77777777" w:rsidR="00996DBF" w:rsidRDefault="00996DBF" w:rsidP="00996DBF">
      <w:pPr>
        <w:pStyle w:val="HTMLPreformatted"/>
      </w:pPr>
      <w:r>
        <w:t xml:space="preserve">   [</w:t>
      </w:r>
      <w:bookmarkStart w:id="13" w:name="ref-I-D.ietf-6lo-backbone-router"/>
      <w:r>
        <w:t>I-D.ietf-6lo-backbone-router</w:t>
      </w:r>
      <w:bookmarkEnd w:id="13"/>
      <w:r>
        <w:t>]</w:t>
      </w:r>
    </w:p>
    <w:p w14:paraId="05EA5029" w14:textId="77777777" w:rsidR="00996DBF" w:rsidRDefault="00996DBF" w:rsidP="00996DBF">
      <w:pPr>
        <w:pStyle w:val="HTMLPreformatted"/>
      </w:pPr>
      <w:r>
        <w:t xml:space="preserve">              </w:t>
      </w:r>
      <w:proofErr w:type="spellStart"/>
      <w:r>
        <w:t>Thubert</w:t>
      </w:r>
      <w:proofErr w:type="spellEnd"/>
      <w:r>
        <w:t xml:space="preserve">, P., "IPv6 Backbone Router", </w:t>
      </w:r>
      <w:hyperlink r:id="rId8" w:history="1">
        <w:r>
          <w:rPr>
            <w:rStyle w:val="Hyperlink"/>
          </w:rPr>
          <w:t>draft-ietf-6lo-</w:t>
        </w:r>
      </w:hyperlink>
    </w:p>
    <w:p w14:paraId="0911F0C4" w14:textId="77777777" w:rsidR="00996DBF" w:rsidRDefault="00996DBF" w:rsidP="00996DBF">
      <w:pPr>
        <w:pStyle w:val="HTMLPreformatted"/>
      </w:pPr>
      <w:r>
        <w:t xml:space="preserve">              </w:t>
      </w:r>
      <w:hyperlink r:id="rId9" w:history="1">
        <w:r>
          <w:rPr>
            <w:rStyle w:val="Hyperlink"/>
          </w:rPr>
          <w:t>backbone-router-06</w:t>
        </w:r>
      </w:hyperlink>
      <w:r>
        <w:t xml:space="preserve"> (work in progress), February 2018.</w:t>
      </w:r>
    </w:p>
    <w:p w14:paraId="104E47B4" w14:textId="77777777" w:rsidR="00996DBF" w:rsidRDefault="00996DBF" w:rsidP="00996DBF">
      <w:pPr>
        <w:pStyle w:val="HTMLPreformatted"/>
      </w:pPr>
    </w:p>
    <w:p w14:paraId="26217638" w14:textId="77777777" w:rsidR="00996DBF" w:rsidRDefault="00996DBF" w:rsidP="00996DBF">
      <w:pPr>
        <w:pStyle w:val="HTMLPreformatted"/>
      </w:pPr>
    </w:p>
    <w:p w14:paraId="6CC1142A" w14:textId="77777777" w:rsidR="00996DBF" w:rsidRDefault="00996DBF" w:rsidP="00996DBF">
      <w:pPr>
        <w:pStyle w:val="HTMLPreformatted"/>
      </w:pPr>
      <w:r>
        <w:t xml:space="preserve">   [</w:t>
      </w:r>
      <w:bookmarkStart w:id="14" w:name="ref-I-D.ietf-6lo-ap-nd"/>
      <w:r>
        <w:t>I-D.ietf-6lo-ap-nd</w:t>
      </w:r>
      <w:bookmarkEnd w:id="14"/>
      <w:r>
        <w:t>]</w:t>
      </w:r>
    </w:p>
    <w:p w14:paraId="462F7695" w14:textId="77777777" w:rsidR="00996DBF" w:rsidRDefault="00996DBF" w:rsidP="00996DBF">
      <w:pPr>
        <w:pStyle w:val="HTMLPreformatted"/>
      </w:pPr>
      <w:r>
        <w:t xml:space="preserve">              </w:t>
      </w:r>
      <w:proofErr w:type="spellStart"/>
      <w:r>
        <w:t>Thubert</w:t>
      </w:r>
      <w:proofErr w:type="spellEnd"/>
      <w:r>
        <w:t xml:space="preserve">, P., </w:t>
      </w:r>
      <w:proofErr w:type="spellStart"/>
      <w:r>
        <w:t>Sarikaya</w:t>
      </w:r>
      <w:proofErr w:type="spellEnd"/>
      <w:r>
        <w:t xml:space="preserve">, B., and M. </w:t>
      </w:r>
      <w:proofErr w:type="spellStart"/>
      <w:r>
        <w:t>Sethi</w:t>
      </w:r>
      <w:proofErr w:type="spellEnd"/>
      <w:r>
        <w:t>, "Address</w:t>
      </w:r>
    </w:p>
    <w:p w14:paraId="25E51E8D" w14:textId="77777777" w:rsidR="00996DBF" w:rsidRDefault="00996DBF" w:rsidP="00996DBF">
      <w:pPr>
        <w:pStyle w:val="HTMLPreformatted"/>
      </w:pPr>
      <w:r>
        <w:t xml:space="preserve">              Protected </w:t>
      </w:r>
      <w:proofErr w:type="spellStart"/>
      <w:r>
        <w:t>Neighbor</w:t>
      </w:r>
      <w:proofErr w:type="spellEnd"/>
      <w:r>
        <w:t xml:space="preserve"> Discovery for Low-power and Lossy</w:t>
      </w:r>
    </w:p>
    <w:p w14:paraId="61D1DAB1" w14:textId="77777777" w:rsidR="00996DBF" w:rsidRDefault="00996DBF" w:rsidP="00996DBF">
      <w:pPr>
        <w:pStyle w:val="HTMLPreformatted"/>
      </w:pPr>
      <w:r>
        <w:t xml:space="preserve">              Networks", </w:t>
      </w:r>
      <w:hyperlink r:id="rId10" w:history="1">
        <w:r>
          <w:rPr>
            <w:rStyle w:val="Hyperlink"/>
          </w:rPr>
          <w:t>draft-ietf-6lo-ap-nd-06</w:t>
        </w:r>
      </w:hyperlink>
      <w:r>
        <w:t xml:space="preserve"> (work in progress),</w:t>
      </w:r>
    </w:p>
    <w:p w14:paraId="4ABF9F7A" w14:textId="77777777" w:rsidR="00996DBF" w:rsidRDefault="00996DBF" w:rsidP="00996DBF">
      <w:pPr>
        <w:pStyle w:val="HTMLPreformatted"/>
      </w:pPr>
      <w:r>
        <w:t xml:space="preserve">              February 2018.</w:t>
      </w:r>
    </w:p>
    <w:p w14:paraId="3455E9BB" w14:textId="77777777" w:rsidR="00996DBF" w:rsidRDefault="00996DBF"/>
    <w:p w14:paraId="5EF47FAD" w14:textId="77777777" w:rsidR="00996DBF" w:rsidRDefault="00996DBF"/>
    <w:sectPr w:rsidR="00996DBF">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6BB87" w14:textId="77777777" w:rsidR="000A1F77" w:rsidRDefault="000A1F77">
      <w:r>
        <w:separator/>
      </w:r>
    </w:p>
  </w:endnote>
  <w:endnote w:type="continuationSeparator" w:id="0">
    <w:p w14:paraId="0925F784" w14:textId="77777777" w:rsidR="000A1F77" w:rsidRDefault="000A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MS Gothic"/>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6A99" w14:textId="77777777" w:rsidR="0029020B" w:rsidRDefault="0026495E">
    <w:pPr>
      <w:pStyle w:val="Footer"/>
      <w:tabs>
        <w:tab w:val="clear" w:pos="6480"/>
        <w:tab w:val="center" w:pos="4680"/>
        <w:tab w:val="right" w:pos="9360"/>
      </w:tabs>
    </w:pPr>
    <w:fldSimple w:instr=" SUBJECT  \* MERGEFORMAT ">
      <w:r w:rsidR="00CB08CC">
        <w:t>Submission</w:t>
      </w:r>
    </w:fldSimple>
    <w:r w:rsidR="0029020B">
      <w:tab/>
      <w:t xml:space="preserve">page </w:t>
    </w:r>
    <w:r w:rsidR="0029020B">
      <w:fldChar w:fldCharType="begin"/>
    </w:r>
    <w:r w:rsidR="0029020B">
      <w:instrText xml:space="preserve">page </w:instrText>
    </w:r>
    <w:r w:rsidR="0029020B">
      <w:fldChar w:fldCharType="separate"/>
    </w:r>
    <w:r>
      <w:rPr>
        <w:noProof/>
      </w:rPr>
      <w:t>1</w:t>
    </w:r>
    <w:r w:rsidR="0029020B">
      <w:fldChar w:fldCharType="end"/>
    </w:r>
    <w:r w:rsidR="0029020B">
      <w:tab/>
    </w:r>
    <w:r w:rsidR="00A816E9">
      <w:t xml:space="preserve">Pascal </w:t>
    </w:r>
    <w:proofErr w:type="spellStart"/>
    <w:r w:rsidR="00A816E9">
      <w:t>Thubert</w:t>
    </w:r>
    <w:proofErr w:type="spellEnd"/>
    <w:r w:rsidR="00A816E9">
      <w:t>, Cisco</w:t>
    </w:r>
  </w:p>
  <w:p w14:paraId="1D8D44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05798" w14:textId="77777777" w:rsidR="000A1F77" w:rsidRDefault="000A1F77">
      <w:r>
        <w:separator/>
      </w:r>
    </w:p>
  </w:footnote>
  <w:footnote w:type="continuationSeparator" w:id="0">
    <w:p w14:paraId="6A29DC05" w14:textId="77777777" w:rsidR="000A1F77" w:rsidRDefault="000A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BC65" w14:textId="7184373B" w:rsidR="0029020B" w:rsidRDefault="00A816E9">
    <w:pPr>
      <w:pStyle w:val="Header"/>
      <w:tabs>
        <w:tab w:val="clear" w:pos="6480"/>
        <w:tab w:val="center" w:pos="4680"/>
        <w:tab w:val="right" w:pos="9360"/>
      </w:tabs>
    </w:pPr>
    <w:r>
      <w:t>November 2018</w:t>
    </w:r>
    <w:r w:rsidR="0029020B">
      <w:tab/>
    </w:r>
    <w:r w:rsidR="0029020B">
      <w:tab/>
    </w:r>
    <w:fldSimple w:instr=" TITLE  \* MERGEFORMAT ">
      <w:r w:rsidR="00CB08CC">
        <w:t>doc.: IEEE 802.11-</w:t>
      </w:r>
      <w:r w:rsidR="00E62E6C">
        <w:t>18</w:t>
      </w:r>
      <w:r w:rsidR="00CB08CC">
        <w:t>/</w:t>
      </w:r>
      <w:r w:rsidR="00E62E6C">
        <w:t>1919</w:t>
      </w:r>
      <w:r w:rsidR="00CB08CC">
        <w:t>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w15:presenceInfo w15:providerId="None" w15:userId="Jerome 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A1F77"/>
    <w:rsid w:val="000C765B"/>
    <w:rsid w:val="00175499"/>
    <w:rsid w:val="001A0B06"/>
    <w:rsid w:val="001D723B"/>
    <w:rsid w:val="00254F22"/>
    <w:rsid w:val="0026495E"/>
    <w:rsid w:val="0029020B"/>
    <w:rsid w:val="002D44BE"/>
    <w:rsid w:val="0043044E"/>
    <w:rsid w:val="00442037"/>
    <w:rsid w:val="004B064B"/>
    <w:rsid w:val="005609B1"/>
    <w:rsid w:val="0062440B"/>
    <w:rsid w:val="006C0727"/>
    <w:rsid w:val="006E145F"/>
    <w:rsid w:val="00770572"/>
    <w:rsid w:val="00783E6A"/>
    <w:rsid w:val="00963BEF"/>
    <w:rsid w:val="00996DBF"/>
    <w:rsid w:val="009A2ED9"/>
    <w:rsid w:val="009F2FBC"/>
    <w:rsid w:val="00A816E9"/>
    <w:rsid w:val="00AA427C"/>
    <w:rsid w:val="00BE68C2"/>
    <w:rsid w:val="00CA09B2"/>
    <w:rsid w:val="00CB08CC"/>
    <w:rsid w:val="00DB64E5"/>
    <w:rsid w:val="00DC5A7B"/>
    <w:rsid w:val="00E42919"/>
    <w:rsid w:val="00E62E6C"/>
    <w:rsid w:val="00F1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ols.ietf.org/html/draft-ietf-6lo-backbone-router-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ols.ietf.org/html/rfc677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ietf.org/html/draft-ietf-6lo-rfc6775-update-13"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ools.ietf.org/html/draft-ietf-6lo-ap-nd-06" TargetMode="External"/><Relationship Id="rId4" Type="http://schemas.openxmlformats.org/officeDocument/2006/relationships/footnotes" Target="footnotes.xml"/><Relationship Id="rId9" Type="http://schemas.openxmlformats.org/officeDocument/2006/relationships/hyperlink" Target="https://tools.ietf.org/html/draft-ietf-6lo-backbone-router-06"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cp:keywords>
  <dc:description>John Doe, Some Company</dc:description>
  <cp:lastModifiedBy>Jerome Henry</cp:lastModifiedBy>
  <cp:revision>3</cp:revision>
  <cp:lastPrinted>1900-01-01T04:59:56Z</cp:lastPrinted>
  <dcterms:created xsi:type="dcterms:W3CDTF">2018-11-09T11:31:00Z</dcterms:created>
  <dcterms:modified xsi:type="dcterms:W3CDTF">2018-11-09T11:31:00Z</dcterms:modified>
</cp:coreProperties>
</file>