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C40031">
      <w:pPr>
        <w:pStyle w:val="T1"/>
        <w:pBdr>
          <w:bottom w:val="single" w:sz="6" w:space="0" w:color="auto"/>
        </w:pBdr>
        <w:spacing w:after="240"/>
      </w:pPr>
      <w: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F0F55" w:rsidP="00387B8C">
            <w:pPr>
              <w:pStyle w:val="T2"/>
              <w:rPr>
                <w:lang w:eastAsia="ko-KR"/>
              </w:rPr>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Mode element</w:t>
            </w:r>
            <w:r w:rsidR="002A0164">
              <w:rPr>
                <w:lang w:eastAsia="ko-KR"/>
              </w:rPr>
              <w:t xml:space="preserve"> – Part 1</w:t>
            </w:r>
          </w:p>
        </w:tc>
      </w:tr>
      <w:tr w:rsidR="00C723BC" w:rsidRPr="00183F4C" w:rsidTr="00D74DE9">
        <w:trPr>
          <w:trHeight w:val="359"/>
          <w:jc w:val="center"/>
        </w:trPr>
        <w:tc>
          <w:tcPr>
            <w:tcW w:w="9576" w:type="dxa"/>
            <w:gridSpan w:val="5"/>
            <w:vAlign w:val="center"/>
          </w:tcPr>
          <w:p w:rsidR="00C723BC" w:rsidRPr="00183F4C" w:rsidRDefault="00C723BC" w:rsidP="00CB1E71">
            <w:pPr>
              <w:pStyle w:val="T2"/>
              <w:ind w:left="0"/>
              <w:rPr>
                <w:b w:val="0"/>
                <w:sz w:val="20"/>
              </w:rPr>
            </w:pPr>
            <w:r w:rsidRPr="00183F4C">
              <w:rPr>
                <w:sz w:val="20"/>
              </w:rPr>
              <w:t>Date:</w:t>
            </w:r>
            <w:r w:rsidRPr="00183F4C">
              <w:rPr>
                <w:b w:val="0"/>
                <w:sz w:val="20"/>
              </w:rPr>
              <w:t xml:space="preserve">  201</w:t>
            </w:r>
            <w:r w:rsidR="00CB1E71">
              <w:rPr>
                <w:b w:val="0"/>
                <w:sz w:val="20"/>
              </w:rPr>
              <w:t>8</w:t>
            </w:r>
            <w:r w:rsidRPr="00183F4C">
              <w:rPr>
                <w:b w:val="0"/>
                <w:sz w:val="20"/>
              </w:rPr>
              <w:t>-</w:t>
            </w:r>
            <w:r w:rsidR="00CB1E71">
              <w:rPr>
                <w:b w:val="0"/>
                <w:sz w:val="20"/>
              </w:rPr>
              <w:t>11</w:t>
            </w:r>
            <w:r>
              <w:rPr>
                <w:rFonts w:hint="eastAsia"/>
                <w:b w:val="0"/>
                <w:sz w:val="20"/>
                <w:lang w:eastAsia="ko-KR"/>
              </w:rPr>
              <w:t>-</w:t>
            </w:r>
            <w:r w:rsidR="00916F77">
              <w:rPr>
                <w:b w:val="0"/>
                <w:sz w:val="20"/>
                <w:lang w:eastAsia="ko-KR"/>
              </w:rPr>
              <w:t>1</w:t>
            </w:r>
            <w:r w:rsidR="00CB1E71">
              <w:rPr>
                <w:b w:val="0"/>
                <w:sz w:val="20"/>
                <w:lang w:eastAsia="ko-KR"/>
              </w:rPr>
              <w:t>2</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063267" w:rsidRPr="00183F4C" w:rsidTr="00D74DE9">
        <w:trPr>
          <w:trHeight w:val="359"/>
          <w:jc w:val="center"/>
        </w:trPr>
        <w:tc>
          <w:tcPr>
            <w:tcW w:w="1548" w:type="dxa"/>
            <w:vAlign w:val="center"/>
          </w:tcPr>
          <w:p w:rsidR="00063267" w:rsidRDefault="007F0F55" w:rsidP="007F0F55">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063267" w:rsidRPr="00E11B87" w:rsidRDefault="00063267" w:rsidP="00063267">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063267" w:rsidRPr="00CA6604" w:rsidRDefault="00063267" w:rsidP="00063267">
            <w:pPr>
              <w:pStyle w:val="T2"/>
              <w:spacing w:after="0"/>
              <w:ind w:left="0" w:right="0"/>
              <w:jc w:val="left"/>
              <w:rPr>
                <w:rStyle w:val="a6"/>
              </w:rPr>
            </w:pPr>
          </w:p>
        </w:tc>
        <w:tc>
          <w:tcPr>
            <w:tcW w:w="2358" w:type="dxa"/>
            <w:vAlign w:val="center"/>
          </w:tcPr>
          <w:p w:rsidR="00063267" w:rsidRDefault="00227EFD" w:rsidP="00063267">
            <w:pPr>
              <w:pStyle w:val="T2"/>
              <w:spacing w:after="0"/>
              <w:ind w:left="0" w:right="0"/>
              <w:jc w:val="left"/>
              <w:rPr>
                <w:lang w:eastAsia="ko-KR"/>
              </w:rPr>
            </w:pPr>
            <w:r>
              <w:rPr>
                <w:rStyle w:val="a6"/>
                <w:b w:val="0"/>
                <w:sz w:val="18"/>
              </w:rPr>
              <w:t xml:space="preserve">jeongki.kim@lge.com </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w:t>
      </w:r>
      <w:r w:rsidR="00CB1E71">
        <w:rPr>
          <w:sz w:val="22"/>
          <w:szCs w:val="22"/>
          <w:lang w:eastAsia="ko-KR"/>
        </w:rPr>
        <w:t>ba</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rsidR="00AC3A4B" w:rsidRDefault="00837E98" w:rsidP="00AD1291">
      <w:pPr>
        <w:pStyle w:val="af"/>
        <w:numPr>
          <w:ilvl w:val="0"/>
          <w:numId w:val="10"/>
        </w:numPr>
        <w:ind w:leftChars="0"/>
        <w:jc w:val="both"/>
      </w:pPr>
      <w:r w:rsidRPr="00837E98">
        <w:rPr>
          <w:sz w:val="22"/>
          <w:szCs w:val="22"/>
          <w:lang w:val="en-US" w:eastAsia="ko-KR"/>
        </w:rPr>
        <w:t>4</w:t>
      </w:r>
      <w:r w:rsidR="00227EFD" w:rsidRPr="00837E98">
        <w:rPr>
          <w:sz w:val="22"/>
          <w:szCs w:val="22"/>
          <w:lang w:val="en-US" w:eastAsia="ko-KR"/>
        </w:rPr>
        <w:t xml:space="preserve"> </w:t>
      </w:r>
      <w:r w:rsidR="00C71470" w:rsidRPr="00837E98">
        <w:rPr>
          <w:sz w:val="22"/>
          <w:szCs w:val="22"/>
          <w:lang w:val="en-US" w:eastAsia="ko-KR"/>
        </w:rPr>
        <w:t>CIDs</w:t>
      </w:r>
      <w:r w:rsidR="00F937B4" w:rsidRPr="00837E98">
        <w:rPr>
          <w:sz w:val="22"/>
          <w:szCs w:val="22"/>
          <w:lang w:val="en-US" w:eastAsia="ko-KR"/>
        </w:rPr>
        <w:t xml:space="preserve">: </w:t>
      </w:r>
      <w:r w:rsidR="007F0F55" w:rsidRPr="00837E98">
        <w:rPr>
          <w:sz w:val="22"/>
          <w:szCs w:val="22"/>
          <w:lang w:val="en-US" w:eastAsia="ko-KR"/>
        </w:rPr>
        <w:t>359, 567, 982, 1027</w:t>
      </w:r>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1E71">
        <w:rPr>
          <w:lang w:eastAsia="ko-KR"/>
        </w:rPr>
        <w:t>b</w:t>
      </w:r>
      <w:r w:rsidRPr="004F3AF6">
        <w:rPr>
          <w:lang w:eastAsia="ko-KR"/>
        </w:rPr>
        <w:t>a</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w:t>
      </w:r>
    </w:p>
    <w:p w:rsidR="0053566B" w:rsidRDefault="0053566B" w:rsidP="00F2637D"/>
    <w:p w:rsidR="00C82A9D" w:rsidRDefault="00E967B5" w:rsidP="00C82A9D">
      <w:pPr>
        <w:pStyle w:val="1"/>
        <w:rPr>
          <w:lang w:eastAsia="ko-KR"/>
        </w:rPr>
      </w:pPr>
      <w:r>
        <w:rPr>
          <w:lang w:eastAsia="ko-KR"/>
        </w:rPr>
        <w:t>WUR Mode</w:t>
      </w:r>
      <w:r w:rsidR="00CB1E71">
        <w:rPr>
          <w:lang w:eastAsia="ko-KR"/>
        </w:rPr>
        <w:t xml:space="preserve"> Element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7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72"/>
      </w:tblGrid>
      <w:tr w:rsidR="00C71470" w:rsidRPr="00B4526A" w:rsidTr="0085058C">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359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28.48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Reorder the type values so they are grouped better. It should be 0</w:t>
            </w:r>
            <w:proofErr w:type="gramStart"/>
            <w:r>
              <w:rPr>
                <w:rFonts w:ascii="Arial" w:hAnsi="Arial" w:cs="Arial"/>
                <w:sz w:val="20"/>
              </w:rPr>
              <w:t>,1,5,2,3,4</w:t>
            </w:r>
            <w:proofErr w:type="gramEnd"/>
            <w:r>
              <w:rPr>
                <w:rFonts w:ascii="Arial" w:hAnsi="Arial" w:cs="Arial"/>
                <w:sz w:val="20"/>
              </w:rPr>
              <w: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The order of the table is confusing. Reorder to: "0 Mode Request, 1 Mode Response, 2 Mode, 3 Suspend Request, 4,Suspend Response, 5, Suspend"</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95DA4" w:rsidP="007F0F55">
            <w:pPr>
              <w:rPr>
                <w:rFonts w:ascii="Arial" w:hAnsi="Arial" w:cs="Arial"/>
                <w:sz w:val="20"/>
                <w:lang w:eastAsia="ko-KR"/>
              </w:rPr>
            </w:pPr>
            <w:r>
              <w:rPr>
                <w:rFonts w:ascii="Arial" w:hAnsi="Arial" w:cs="Arial"/>
                <w:sz w:val="20"/>
                <w:lang w:eastAsia="ko-KR"/>
              </w:rPr>
              <w:t>Rejected.</w:t>
            </w:r>
          </w:p>
          <w:p w:rsidR="00795DA4" w:rsidRDefault="00795DA4" w:rsidP="007F0F55">
            <w:pPr>
              <w:rPr>
                <w:rFonts w:ascii="Arial" w:hAnsi="Arial" w:cs="Arial"/>
                <w:sz w:val="20"/>
                <w:lang w:eastAsia="ko-KR"/>
              </w:rPr>
            </w:pPr>
            <w:r>
              <w:rPr>
                <w:rFonts w:ascii="Arial" w:hAnsi="Arial" w:cs="Arial"/>
                <w:sz w:val="20"/>
                <w:lang w:eastAsia="ko-KR"/>
              </w:rPr>
              <w:t xml:space="preserve">Order of the table is not a problem. </w:t>
            </w:r>
          </w:p>
          <w:p w:rsidR="00795DA4" w:rsidRPr="00277370" w:rsidRDefault="00795DA4" w:rsidP="007F0F55">
            <w:pPr>
              <w:rPr>
                <w:rFonts w:ascii="Arial" w:hAnsi="Arial" w:cs="Arial"/>
                <w:sz w:val="20"/>
              </w:rPr>
            </w:pPr>
            <w:r>
              <w:rPr>
                <w:rFonts w:ascii="Arial" w:hAnsi="Arial" w:cs="Arial"/>
                <w:sz w:val="20"/>
                <w:lang w:eastAsia="ko-KR"/>
              </w:rPr>
              <w:t>A figure would be added to describe the table more detail.</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567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30.06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 xml:space="preserve">Table 9-318c and 9-318e may not be present for all </w:t>
            </w:r>
            <w:proofErr w:type="spellStart"/>
            <w:r>
              <w:rPr>
                <w:rFonts w:ascii="Arial" w:hAnsi="Arial" w:cs="Arial"/>
                <w:sz w:val="20"/>
              </w:rPr>
              <w:t>wur</w:t>
            </w:r>
            <w:proofErr w:type="spellEnd"/>
            <w:r>
              <w:rPr>
                <w:rFonts w:ascii="Arial" w:hAnsi="Arial" w:cs="Arial"/>
                <w:sz w:val="20"/>
              </w:rPr>
              <w:t xml:space="preserve"> action types. E.g. Enter WUR mode, Enter WUR Suspend, or action types is response and response status is denied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adds a sentence to say 'WUR Parameters field is not present in WUR mode element when Action type is either Enter WUR mode Suspend Request,  Enter WUR mode Suspend Response, Enter WUR mode, Enter WUR Mode Suspend,, or when WUR Mode Response Status subfield indicates denied"</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EE07C6" w:rsidP="007F0F55">
            <w:pPr>
              <w:rPr>
                <w:rFonts w:ascii="Arial" w:hAnsi="Arial" w:cs="Arial"/>
                <w:sz w:val="20"/>
                <w:lang w:eastAsia="ko-KR"/>
              </w:rPr>
            </w:pPr>
            <w:r>
              <w:rPr>
                <w:rFonts w:ascii="Arial" w:hAnsi="Arial" w:cs="Arial" w:hint="eastAsia"/>
                <w:sz w:val="20"/>
                <w:lang w:eastAsia="ko-KR"/>
              </w:rPr>
              <w:t>Revised.</w:t>
            </w:r>
          </w:p>
          <w:p w:rsidR="00EE07C6" w:rsidRDefault="002E4F03" w:rsidP="007F0F55">
            <w:pPr>
              <w:rPr>
                <w:rFonts w:ascii="Arial" w:hAnsi="Arial" w:cs="Arial"/>
                <w:sz w:val="20"/>
                <w:lang w:eastAsia="ko-KR"/>
              </w:rPr>
            </w:pPr>
            <w:r>
              <w:rPr>
                <w:rFonts w:ascii="Arial" w:hAnsi="Arial" w:cs="Arial" w:hint="eastAsia"/>
                <w:sz w:val="20"/>
                <w:lang w:eastAsia="ko-KR"/>
              </w:rPr>
              <w:t xml:space="preserve">Agreed in </w:t>
            </w:r>
            <w:proofErr w:type="spellStart"/>
            <w:r>
              <w:rPr>
                <w:rFonts w:ascii="Arial" w:hAnsi="Arial" w:cs="Arial" w:hint="eastAsia"/>
                <w:sz w:val="20"/>
                <w:lang w:eastAsia="ko-KR"/>
              </w:rPr>
              <w:t>pri</w:t>
            </w:r>
            <w:r>
              <w:rPr>
                <w:rFonts w:ascii="Arial" w:hAnsi="Arial" w:cs="Arial"/>
                <w:sz w:val="20"/>
                <w:lang w:eastAsia="ko-KR"/>
              </w:rPr>
              <w:t>ciple</w:t>
            </w:r>
            <w:proofErr w:type="spellEnd"/>
            <w:r>
              <w:rPr>
                <w:rFonts w:ascii="Arial" w:hAnsi="Arial" w:cs="Arial"/>
                <w:sz w:val="20"/>
                <w:lang w:eastAsia="ko-KR"/>
              </w:rPr>
              <w:t>.</w:t>
            </w:r>
          </w:p>
          <w:p w:rsidR="00EE07C6" w:rsidRDefault="00551C01" w:rsidP="007F0F55">
            <w:pPr>
              <w:rPr>
                <w:rFonts w:ascii="Arial" w:hAnsi="Arial" w:cs="Arial"/>
                <w:sz w:val="20"/>
                <w:lang w:eastAsia="ko-KR"/>
              </w:rPr>
            </w:pPr>
            <w:r>
              <w:rPr>
                <w:rFonts w:ascii="Arial" w:hAnsi="Arial" w:cs="Arial" w:hint="eastAsia"/>
                <w:sz w:val="20"/>
                <w:lang w:eastAsia="ko-KR"/>
              </w:rPr>
              <w:t xml:space="preserve">Presence of WUR Parameters field should be </w:t>
            </w:r>
            <w:proofErr w:type="spellStart"/>
            <w:r>
              <w:rPr>
                <w:rFonts w:ascii="Arial" w:hAnsi="Arial" w:cs="Arial" w:hint="eastAsia"/>
                <w:sz w:val="20"/>
                <w:lang w:eastAsia="ko-KR"/>
              </w:rPr>
              <w:t>decribed</w:t>
            </w:r>
            <w:proofErr w:type="spellEnd"/>
            <w:r>
              <w:rPr>
                <w:rFonts w:ascii="Arial" w:hAnsi="Arial" w:cs="Arial" w:hint="eastAsia"/>
                <w:sz w:val="20"/>
                <w:lang w:eastAsia="ko-KR"/>
              </w:rPr>
              <w:t xml:space="preserve">. </w:t>
            </w:r>
          </w:p>
          <w:p w:rsidR="00CB6D27" w:rsidRDefault="00CB6D27" w:rsidP="007F0F55">
            <w:pPr>
              <w:rPr>
                <w:rFonts w:ascii="Arial" w:hAnsi="Arial" w:cs="Arial"/>
                <w:sz w:val="20"/>
                <w:lang w:eastAsia="ko-KR"/>
              </w:rPr>
            </w:pPr>
          </w:p>
          <w:p w:rsidR="00551C01" w:rsidRPr="00277370" w:rsidRDefault="00551C01" w:rsidP="007F0F55">
            <w:pPr>
              <w:rPr>
                <w:rFonts w:ascii="Arial" w:hAnsi="Arial" w:cs="Arial"/>
                <w:sz w:val="20"/>
                <w:lang w:eastAsia="ko-KR"/>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r w:rsidR="00F97CB1">
              <w:rPr>
                <w:rFonts w:ascii="Arial" w:hAnsi="Arial" w:cs="Arial"/>
                <w:sz w:val="20"/>
                <w:lang w:eastAsia="ko-KR"/>
              </w:rPr>
              <w:t>1865</w:t>
            </w:r>
            <w:r w:rsidR="00F97CB1" w:rsidRPr="0057443F">
              <w:rPr>
                <w:rFonts w:ascii="Arial" w:hAnsi="Arial" w:cs="Arial"/>
                <w:sz w:val="20"/>
                <w:lang w:eastAsia="ko-KR"/>
              </w:rPr>
              <w:t>r0</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982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29.06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If the STA requests to enter WUR mode, the AP can reject it because the AP has a lot of buffered BUs for the STA. It is inefficient for a STA to operate in WUR mode when it has a lot of buffered BU.</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Add one more value for "Denied, AP has buffered BU for the STA".</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57443F" w:rsidP="007F0F55">
            <w:pPr>
              <w:rPr>
                <w:rFonts w:ascii="Arial" w:hAnsi="Arial" w:cs="Arial"/>
                <w:sz w:val="20"/>
                <w:lang w:eastAsia="ko-KR"/>
              </w:rPr>
            </w:pPr>
            <w:r>
              <w:rPr>
                <w:rFonts w:ascii="Arial" w:hAnsi="Arial" w:cs="Arial" w:hint="eastAsia"/>
                <w:sz w:val="20"/>
                <w:lang w:eastAsia="ko-KR"/>
              </w:rPr>
              <w:t>Revised.</w:t>
            </w:r>
          </w:p>
          <w:p w:rsidR="0057443F" w:rsidRDefault="006428A3" w:rsidP="007F0F55">
            <w:pPr>
              <w:rPr>
                <w:rFonts w:ascii="Arial" w:hAnsi="Arial" w:cs="Arial"/>
                <w:sz w:val="20"/>
                <w:lang w:eastAsia="ko-KR"/>
              </w:rPr>
            </w:pPr>
            <w:r>
              <w:rPr>
                <w:rFonts w:ascii="Arial" w:hAnsi="Arial" w:cs="Arial" w:hint="eastAsia"/>
                <w:sz w:val="20"/>
                <w:lang w:eastAsia="ko-KR"/>
              </w:rPr>
              <w:t xml:space="preserve">Agreed in </w:t>
            </w:r>
            <w:proofErr w:type="spellStart"/>
            <w:r>
              <w:rPr>
                <w:rFonts w:ascii="Arial" w:hAnsi="Arial" w:cs="Arial" w:hint="eastAsia"/>
                <w:sz w:val="20"/>
                <w:lang w:eastAsia="ko-KR"/>
              </w:rPr>
              <w:t>priciple</w:t>
            </w:r>
            <w:proofErr w:type="spellEnd"/>
            <w:r>
              <w:rPr>
                <w:rFonts w:ascii="Arial" w:hAnsi="Arial" w:cs="Arial" w:hint="eastAsia"/>
                <w:sz w:val="20"/>
                <w:lang w:eastAsia="ko-KR"/>
              </w:rPr>
              <w:t>.</w:t>
            </w:r>
          </w:p>
          <w:p w:rsidR="006428A3" w:rsidRDefault="006428A3" w:rsidP="00A2258A">
            <w:pPr>
              <w:rPr>
                <w:rFonts w:ascii="Arial" w:hAnsi="Arial" w:cs="Arial"/>
                <w:sz w:val="20"/>
                <w:lang w:eastAsia="ko-KR"/>
              </w:rPr>
            </w:pPr>
            <w:r>
              <w:rPr>
                <w:rFonts w:ascii="Arial" w:hAnsi="Arial" w:cs="Arial"/>
                <w:sz w:val="20"/>
                <w:lang w:eastAsia="ko-KR"/>
              </w:rPr>
              <w:t xml:space="preserve">That denial reason </w:t>
            </w:r>
            <w:r w:rsidR="00A2258A">
              <w:rPr>
                <w:rFonts w:ascii="Arial" w:hAnsi="Arial" w:cs="Arial"/>
                <w:sz w:val="20"/>
                <w:lang w:eastAsia="ko-KR"/>
              </w:rPr>
              <w:t>should be</w:t>
            </w:r>
            <w:r>
              <w:rPr>
                <w:rFonts w:ascii="Arial" w:hAnsi="Arial" w:cs="Arial"/>
                <w:sz w:val="20"/>
                <w:lang w:eastAsia="ko-KR"/>
              </w:rPr>
              <w:t xml:space="preserve"> added. </w:t>
            </w:r>
          </w:p>
          <w:p w:rsidR="00A2258A" w:rsidRDefault="00A2258A" w:rsidP="00A2258A">
            <w:pPr>
              <w:rPr>
                <w:rFonts w:ascii="Arial" w:hAnsi="Arial" w:cs="Arial"/>
                <w:sz w:val="20"/>
                <w:lang w:eastAsia="ko-KR"/>
              </w:rPr>
            </w:pPr>
          </w:p>
          <w:p w:rsidR="00A2258A" w:rsidRPr="00277370" w:rsidRDefault="00A2258A" w:rsidP="00A2258A">
            <w:pPr>
              <w:rPr>
                <w:rFonts w:ascii="Arial" w:hAnsi="Arial" w:cs="Arial"/>
                <w:sz w:val="20"/>
                <w:lang w:eastAsia="ko-KR"/>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r w:rsidR="00F97CB1">
              <w:rPr>
                <w:rFonts w:ascii="Arial" w:hAnsi="Arial" w:cs="Arial"/>
                <w:sz w:val="20"/>
                <w:lang w:eastAsia="ko-KR"/>
              </w:rPr>
              <w:t>1865</w:t>
            </w:r>
            <w:r w:rsidR="00F97CB1" w:rsidRPr="0057443F">
              <w:rPr>
                <w:rFonts w:ascii="Arial" w:hAnsi="Arial" w:cs="Arial"/>
                <w:sz w:val="20"/>
                <w:lang w:eastAsia="ko-KR"/>
              </w:rPr>
              <w:t>r0</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1027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28.00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From the procedure point of view, it is possible to assign WUR ID during association. Also the other parameters can be set during association as an initial value. Why not allow WUR Mode element in Association/</w:t>
            </w:r>
            <w:proofErr w:type="spellStart"/>
            <w:r>
              <w:rPr>
                <w:rFonts w:ascii="Arial" w:hAnsi="Arial" w:cs="Arial"/>
                <w:sz w:val="20"/>
              </w:rPr>
              <w:t>Reassociation</w:t>
            </w:r>
            <w:proofErr w:type="spellEnd"/>
            <w:r>
              <w:rPr>
                <w:rFonts w:ascii="Arial" w:hAnsi="Arial" w:cs="Arial"/>
                <w:sz w:val="20"/>
              </w:rPr>
              <w:t xml:space="preserve"> Response frames?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5D286F" w:rsidP="007F0F55">
            <w:pPr>
              <w:rPr>
                <w:rFonts w:ascii="Arial" w:hAnsi="Arial" w:cs="Arial"/>
                <w:sz w:val="20"/>
                <w:lang w:eastAsia="ko-KR"/>
              </w:rPr>
            </w:pPr>
            <w:r>
              <w:rPr>
                <w:rFonts w:ascii="Arial" w:hAnsi="Arial" w:cs="Arial"/>
                <w:sz w:val="20"/>
                <w:lang w:eastAsia="ko-KR"/>
              </w:rPr>
              <w:t>Rejected.</w:t>
            </w:r>
          </w:p>
          <w:p w:rsidR="005D286F" w:rsidRDefault="005D286F" w:rsidP="007F0F55">
            <w:pPr>
              <w:rPr>
                <w:rFonts w:ascii="Arial" w:hAnsi="Arial" w:cs="Arial"/>
                <w:sz w:val="20"/>
                <w:lang w:eastAsia="ko-KR"/>
              </w:rPr>
            </w:pPr>
            <w:r>
              <w:rPr>
                <w:rFonts w:ascii="Arial" w:hAnsi="Arial" w:cs="Arial"/>
                <w:sz w:val="20"/>
                <w:lang w:eastAsia="ko-KR"/>
              </w:rPr>
              <w:t xml:space="preserve">There is no performance gain when WUR ID is assigned during </w:t>
            </w:r>
            <w:proofErr w:type="spellStart"/>
            <w:r>
              <w:rPr>
                <w:rFonts w:ascii="Arial" w:hAnsi="Arial" w:cs="Arial"/>
                <w:sz w:val="20"/>
                <w:lang w:eastAsia="ko-KR"/>
              </w:rPr>
              <w:t>associatoin</w:t>
            </w:r>
            <w:proofErr w:type="spellEnd"/>
            <w:r>
              <w:rPr>
                <w:rFonts w:ascii="Arial" w:hAnsi="Arial" w:cs="Arial"/>
                <w:sz w:val="20"/>
                <w:lang w:eastAsia="ko-KR"/>
              </w:rPr>
              <w:t xml:space="preserve">. </w:t>
            </w:r>
          </w:p>
          <w:p w:rsidR="006B25B5" w:rsidRPr="00277370" w:rsidRDefault="006B25B5" w:rsidP="007F0F55">
            <w:pPr>
              <w:rPr>
                <w:rFonts w:ascii="Arial" w:hAnsi="Arial" w:cs="Arial"/>
                <w:sz w:val="20"/>
              </w:rPr>
            </w:pPr>
          </w:p>
        </w:tc>
      </w:tr>
    </w:tbl>
    <w:p w:rsidR="00387B8C" w:rsidRDefault="00387B8C" w:rsidP="00F937B4">
      <w:pPr>
        <w:pStyle w:val="T"/>
        <w:rPr>
          <w:rFonts w:eastAsiaTheme="minorEastAsia"/>
          <w:b/>
          <w:bCs/>
          <w:iCs/>
          <w:sz w:val="22"/>
          <w:szCs w:val="22"/>
          <w:lang w:val="en-GB" w:eastAsia="ko-KR"/>
        </w:rPr>
      </w:pPr>
    </w:p>
    <w:p w:rsidR="00837E98" w:rsidRDefault="00837E98" w:rsidP="00F937B4">
      <w:pPr>
        <w:pStyle w:val="T"/>
        <w:rPr>
          <w:rFonts w:eastAsiaTheme="minorEastAsia"/>
          <w:b/>
          <w:bCs/>
          <w:iCs/>
          <w:sz w:val="22"/>
          <w:szCs w:val="22"/>
          <w:lang w:val="en-GB" w:eastAsia="ko-KR"/>
        </w:rPr>
      </w:pPr>
    </w:p>
    <w:p w:rsidR="008B78D0" w:rsidRDefault="008B78D0" w:rsidP="008B78D0">
      <w:pPr>
        <w:pStyle w:val="T"/>
        <w:rPr>
          <w:b/>
          <w:bCs/>
        </w:rPr>
      </w:pPr>
      <w:r w:rsidRPr="00E518D4">
        <w:rPr>
          <w:b/>
          <w:bCs/>
        </w:rPr>
        <w:lastRenderedPageBreak/>
        <w:t>9.4.2.27</w:t>
      </w:r>
      <w:r>
        <w:rPr>
          <w:b/>
          <w:bCs/>
        </w:rPr>
        <w:t>3</w:t>
      </w:r>
      <w:r w:rsidRPr="00E518D4">
        <w:rPr>
          <w:b/>
          <w:bCs/>
        </w:rPr>
        <w:t xml:space="preserve"> WUR</w:t>
      </w:r>
      <w:r>
        <w:rPr>
          <w:b/>
          <w:bCs/>
        </w:rPr>
        <w:t xml:space="preserve"> Mode</w:t>
      </w:r>
      <w:r w:rsidRPr="00E518D4">
        <w:rPr>
          <w:b/>
          <w:bCs/>
        </w:rPr>
        <w:t xml:space="preserve"> element</w:t>
      </w:r>
    </w:p>
    <w:p w:rsidR="00227EFD" w:rsidRDefault="00227EFD" w:rsidP="00227EFD">
      <w:pPr>
        <w:rPr>
          <w:rFonts w:eastAsia="Times New Roman"/>
          <w:b/>
          <w:color w:val="000000"/>
          <w:sz w:val="20"/>
          <w:highlight w:val="yellow"/>
          <w:lang w:val="en-US"/>
        </w:rPr>
      </w:pPr>
    </w:p>
    <w:p w:rsidR="00BC3EB6" w:rsidRDefault="00BC3EB6" w:rsidP="00E967B5">
      <w:pPr>
        <w:pStyle w:val="Default"/>
      </w:pPr>
    </w:p>
    <w:p w:rsidR="00F17F9B" w:rsidRDefault="00F17F9B" w:rsidP="00F17F9B">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 xml:space="preserve">the Table 9-318b </w:t>
      </w:r>
      <w:r w:rsidRPr="00A13054">
        <w:rPr>
          <w:b/>
          <w:bCs/>
          <w:sz w:val="20"/>
          <w:highlight w:val="yellow"/>
        </w:rPr>
        <w:t>as follows</w:t>
      </w:r>
      <w:r>
        <w:rPr>
          <w:b/>
          <w:bCs/>
          <w:sz w:val="20"/>
          <w:highlight w:val="yellow"/>
        </w:rPr>
        <w:t xml:space="preserve"> </w:t>
      </w:r>
      <w:r w:rsidRPr="00CB6D27">
        <w:rPr>
          <w:b/>
          <w:bCs/>
          <w:sz w:val="20"/>
          <w:highlight w:val="yellow"/>
        </w:rPr>
        <w:t>[982]</w:t>
      </w:r>
      <w:r w:rsidRPr="007D2B52">
        <w:rPr>
          <w:b/>
          <w:bCs/>
          <w:sz w:val="20"/>
          <w:highlight w:val="yellow"/>
        </w:rPr>
        <w:t>:</w:t>
      </w:r>
    </w:p>
    <w:p w:rsidR="00BC3EB6" w:rsidRPr="006F078D" w:rsidRDefault="00BC3EB6" w:rsidP="00BC3EB6">
      <w:pPr>
        <w:pStyle w:val="T"/>
        <w:jc w:val="center"/>
        <w:rPr>
          <w:b/>
          <w:bCs/>
        </w:rPr>
      </w:pPr>
      <w:r w:rsidRPr="006F078D">
        <w:rPr>
          <w:b/>
          <w:bCs/>
        </w:rPr>
        <w:t>Table 9-318b— WUR Mode Response Status Definition</w:t>
      </w:r>
    </w:p>
    <w:tbl>
      <w:tblPr>
        <w:tblStyle w:val="a7"/>
        <w:tblpPr w:leftFromText="142" w:rightFromText="142" w:vertAnchor="text" w:horzAnchor="page" w:tblpX="4024" w:tblpY="43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59"/>
        <w:gridCol w:w="2279"/>
      </w:tblGrid>
      <w:tr w:rsidR="00BC3EB6" w:rsidTr="00C625E1">
        <w:trPr>
          <w:trHeight w:val="258"/>
        </w:trPr>
        <w:tc>
          <w:tcPr>
            <w:tcW w:w="1959" w:type="dxa"/>
            <w:vAlign w:val="center"/>
          </w:tcPr>
          <w:p w:rsidR="00BC3EB6" w:rsidRDefault="00BC3EB6" w:rsidP="00C625E1">
            <w:pPr>
              <w:pStyle w:val="T"/>
              <w:spacing w:before="0"/>
              <w:jc w:val="center"/>
              <w:rPr>
                <w:rFonts w:eastAsiaTheme="minorEastAsia"/>
                <w:b/>
                <w:bCs/>
                <w:iCs/>
                <w:sz w:val="22"/>
                <w:szCs w:val="22"/>
                <w:lang w:val="en-GB" w:eastAsia="ko-KR"/>
              </w:rPr>
            </w:pPr>
            <w:r>
              <w:rPr>
                <w:b/>
                <w:bCs/>
                <w:sz w:val="18"/>
                <w:szCs w:val="18"/>
              </w:rPr>
              <w:t>Value</w:t>
            </w:r>
          </w:p>
        </w:tc>
        <w:tc>
          <w:tcPr>
            <w:tcW w:w="2279" w:type="dxa"/>
            <w:vAlign w:val="center"/>
          </w:tcPr>
          <w:p w:rsidR="00BC3EB6" w:rsidRDefault="00BC3EB6" w:rsidP="00C625E1">
            <w:pPr>
              <w:pStyle w:val="T"/>
              <w:spacing w:before="0"/>
              <w:jc w:val="left"/>
              <w:rPr>
                <w:rFonts w:eastAsiaTheme="minorEastAsia"/>
                <w:b/>
                <w:bCs/>
                <w:iCs/>
                <w:sz w:val="22"/>
                <w:szCs w:val="22"/>
                <w:lang w:val="en-GB" w:eastAsia="ko-KR"/>
              </w:rPr>
            </w:pPr>
            <w:r>
              <w:rPr>
                <w:b/>
                <w:bCs/>
                <w:sz w:val="18"/>
                <w:szCs w:val="18"/>
              </w:rPr>
              <w:t>Meaning</w:t>
            </w:r>
          </w:p>
        </w:tc>
      </w:tr>
      <w:tr w:rsidR="00BC3EB6" w:rsidTr="00C625E1">
        <w:trPr>
          <w:trHeight w:val="414"/>
        </w:trPr>
        <w:tc>
          <w:tcPr>
            <w:tcW w:w="1959" w:type="dxa"/>
            <w:vAlign w:val="center"/>
          </w:tcPr>
          <w:p w:rsidR="00BC3EB6" w:rsidRPr="008B78D0" w:rsidRDefault="00BC3EB6" w:rsidP="00C625E1">
            <w:pPr>
              <w:pStyle w:val="T"/>
              <w:spacing w:before="0"/>
              <w:jc w:val="center"/>
              <w:rPr>
                <w:rFonts w:eastAsiaTheme="minorEastAsia"/>
                <w:bCs/>
                <w:iCs/>
                <w:sz w:val="18"/>
                <w:szCs w:val="22"/>
                <w:lang w:val="en-GB" w:eastAsia="ko-KR"/>
              </w:rPr>
            </w:pPr>
            <w:r w:rsidRPr="008B78D0">
              <w:rPr>
                <w:rFonts w:eastAsiaTheme="minorEastAsia" w:hint="eastAsia"/>
                <w:bCs/>
                <w:iCs/>
                <w:sz w:val="18"/>
                <w:szCs w:val="22"/>
                <w:lang w:val="en-GB" w:eastAsia="ko-KR"/>
              </w:rPr>
              <w:t>0</w:t>
            </w:r>
          </w:p>
        </w:tc>
        <w:tc>
          <w:tcPr>
            <w:tcW w:w="2279" w:type="dxa"/>
            <w:vAlign w:val="center"/>
          </w:tcPr>
          <w:p w:rsidR="00BC3EB6" w:rsidRPr="008B78D0" w:rsidRDefault="00BC3EB6" w:rsidP="00C625E1">
            <w:pPr>
              <w:pStyle w:val="T"/>
              <w:spacing w:before="0"/>
              <w:rPr>
                <w:rFonts w:eastAsiaTheme="minorEastAsia"/>
                <w:bCs/>
                <w:iCs/>
                <w:sz w:val="18"/>
                <w:szCs w:val="22"/>
                <w:lang w:val="en-GB" w:eastAsia="ko-KR"/>
              </w:rPr>
            </w:pPr>
            <w:r>
              <w:rPr>
                <w:rFonts w:eastAsiaTheme="minorEastAsia"/>
                <w:bCs/>
                <w:iCs/>
                <w:sz w:val="18"/>
                <w:szCs w:val="22"/>
                <w:lang w:val="en-GB" w:eastAsia="ko-KR"/>
              </w:rPr>
              <w:t>Accept</w:t>
            </w:r>
          </w:p>
        </w:tc>
      </w:tr>
      <w:tr w:rsidR="00BC3EB6" w:rsidTr="00C625E1">
        <w:trPr>
          <w:trHeight w:val="546"/>
        </w:trPr>
        <w:tc>
          <w:tcPr>
            <w:tcW w:w="1959" w:type="dxa"/>
            <w:vAlign w:val="center"/>
          </w:tcPr>
          <w:p w:rsidR="00BC3EB6" w:rsidRPr="008B78D0" w:rsidRDefault="00BC3EB6" w:rsidP="00C625E1">
            <w:pPr>
              <w:pStyle w:val="T"/>
              <w:spacing w:before="0"/>
              <w:jc w:val="center"/>
              <w:rPr>
                <w:rFonts w:eastAsiaTheme="minorEastAsia"/>
                <w:bCs/>
                <w:iCs/>
                <w:sz w:val="18"/>
                <w:szCs w:val="22"/>
                <w:lang w:val="en-GB" w:eastAsia="ko-KR"/>
              </w:rPr>
            </w:pPr>
            <w:r w:rsidRPr="008B78D0">
              <w:rPr>
                <w:rFonts w:eastAsiaTheme="minorEastAsia" w:hint="eastAsia"/>
                <w:bCs/>
                <w:iCs/>
                <w:sz w:val="18"/>
                <w:szCs w:val="22"/>
                <w:lang w:val="en-GB" w:eastAsia="ko-KR"/>
              </w:rPr>
              <w:t>1</w:t>
            </w:r>
          </w:p>
        </w:tc>
        <w:tc>
          <w:tcPr>
            <w:tcW w:w="2279" w:type="dxa"/>
            <w:vAlign w:val="center"/>
          </w:tcPr>
          <w:p w:rsidR="00BC3EB6" w:rsidRPr="008B78D0" w:rsidRDefault="00BC3EB6" w:rsidP="00C625E1">
            <w:pPr>
              <w:pStyle w:val="T"/>
              <w:spacing w:before="0"/>
              <w:rPr>
                <w:rFonts w:eastAsiaTheme="minorEastAsia"/>
                <w:bCs/>
                <w:iCs/>
                <w:sz w:val="18"/>
                <w:szCs w:val="22"/>
                <w:lang w:val="en-GB" w:eastAsia="ko-KR"/>
              </w:rPr>
            </w:pPr>
            <w:r>
              <w:rPr>
                <w:rFonts w:eastAsiaTheme="minorEastAsia"/>
                <w:bCs/>
                <w:iCs/>
                <w:sz w:val="18"/>
                <w:szCs w:val="22"/>
                <w:lang w:val="en-GB" w:eastAsia="ko-KR"/>
              </w:rPr>
              <w:t>Denied, due to unspecified reason</w:t>
            </w:r>
          </w:p>
        </w:tc>
      </w:tr>
      <w:tr w:rsidR="00BC3EB6" w:rsidTr="00C625E1">
        <w:trPr>
          <w:trHeight w:val="546"/>
        </w:trPr>
        <w:tc>
          <w:tcPr>
            <w:tcW w:w="1959" w:type="dxa"/>
            <w:vAlign w:val="center"/>
          </w:tcPr>
          <w:p w:rsidR="00BC3EB6" w:rsidRPr="008B78D0" w:rsidRDefault="00BC3EB6" w:rsidP="00C625E1">
            <w:pPr>
              <w:pStyle w:val="T"/>
              <w:spacing w:before="0"/>
              <w:jc w:val="center"/>
              <w:rPr>
                <w:rFonts w:eastAsiaTheme="minorEastAsia"/>
                <w:bCs/>
                <w:iCs/>
                <w:sz w:val="18"/>
                <w:szCs w:val="22"/>
                <w:lang w:val="en-GB" w:eastAsia="ko-KR"/>
              </w:rPr>
            </w:pPr>
            <w:r w:rsidRPr="008B78D0">
              <w:rPr>
                <w:rFonts w:eastAsiaTheme="minorEastAsia" w:hint="eastAsia"/>
                <w:bCs/>
                <w:iCs/>
                <w:sz w:val="18"/>
                <w:szCs w:val="22"/>
                <w:lang w:val="en-GB" w:eastAsia="ko-KR"/>
              </w:rPr>
              <w:t>2</w:t>
            </w:r>
          </w:p>
        </w:tc>
        <w:tc>
          <w:tcPr>
            <w:tcW w:w="2279" w:type="dxa"/>
            <w:vAlign w:val="center"/>
          </w:tcPr>
          <w:p w:rsidR="00BC3EB6" w:rsidRPr="008B78D0" w:rsidRDefault="00BC3EB6" w:rsidP="00C625E1">
            <w:pPr>
              <w:pStyle w:val="T"/>
              <w:spacing w:before="0"/>
              <w:rPr>
                <w:rFonts w:eastAsiaTheme="minorEastAsia"/>
                <w:bCs/>
                <w:iCs/>
                <w:sz w:val="18"/>
                <w:szCs w:val="22"/>
                <w:lang w:val="en-GB" w:eastAsia="ko-KR"/>
              </w:rPr>
            </w:pPr>
            <w:r>
              <w:rPr>
                <w:rFonts w:eastAsiaTheme="minorEastAsia" w:hint="eastAsia"/>
                <w:bCs/>
                <w:iCs/>
                <w:sz w:val="18"/>
                <w:szCs w:val="22"/>
                <w:lang w:val="en-GB" w:eastAsia="ko-KR"/>
              </w:rPr>
              <w:t>Denied, the preferred duty cycle period</w:t>
            </w:r>
            <w:r>
              <w:rPr>
                <w:rFonts w:eastAsiaTheme="minorEastAsia"/>
                <w:bCs/>
                <w:iCs/>
                <w:sz w:val="18"/>
                <w:szCs w:val="22"/>
                <w:lang w:val="en-GB" w:eastAsia="ko-KR"/>
              </w:rPr>
              <w:t xml:space="preserve"> is too large</w:t>
            </w:r>
          </w:p>
        </w:tc>
      </w:tr>
      <w:tr w:rsidR="00BC3EB6" w:rsidTr="00C625E1">
        <w:trPr>
          <w:trHeight w:val="546"/>
          <w:ins w:id="0" w:author="김서욱/선임연구원/차세대표준(연)IoT팀(suhwook.kim@lge.com)" w:date="2018-11-06T15:11:00Z"/>
        </w:trPr>
        <w:tc>
          <w:tcPr>
            <w:tcW w:w="1959" w:type="dxa"/>
            <w:vAlign w:val="center"/>
          </w:tcPr>
          <w:p w:rsidR="00BC3EB6" w:rsidRPr="008B78D0" w:rsidRDefault="00BC3EB6" w:rsidP="00C625E1">
            <w:pPr>
              <w:pStyle w:val="T"/>
              <w:spacing w:before="0"/>
              <w:jc w:val="center"/>
              <w:rPr>
                <w:ins w:id="1" w:author="김서욱/선임연구원/차세대표준(연)IoT팀(suhwook.kim@lge.com)" w:date="2018-11-06T15:11:00Z"/>
                <w:rFonts w:eastAsiaTheme="minorEastAsia"/>
                <w:bCs/>
                <w:iCs/>
                <w:sz w:val="18"/>
                <w:szCs w:val="22"/>
                <w:lang w:val="en-GB" w:eastAsia="ko-KR"/>
              </w:rPr>
            </w:pPr>
            <w:ins w:id="2" w:author="김서욱/선임연구원/차세대표준(연)IoT팀(suhwook.kim@lge.com)" w:date="2018-11-06T15:11:00Z">
              <w:r>
                <w:rPr>
                  <w:rFonts w:eastAsiaTheme="minorEastAsia" w:hint="eastAsia"/>
                  <w:bCs/>
                  <w:iCs/>
                  <w:sz w:val="18"/>
                  <w:szCs w:val="22"/>
                  <w:lang w:val="en-GB" w:eastAsia="ko-KR"/>
                </w:rPr>
                <w:t>3</w:t>
              </w:r>
            </w:ins>
          </w:p>
        </w:tc>
        <w:tc>
          <w:tcPr>
            <w:tcW w:w="2279" w:type="dxa"/>
            <w:vAlign w:val="center"/>
          </w:tcPr>
          <w:p w:rsidR="00BC3EB6" w:rsidRDefault="00BC3EB6" w:rsidP="00C625E1">
            <w:pPr>
              <w:pStyle w:val="T"/>
              <w:spacing w:before="0"/>
              <w:rPr>
                <w:ins w:id="3" w:author="김서욱/선임연구원/차세대표준(연)IoT팀(suhwook.kim@lge.com)" w:date="2018-11-06T15:11:00Z"/>
                <w:rFonts w:eastAsiaTheme="minorEastAsia"/>
                <w:bCs/>
                <w:iCs/>
                <w:sz w:val="18"/>
                <w:szCs w:val="22"/>
                <w:lang w:val="en-GB" w:eastAsia="ko-KR"/>
              </w:rPr>
            </w:pPr>
            <w:ins w:id="4" w:author="김서욱/선임연구원/차세대표준(연)IoT팀(suhwook.kim@lge.com)" w:date="2018-11-06T15:11:00Z">
              <w:r>
                <w:rPr>
                  <w:rFonts w:eastAsiaTheme="minorEastAsia" w:hint="eastAsia"/>
                  <w:bCs/>
                  <w:iCs/>
                  <w:sz w:val="18"/>
                  <w:szCs w:val="22"/>
                  <w:lang w:val="en-GB" w:eastAsia="ko-KR"/>
                </w:rPr>
                <w:t xml:space="preserve">Denied, </w:t>
              </w:r>
              <w:r w:rsidRPr="006B7F38">
                <w:rPr>
                  <w:rFonts w:eastAsiaTheme="minorEastAsia"/>
                  <w:bCs/>
                  <w:iCs/>
                  <w:sz w:val="18"/>
                  <w:szCs w:val="22"/>
                  <w:lang w:val="en-GB" w:eastAsia="ko-KR"/>
                </w:rPr>
                <w:t>AP has buffered BU</w:t>
              </w:r>
              <w:r>
                <w:rPr>
                  <w:rFonts w:eastAsiaTheme="minorEastAsia"/>
                  <w:bCs/>
                  <w:iCs/>
                  <w:sz w:val="18"/>
                  <w:szCs w:val="22"/>
                  <w:lang w:val="en-GB" w:eastAsia="ko-KR"/>
                </w:rPr>
                <w:t>(s)</w:t>
              </w:r>
              <w:r w:rsidRPr="006B7F38">
                <w:rPr>
                  <w:rFonts w:eastAsiaTheme="minorEastAsia"/>
                  <w:bCs/>
                  <w:iCs/>
                  <w:sz w:val="18"/>
                  <w:szCs w:val="22"/>
                  <w:lang w:val="en-GB" w:eastAsia="ko-KR"/>
                </w:rPr>
                <w:t xml:space="preserve"> for the STA</w:t>
              </w:r>
            </w:ins>
          </w:p>
        </w:tc>
      </w:tr>
      <w:tr w:rsidR="00BC3EB6" w:rsidTr="00C625E1">
        <w:trPr>
          <w:trHeight w:val="534"/>
        </w:trPr>
        <w:tc>
          <w:tcPr>
            <w:tcW w:w="1959" w:type="dxa"/>
            <w:vAlign w:val="center"/>
          </w:tcPr>
          <w:p w:rsidR="00BC3EB6" w:rsidRPr="008B78D0" w:rsidRDefault="00BC3EB6" w:rsidP="00C625E1">
            <w:pPr>
              <w:pStyle w:val="T"/>
              <w:spacing w:before="0"/>
              <w:jc w:val="center"/>
              <w:rPr>
                <w:rFonts w:eastAsiaTheme="minorEastAsia"/>
                <w:bCs/>
                <w:iCs/>
                <w:sz w:val="18"/>
                <w:szCs w:val="22"/>
                <w:lang w:val="en-GB" w:eastAsia="ko-KR"/>
              </w:rPr>
            </w:pPr>
            <w:del w:id="5" w:author="김서욱/선임연구원/차세대표준(연)IoT팀(suhwook.kim@lge.com)" w:date="2018-11-06T15:12:00Z">
              <w:r w:rsidDel="006B7F38">
                <w:rPr>
                  <w:rFonts w:eastAsiaTheme="minorEastAsia"/>
                  <w:bCs/>
                  <w:iCs/>
                  <w:sz w:val="18"/>
                  <w:szCs w:val="22"/>
                  <w:lang w:val="en-GB" w:eastAsia="ko-KR"/>
                </w:rPr>
                <w:delText>3</w:delText>
              </w:r>
            </w:del>
            <w:ins w:id="6" w:author="김서욱/선임연구원/차세대표준(연)IoT팀(suhwook.kim@lge.com)" w:date="2018-11-06T15:12:00Z">
              <w:r>
                <w:rPr>
                  <w:rFonts w:eastAsiaTheme="minorEastAsia"/>
                  <w:bCs/>
                  <w:iCs/>
                  <w:sz w:val="18"/>
                  <w:szCs w:val="22"/>
                  <w:lang w:val="en-GB" w:eastAsia="ko-KR"/>
                </w:rPr>
                <w:t>4</w:t>
              </w:r>
            </w:ins>
            <w:r w:rsidRPr="008B78D0">
              <w:rPr>
                <w:rFonts w:eastAsiaTheme="minorEastAsia" w:hint="eastAsia"/>
                <w:bCs/>
                <w:iCs/>
                <w:sz w:val="18"/>
                <w:szCs w:val="22"/>
                <w:lang w:val="en-GB" w:eastAsia="ko-KR"/>
              </w:rPr>
              <w:t>-255</w:t>
            </w:r>
          </w:p>
        </w:tc>
        <w:tc>
          <w:tcPr>
            <w:tcW w:w="2279" w:type="dxa"/>
            <w:vAlign w:val="center"/>
          </w:tcPr>
          <w:p w:rsidR="00BC3EB6" w:rsidRPr="008B78D0" w:rsidRDefault="00BC3EB6" w:rsidP="00C625E1">
            <w:pPr>
              <w:pStyle w:val="T"/>
              <w:spacing w:before="0"/>
              <w:rPr>
                <w:rFonts w:eastAsiaTheme="minorEastAsia"/>
                <w:bCs/>
                <w:iCs/>
                <w:sz w:val="18"/>
                <w:szCs w:val="22"/>
                <w:lang w:val="en-GB" w:eastAsia="ko-KR"/>
              </w:rPr>
            </w:pPr>
            <w:r>
              <w:rPr>
                <w:rFonts w:eastAsiaTheme="minorEastAsia" w:hint="eastAsia"/>
                <w:bCs/>
                <w:iCs/>
                <w:sz w:val="18"/>
                <w:szCs w:val="22"/>
                <w:lang w:val="en-GB" w:eastAsia="ko-KR"/>
              </w:rPr>
              <w:t>Reserved</w:t>
            </w:r>
          </w:p>
        </w:tc>
      </w:tr>
    </w:tbl>
    <w:p w:rsidR="00BC3EB6" w:rsidRDefault="00BC3EB6" w:rsidP="00BC3EB6">
      <w:pPr>
        <w:pStyle w:val="T"/>
        <w:rPr>
          <w:rFonts w:eastAsiaTheme="minorEastAsia"/>
          <w:b/>
          <w:bCs/>
          <w:iCs/>
          <w:sz w:val="22"/>
          <w:szCs w:val="22"/>
          <w:lang w:val="en-GB" w:eastAsia="ko-KR"/>
        </w:rPr>
      </w:pPr>
    </w:p>
    <w:p w:rsidR="00BC3EB6" w:rsidRDefault="00BC3EB6" w:rsidP="00BC3EB6">
      <w:pPr>
        <w:pStyle w:val="T"/>
        <w:rPr>
          <w:rFonts w:eastAsiaTheme="minorEastAsia"/>
          <w:b/>
          <w:bCs/>
          <w:iCs/>
          <w:sz w:val="22"/>
          <w:szCs w:val="22"/>
          <w:lang w:val="en-GB" w:eastAsia="ko-KR"/>
        </w:rPr>
      </w:pPr>
    </w:p>
    <w:p w:rsidR="00F17F9B" w:rsidRDefault="00F17F9B" w:rsidP="00F17F9B">
      <w:pPr>
        <w:pStyle w:val="SP990322"/>
        <w:spacing w:before="240" w:after="240"/>
        <w:rPr>
          <w:color w:val="000000"/>
        </w:rPr>
      </w:pPr>
    </w:p>
    <w:p w:rsidR="00837E98" w:rsidRDefault="00837E98" w:rsidP="00837E98">
      <w:pPr>
        <w:pStyle w:val="Default"/>
      </w:pPr>
      <w:bookmarkStart w:id="7" w:name="_GoBack"/>
      <w:bookmarkEnd w:id="7"/>
    </w:p>
    <w:p w:rsidR="00837E98" w:rsidRDefault="00837E98" w:rsidP="00837E98">
      <w:pPr>
        <w:pStyle w:val="Default"/>
      </w:pPr>
    </w:p>
    <w:p w:rsidR="00837E98" w:rsidRDefault="00837E98" w:rsidP="00837E98">
      <w:pPr>
        <w:pStyle w:val="Default"/>
      </w:pPr>
    </w:p>
    <w:p w:rsidR="00837E98" w:rsidRDefault="00837E98" w:rsidP="00837E98">
      <w:pPr>
        <w:pStyle w:val="Default"/>
      </w:pPr>
    </w:p>
    <w:p w:rsidR="00837E98" w:rsidRDefault="00837E98" w:rsidP="00837E98">
      <w:pPr>
        <w:pStyle w:val="Default"/>
      </w:pPr>
    </w:p>
    <w:p w:rsidR="00837E98" w:rsidRDefault="00837E98" w:rsidP="00837E98">
      <w:pPr>
        <w:pStyle w:val="Default"/>
      </w:pPr>
    </w:p>
    <w:p w:rsidR="00837E98" w:rsidRDefault="00837E98" w:rsidP="00837E98">
      <w:pPr>
        <w:pStyle w:val="Default"/>
      </w:pPr>
    </w:p>
    <w:p w:rsidR="00837E98" w:rsidRPr="00837E98" w:rsidRDefault="00837E98" w:rsidP="00837E98">
      <w:pPr>
        <w:pStyle w:val="Default"/>
      </w:pPr>
    </w:p>
    <w:p w:rsidR="00712D12" w:rsidRDefault="00712D12" w:rsidP="00712D12">
      <w:pPr>
        <w:rPr>
          <w:color w:val="000000"/>
          <w:sz w:val="20"/>
          <w:u w:val="single"/>
          <w:lang w:val="en-US" w:eastAsia="ko-KR"/>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4B0A41">
        <w:rPr>
          <w:rFonts w:eastAsia="Times New Roman"/>
          <w:b/>
          <w:color w:val="000000"/>
          <w:sz w:val="20"/>
          <w:highlight w:val="yellow"/>
          <w:lang w:val="en-US"/>
        </w:rPr>
        <w:t xml:space="preserve"> </w:t>
      </w:r>
      <w:r>
        <w:rPr>
          <w:rFonts w:eastAsia="Times New Roman"/>
          <w:b/>
          <w:color w:val="000000"/>
          <w:sz w:val="20"/>
          <w:highlight w:val="yellow"/>
          <w:lang w:val="en-US"/>
        </w:rPr>
        <w:t>the 5</w:t>
      </w:r>
      <w:r>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as </w:t>
      </w:r>
      <w:r w:rsidRPr="00CB6D27">
        <w:rPr>
          <w:b/>
          <w:bCs/>
          <w:sz w:val="20"/>
          <w:highlight w:val="yellow"/>
        </w:rPr>
        <w:t>follows [</w:t>
      </w:r>
      <w:r w:rsidR="00CB6D27" w:rsidRPr="00CB6D27">
        <w:rPr>
          <w:b/>
          <w:bCs/>
          <w:sz w:val="20"/>
          <w:highlight w:val="yellow"/>
        </w:rPr>
        <w:t>567</w:t>
      </w:r>
      <w:r w:rsidRPr="00CB6D27">
        <w:rPr>
          <w:b/>
          <w:bCs/>
          <w:sz w:val="20"/>
          <w:highlight w:val="yellow"/>
        </w:rPr>
        <w:t>]</w:t>
      </w:r>
      <w:r w:rsidRPr="00A13054">
        <w:rPr>
          <w:b/>
          <w:bCs/>
          <w:sz w:val="20"/>
          <w:highlight w:val="yellow"/>
        </w:rPr>
        <w:t>:</w:t>
      </w:r>
    </w:p>
    <w:p w:rsidR="00F17F9B" w:rsidRDefault="00F17F9B" w:rsidP="00F17F9B">
      <w:pPr>
        <w:pStyle w:val="T"/>
        <w:rPr>
          <w:rStyle w:val="SC9204816"/>
          <w:rFonts w:hint="eastAsia"/>
        </w:rPr>
      </w:pPr>
      <w:r>
        <w:rPr>
          <w:rStyle w:val="SC9204816"/>
        </w:rPr>
        <w:t>The WUR Parameters Control field indicates the configuration of the following WUR Parameters field. The format of the WUR Parameter Control field is shown in Figure 9-751b (WUR Parameters Control field format).</w:t>
      </w:r>
      <w:ins w:id="8" w:author="김서욱/선임연구원/차세대표준(연)IoT팀(suhwook.kim@lge.com)" w:date="2018-11-09T08:21:00Z">
        <w:r w:rsidR="00BC7F84">
          <w:rPr>
            <w:rStyle w:val="SC9204816"/>
          </w:rPr>
          <w:t>The WUR Parameters Control</w:t>
        </w:r>
      </w:ins>
      <w:ins w:id="9" w:author="김서욱/선임연구원/차세대표준(연)IoT팀(suhwook.kim@lge.com)" w:date="2018-11-07T10:58:00Z">
        <w:r w:rsidR="00712D12" w:rsidRPr="00712D12">
          <w:rPr>
            <w:rStyle w:val="SC9204816"/>
          </w:rPr>
          <w:t xml:space="preserve"> </w:t>
        </w:r>
        <w:r w:rsidR="00712D12">
          <w:rPr>
            <w:rStyle w:val="SC9204816"/>
          </w:rPr>
          <w:t xml:space="preserve">field is valid only when the Action Type field is set to “Enter WUR Mode Response” or “Enter WUR Mode </w:t>
        </w:r>
        <w:proofErr w:type="spellStart"/>
        <w:r w:rsidR="00712D12">
          <w:rPr>
            <w:rStyle w:val="SC9204816"/>
          </w:rPr>
          <w:t>Suspsend</w:t>
        </w:r>
        <w:proofErr w:type="spellEnd"/>
        <w:r w:rsidR="00712D12">
          <w:rPr>
            <w:rStyle w:val="SC9204816"/>
          </w:rPr>
          <w:t xml:space="preserve"> Response” and </w:t>
        </w:r>
        <w:r w:rsidR="00712D12" w:rsidRPr="00712D12">
          <w:rPr>
            <w:rStyle w:val="SC9204816"/>
          </w:rPr>
          <w:t>WUR Mode Response Status</w:t>
        </w:r>
        <w:r w:rsidR="00712D12">
          <w:rPr>
            <w:rStyle w:val="SC9204816"/>
          </w:rPr>
          <w:t xml:space="preserve"> field is set to Accept. Otherwise, this field is reserved.</w:t>
        </w:r>
      </w:ins>
    </w:p>
    <w:p w:rsidR="00F17F9B" w:rsidRDefault="00F17F9B" w:rsidP="00F17F9B">
      <w:pPr>
        <w:pStyle w:val="T"/>
        <w:rPr>
          <w:rFonts w:eastAsiaTheme="minorEastAsia"/>
          <w:b/>
          <w:bCs/>
          <w:iCs/>
          <w:sz w:val="22"/>
          <w:szCs w:val="22"/>
          <w:lang w:val="en-GB" w:eastAsia="ko-KR"/>
        </w:rPr>
      </w:pPr>
    </w:p>
    <w:p w:rsidR="00F17F9B" w:rsidRDefault="00F17F9B" w:rsidP="00F17F9B">
      <w:pPr>
        <w:rPr>
          <w:color w:val="000000"/>
          <w:sz w:val="20"/>
          <w:u w:val="single"/>
          <w:lang w:val="en-US" w:eastAsia="ko-KR"/>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Add</w:t>
      </w:r>
      <w:r w:rsidRPr="004B0A41">
        <w:rPr>
          <w:rFonts w:eastAsia="Times New Roman"/>
          <w:b/>
          <w:color w:val="000000"/>
          <w:sz w:val="20"/>
          <w:highlight w:val="yellow"/>
          <w:lang w:val="en-US"/>
        </w:rPr>
        <w:t xml:space="preserve"> </w:t>
      </w:r>
      <w:r>
        <w:rPr>
          <w:rFonts w:eastAsia="Times New Roman"/>
          <w:b/>
          <w:color w:val="000000"/>
          <w:sz w:val="20"/>
          <w:highlight w:val="yellow"/>
          <w:lang w:val="en-US"/>
        </w:rPr>
        <w:t>this paragraph after 6</w:t>
      </w:r>
      <w:r>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w:t>
      </w:r>
      <w:r w:rsidRPr="00CB6D27">
        <w:rPr>
          <w:b/>
          <w:bCs/>
          <w:sz w:val="20"/>
          <w:highlight w:val="yellow"/>
        </w:rPr>
        <w:t>paragraph</w:t>
      </w:r>
      <w:r w:rsidR="00712D12" w:rsidRPr="00CB6D27">
        <w:rPr>
          <w:b/>
          <w:bCs/>
          <w:sz w:val="20"/>
          <w:highlight w:val="yellow"/>
        </w:rPr>
        <w:t xml:space="preserve"> [</w:t>
      </w:r>
      <w:r w:rsidR="00CB6D27" w:rsidRPr="00CB6D27">
        <w:rPr>
          <w:b/>
          <w:bCs/>
          <w:sz w:val="20"/>
          <w:highlight w:val="yellow"/>
        </w:rPr>
        <w:t>567</w:t>
      </w:r>
      <w:r w:rsidR="00712D12" w:rsidRPr="00CB6D27">
        <w:rPr>
          <w:b/>
          <w:bCs/>
          <w:sz w:val="20"/>
          <w:highlight w:val="yellow"/>
        </w:rPr>
        <w:t>]</w:t>
      </w:r>
      <w:r w:rsidRPr="00A13054">
        <w:rPr>
          <w:b/>
          <w:bCs/>
          <w:sz w:val="20"/>
          <w:highlight w:val="yellow"/>
        </w:rPr>
        <w:t>:</w:t>
      </w:r>
    </w:p>
    <w:p w:rsidR="00BC3EB6" w:rsidRPr="00107762" w:rsidRDefault="00BC3EB6" w:rsidP="00BC3EB6">
      <w:pPr>
        <w:pStyle w:val="SP990302"/>
        <w:spacing w:before="480" w:after="240"/>
        <w:rPr>
          <w:ins w:id="10" w:author="김서욱/선임연구원/차세대표준(연)IoT팀(suhwook.kim@lge.com)" w:date="2018-11-07T10:42:00Z"/>
          <w:rStyle w:val="SC9204816"/>
        </w:rPr>
      </w:pPr>
      <w:ins w:id="11" w:author="김서욱/선임연구원/차세대표준(연)IoT팀(suhwook.kim@lge.com)" w:date="2018-11-07T10:42:00Z">
        <w:r w:rsidRPr="00107762">
          <w:rPr>
            <w:rStyle w:val="SC9204816"/>
          </w:rPr>
          <w:t>WUR Parameters field is present in WUR Mode element when Action Type is “Enter WUR Mode Request”, “Enter WUR Mode Suspend Request”, “Enter WUR Mode Response” with WUR Mode Response Status field is Accept, or “Enter WUR Mode Suspend Response” with WUR Mode Response Status field is Accept. Otherwise, WUR Parameters field is not present in WUR Mode element.</w:t>
        </w:r>
      </w:ins>
    </w:p>
    <w:p w:rsidR="00BC3EB6" w:rsidRPr="00BC3EB6" w:rsidRDefault="00BC3EB6" w:rsidP="00E967B5">
      <w:pPr>
        <w:pStyle w:val="Default"/>
      </w:pPr>
    </w:p>
    <w:sectPr w:rsidR="00BC3EB6" w:rsidRPr="00BC3EB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4C4" w:rsidRDefault="006F34C4">
      <w:r>
        <w:separator/>
      </w:r>
    </w:p>
  </w:endnote>
  <w:endnote w:type="continuationSeparator" w:id="0">
    <w:p w:rsidR="006F34C4" w:rsidRDefault="006F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BB" w:rsidRDefault="006F34C4">
    <w:pPr>
      <w:pStyle w:val="a3"/>
      <w:tabs>
        <w:tab w:val="clear" w:pos="6480"/>
        <w:tab w:val="center" w:pos="4680"/>
        <w:tab w:val="right" w:pos="9360"/>
      </w:tabs>
    </w:pPr>
    <w:r>
      <w:fldChar w:fldCharType="begin"/>
    </w:r>
    <w:r>
      <w:instrText xml:space="preserve"> SUBJECT  \* MERGEFORMAT </w:instrText>
    </w:r>
    <w:r>
      <w:fldChar w:fldCharType="separate"/>
    </w:r>
    <w:r w:rsidR="00A52FBB">
      <w:t>Submission</w:t>
    </w:r>
    <w:r>
      <w:fldChar w:fldCharType="end"/>
    </w:r>
    <w:r w:rsidR="00A52FBB">
      <w:tab/>
      <w:t xml:space="preserve">page </w:t>
    </w:r>
    <w:r w:rsidR="00A52FBB">
      <w:fldChar w:fldCharType="begin"/>
    </w:r>
    <w:r w:rsidR="00A52FBB">
      <w:instrText xml:space="preserve">page </w:instrText>
    </w:r>
    <w:r w:rsidR="00A52FBB">
      <w:fldChar w:fldCharType="separate"/>
    </w:r>
    <w:r w:rsidR="007C18E0">
      <w:rPr>
        <w:noProof/>
      </w:rPr>
      <w:t>3</w:t>
    </w:r>
    <w:r w:rsidR="00A52FBB">
      <w:rPr>
        <w:noProof/>
      </w:rPr>
      <w:fldChar w:fldCharType="end"/>
    </w:r>
    <w:r w:rsidR="00A52FBB">
      <w:tab/>
    </w:r>
    <w:r w:rsidR="00A52FBB">
      <w:rPr>
        <w:lang w:eastAsia="ko-KR"/>
      </w:rPr>
      <w:t xml:space="preserve">Suhwook Kim </w:t>
    </w:r>
    <w:proofErr w:type="gramStart"/>
    <w:r w:rsidR="00A52FBB">
      <w:rPr>
        <w:lang w:eastAsia="ko-KR"/>
      </w:rPr>
      <w:t>et.al.</w:t>
    </w:r>
    <w:r w:rsidR="00A52FBB">
      <w:t>,</w:t>
    </w:r>
    <w:proofErr w:type="gramEnd"/>
    <w:r w:rsidR="00A52FBB">
      <w:t xml:space="preserve"> LG Electronics</w:t>
    </w:r>
  </w:p>
  <w:p w:rsidR="00A52FBB" w:rsidRDefault="00A52F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4C4" w:rsidRDefault="006F34C4">
      <w:r>
        <w:separator/>
      </w:r>
    </w:p>
  </w:footnote>
  <w:footnote w:type="continuationSeparator" w:id="0">
    <w:p w:rsidR="006F34C4" w:rsidRDefault="006F3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BB" w:rsidRDefault="00A52FBB">
    <w:pPr>
      <w:pStyle w:val="a4"/>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r w:rsidR="006F34C4">
      <w:fldChar w:fldCharType="begin"/>
    </w:r>
    <w:r w:rsidR="006F34C4">
      <w:instrText xml:space="preserve"> TITLE  \* MERGEFORMAT </w:instrText>
    </w:r>
    <w:r w:rsidR="006F34C4">
      <w:fldChar w:fldCharType="separate"/>
    </w:r>
    <w:r>
      <w:t>doc.: IEEE 802.11-18/</w:t>
    </w:r>
    <w:r>
      <w:rPr>
        <w:lang w:eastAsia="ko-KR"/>
      </w:rPr>
      <w:t>1865r</w:t>
    </w:r>
    <w:r w:rsidR="006F34C4">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서욱/선임연구원/차세대표준(연)IoT팀(suhwook.kim@lge.com)">
    <w15:presenceInfo w15:providerId="AD" w15:userId="S-1-5-21-2543426832-1914326140-3112152631-75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C31"/>
    <w:rsid w:val="000A1F25"/>
    <w:rsid w:val="000A2A3E"/>
    <w:rsid w:val="000A650F"/>
    <w:rsid w:val="000A671D"/>
    <w:rsid w:val="000A7680"/>
    <w:rsid w:val="000B041A"/>
    <w:rsid w:val="000B083E"/>
    <w:rsid w:val="000B0DAF"/>
    <w:rsid w:val="000B59FE"/>
    <w:rsid w:val="000B6F66"/>
    <w:rsid w:val="000C27D0"/>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762"/>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4C72"/>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7DD"/>
    <w:rsid w:val="001A1B7C"/>
    <w:rsid w:val="001A2240"/>
    <w:rsid w:val="001A2CDE"/>
    <w:rsid w:val="001A77FD"/>
    <w:rsid w:val="001B0001"/>
    <w:rsid w:val="001B0432"/>
    <w:rsid w:val="001B252D"/>
    <w:rsid w:val="001B2904"/>
    <w:rsid w:val="001B63BC"/>
    <w:rsid w:val="001C02D6"/>
    <w:rsid w:val="001C1E3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49E"/>
    <w:rsid w:val="001E6267"/>
    <w:rsid w:val="001E6760"/>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39D"/>
    <w:rsid w:val="0020058A"/>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27EF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70"/>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0164"/>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17C"/>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4F03"/>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6B76"/>
    <w:rsid w:val="004010D0"/>
    <w:rsid w:val="004014AE"/>
    <w:rsid w:val="004021A1"/>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3065"/>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0CCE"/>
    <w:rsid w:val="00531734"/>
    <w:rsid w:val="0053254A"/>
    <w:rsid w:val="0053284D"/>
    <w:rsid w:val="00534090"/>
    <w:rsid w:val="0053566B"/>
    <w:rsid w:val="00536D00"/>
    <w:rsid w:val="0054062B"/>
    <w:rsid w:val="00540657"/>
    <w:rsid w:val="00540A28"/>
    <w:rsid w:val="0054235E"/>
    <w:rsid w:val="005435CC"/>
    <w:rsid w:val="0054425D"/>
    <w:rsid w:val="005442D3"/>
    <w:rsid w:val="00544B61"/>
    <w:rsid w:val="0054632A"/>
    <w:rsid w:val="00551C01"/>
    <w:rsid w:val="00553B4F"/>
    <w:rsid w:val="00553C7D"/>
    <w:rsid w:val="0055459B"/>
    <w:rsid w:val="005546A4"/>
    <w:rsid w:val="00554995"/>
    <w:rsid w:val="00554D52"/>
    <w:rsid w:val="00554EEF"/>
    <w:rsid w:val="00555197"/>
    <w:rsid w:val="005555B2"/>
    <w:rsid w:val="00562627"/>
    <w:rsid w:val="0056327A"/>
    <w:rsid w:val="00563B85"/>
    <w:rsid w:val="00567934"/>
    <w:rsid w:val="005702B6"/>
    <w:rsid w:val="005703A1"/>
    <w:rsid w:val="0057046A"/>
    <w:rsid w:val="0057099A"/>
    <w:rsid w:val="005712BF"/>
    <w:rsid w:val="00571308"/>
    <w:rsid w:val="0057153E"/>
    <w:rsid w:val="00571574"/>
    <w:rsid w:val="00571583"/>
    <w:rsid w:val="00572BF3"/>
    <w:rsid w:val="00572E7A"/>
    <w:rsid w:val="0057443F"/>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286F"/>
    <w:rsid w:val="005D33B5"/>
    <w:rsid w:val="005D397D"/>
    <w:rsid w:val="005D3F28"/>
    <w:rsid w:val="005D5BFC"/>
    <w:rsid w:val="005D5C6E"/>
    <w:rsid w:val="005D67CE"/>
    <w:rsid w:val="005D714C"/>
    <w:rsid w:val="005D74B0"/>
    <w:rsid w:val="005D7951"/>
    <w:rsid w:val="005E0863"/>
    <w:rsid w:val="005E0D98"/>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95C"/>
    <w:rsid w:val="005F71B8"/>
    <w:rsid w:val="005F7C51"/>
    <w:rsid w:val="00600A10"/>
    <w:rsid w:val="00601558"/>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28A3"/>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C21"/>
    <w:rsid w:val="0067069C"/>
    <w:rsid w:val="00670DCC"/>
    <w:rsid w:val="00671F29"/>
    <w:rsid w:val="0067305F"/>
    <w:rsid w:val="006738D0"/>
    <w:rsid w:val="00673E73"/>
    <w:rsid w:val="006740CE"/>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3117"/>
    <w:rsid w:val="006A3A0E"/>
    <w:rsid w:val="006A3EB3"/>
    <w:rsid w:val="006A4F60"/>
    <w:rsid w:val="006A503E"/>
    <w:rsid w:val="006A59BC"/>
    <w:rsid w:val="006A60B8"/>
    <w:rsid w:val="006A67EB"/>
    <w:rsid w:val="006A6A83"/>
    <w:rsid w:val="006A7F86"/>
    <w:rsid w:val="006B17D2"/>
    <w:rsid w:val="006B1D1C"/>
    <w:rsid w:val="006B25B5"/>
    <w:rsid w:val="006B473E"/>
    <w:rsid w:val="006B52C4"/>
    <w:rsid w:val="006B7F38"/>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078D"/>
    <w:rsid w:val="006F14CD"/>
    <w:rsid w:val="006F1DD0"/>
    <w:rsid w:val="006F34C4"/>
    <w:rsid w:val="006F36A8"/>
    <w:rsid w:val="006F3DD4"/>
    <w:rsid w:val="006F6E4C"/>
    <w:rsid w:val="00700354"/>
    <w:rsid w:val="00702CA2"/>
    <w:rsid w:val="00703E7C"/>
    <w:rsid w:val="007045BD"/>
    <w:rsid w:val="00711472"/>
    <w:rsid w:val="00711E05"/>
    <w:rsid w:val="007121E9"/>
    <w:rsid w:val="00712D12"/>
    <w:rsid w:val="00714DE0"/>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95DA4"/>
    <w:rsid w:val="007A098E"/>
    <w:rsid w:val="007A149D"/>
    <w:rsid w:val="007A2DB1"/>
    <w:rsid w:val="007A5765"/>
    <w:rsid w:val="007A5B89"/>
    <w:rsid w:val="007A718D"/>
    <w:rsid w:val="007A77FC"/>
    <w:rsid w:val="007A7E78"/>
    <w:rsid w:val="007B058E"/>
    <w:rsid w:val="007B0864"/>
    <w:rsid w:val="007B0E05"/>
    <w:rsid w:val="007B2BDF"/>
    <w:rsid w:val="007B5DB4"/>
    <w:rsid w:val="007B6E90"/>
    <w:rsid w:val="007C0795"/>
    <w:rsid w:val="007C13AC"/>
    <w:rsid w:val="007C14AD"/>
    <w:rsid w:val="007C18E0"/>
    <w:rsid w:val="007C565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CA8"/>
    <w:rsid w:val="007E5F8E"/>
    <w:rsid w:val="007E79A4"/>
    <w:rsid w:val="007E7BF9"/>
    <w:rsid w:val="007F072E"/>
    <w:rsid w:val="007F0F55"/>
    <w:rsid w:val="007F2366"/>
    <w:rsid w:val="007F287B"/>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17109"/>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37E98"/>
    <w:rsid w:val="00840667"/>
    <w:rsid w:val="00842B83"/>
    <w:rsid w:val="00842C5E"/>
    <w:rsid w:val="00843A9B"/>
    <w:rsid w:val="00845A1B"/>
    <w:rsid w:val="00850365"/>
    <w:rsid w:val="00850566"/>
    <w:rsid w:val="0085058C"/>
    <w:rsid w:val="00852B3C"/>
    <w:rsid w:val="008532E6"/>
    <w:rsid w:val="00853FF2"/>
    <w:rsid w:val="0085434C"/>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62A"/>
    <w:rsid w:val="00893873"/>
    <w:rsid w:val="008939BF"/>
    <w:rsid w:val="00893B19"/>
    <w:rsid w:val="00895A28"/>
    <w:rsid w:val="00897183"/>
    <w:rsid w:val="008A260D"/>
    <w:rsid w:val="008A2992"/>
    <w:rsid w:val="008A5AFD"/>
    <w:rsid w:val="008A6C61"/>
    <w:rsid w:val="008A6CD4"/>
    <w:rsid w:val="008A788A"/>
    <w:rsid w:val="008B47B4"/>
    <w:rsid w:val="008B5396"/>
    <w:rsid w:val="008B581F"/>
    <w:rsid w:val="008B78D0"/>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5AA3"/>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0A3C"/>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7167"/>
    <w:rsid w:val="00A17B98"/>
    <w:rsid w:val="00A20076"/>
    <w:rsid w:val="00A219E7"/>
    <w:rsid w:val="00A2258A"/>
    <w:rsid w:val="00A2290B"/>
    <w:rsid w:val="00A229E4"/>
    <w:rsid w:val="00A2417A"/>
    <w:rsid w:val="00A246C2"/>
    <w:rsid w:val="00A24810"/>
    <w:rsid w:val="00A26D8D"/>
    <w:rsid w:val="00A27692"/>
    <w:rsid w:val="00A34AEC"/>
    <w:rsid w:val="00A35228"/>
    <w:rsid w:val="00A3560F"/>
    <w:rsid w:val="00A35D4E"/>
    <w:rsid w:val="00A35DD1"/>
    <w:rsid w:val="00A36DC1"/>
    <w:rsid w:val="00A40884"/>
    <w:rsid w:val="00A413B5"/>
    <w:rsid w:val="00A41788"/>
    <w:rsid w:val="00A4225A"/>
    <w:rsid w:val="00A42C28"/>
    <w:rsid w:val="00A43B6B"/>
    <w:rsid w:val="00A45C7E"/>
    <w:rsid w:val="00A46AF0"/>
    <w:rsid w:val="00A46D09"/>
    <w:rsid w:val="00A477E6"/>
    <w:rsid w:val="00A4790E"/>
    <w:rsid w:val="00A47C1B"/>
    <w:rsid w:val="00A51BD6"/>
    <w:rsid w:val="00A52FBB"/>
    <w:rsid w:val="00A532AC"/>
    <w:rsid w:val="00A5337D"/>
    <w:rsid w:val="00A55079"/>
    <w:rsid w:val="00A5564B"/>
    <w:rsid w:val="00A57569"/>
    <w:rsid w:val="00A57C2D"/>
    <w:rsid w:val="00A57CE8"/>
    <w:rsid w:val="00A61BE7"/>
    <w:rsid w:val="00A61F48"/>
    <w:rsid w:val="00A62DE2"/>
    <w:rsid w:val="00A6389A"/>
    <w:rsid w:val="00A63DC8"/>
    <w:rsid w:val="00A65952"/>
    <w:rsid w:val="00A66CBC"/>
    <w:rsid w:val="00A70990"/>
    <w:rsid w:val="00A809AC"/>
    <w:rsid w:val="00A80E2F"/>
    <w:rsid w:val="00A81018"/>
    <w:rsid w:val="00A8300E"/>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158E"/>
    <w:rsid w:val="00B02952"/>
    <w:rsid w:val="00B03DB7"/>
    <w:rsid w:val="00B03F86"/>
    <w:rsid w:val="00B04957"/>
    <w:rsid w:val="00B04CB8"/>
    <w:rsid w:val="00B05435"/>
    <w:rsid w:val="00B07F24"/>
    <w:rsid w:val="00B10BDE"/>
    <w:rsid w:val="00B116A0"/>
    <w:rsid w:val="00B11981"/>
    <w:rsid w:val="00B15372"/>
    <w:rsid w:val="00B16515"/>
    <w:rsid w:val="00B16DD0"/>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3EB6"/>
    <w:rsid w:val="00BC465F"/>
    <w:rsid w:val="00BC5869"/>
    <w:rsid w:val="00BC62F7"/>
    <w:rsid w:val="00BC6B01"/>
    <w:rsid w:val="00BC757F"/>
    <w:rsid w:val="00BC7F84"/>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5D6A"/>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031"/>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40A6"/>
    <w:rsid w:val="00CA6689"/>
    <w:rsid w:val="00CB147A"/>
    <w:rsid w:val="00CB1E71"/>
    <w:rsid w:val="00CB285C"/>
    <w:rsid w:val="00CB5D36"/>
    <w:rsid w:val="00CB6130"/>
    <w:rsid w:val="00CB6234"/>
    <w:rsid w:val="00CB62CB"/>
    <w:rsid w:val="00CB6D27"/>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4C7D"/>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B05"/>
    <w:rsid w:val="00D95494"/>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2EFF"/>
    <w:rsid w:val="00DF3527"/>
    <w:rsid w:val="00DF3E12"/>
    <w:rsid w:val="00DF4AC1"/>
    <w:rsid w:val="00DF5402"/>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740"/>
    <w:rsid w:val="00E21EDE"/>
    <w:rsid w:val="00E245D5"/>
    <w:rsid w:val="00E31C35"/>
    <w:rsid w:val="00E332E8"/>
    <w:rsid w:val="00E33B8F"/>
    <w:rsid w:val="00E40624"/>
    <w:rsid w:val="00E408BF"/>
    <w:rsid w:val="00E4329F"/>
    <w:rsid w:val="00E46D15"/>
    <w:rsid w:val="00E518D4"/>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7B5"/>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100E"/>
    <w:rsid w:val="00ED2074"/>
    <w:rsid w:val="00ED21D2"/>
    <w:rsid w:val="00ED3E1B"/>
    <w:rsid w:val="00ED5F52"/>
    <w:rsid w:val="00ED6892"/>
    <w:rsid w:val="00ED6FC5"/>
    <w:rsid w:val="00ED75CA"/>
    <w:rsid w:val="00EE07C6"/>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7F9B"/>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97CB1"/>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paragraph" w:customStyle="1" w:styleId="SP1173909">
    <w:name w:val="SP.11.73909"/>
    <w:basedOn w:val="Default"/>
    <w:next w:val="Default"/>
    <w:uiPriority w:val="99"/>
    <w:rsid w:val="00A4225A"/>
    <w:pPr>
      <w:widowControl w:val="0"/>
    </w:pPr>
    <w:rPr>
      <w:rFonts w:ascii="Arial" w:hAnsi="Arial" w:cs="Arial"/>
      <w:color w:val="auto"/>
    </w:rPr>
  </w:style>
  <w:style w:type="character" w:customStyle="1" w:styleId="SC11204811">
    <w:name w:val="SC.11.204811"/>
    <w:uiPriority w:val="99"/>
    <w:rsid w:val="00A4225A"/>
    <w:rPr>
      <w:b/>
      <w:bCs/>
      <w:color w:val="000000"/>
      <w:sz w:val="22"/>
      <w:szCs w:val="22"/>
    </w:rPr>
  </w:style>
  <w:style w:type="paragraph" w:customStyle="1" w:styleId="SP1173951">
    <w:name w:val="SP.11.73951"/>
    <w:basedOn w:val="Default"/>
    <w:next w:val="Default"/>
    <w:uiPriority w:val="99"/>
    <w:rsid w:val="00A4225A"/>
    <w:pPr>
      <w:widowControl w:val="0"/>
    </w:pPr>
    <w:rPr>
      <w:rFonts w:ascii="Arial" w:hAnsi="Arial" w:cs="Arial"/>
      <w:color w:val="auto"/>
    </w:rPr>
  </w:style>
  <w:style w:type="character" w:customStyle="1" w:styleId="SC11204802">
    <w:name w:val="SC.11.204802"/>
    <w:uiPriority w:val="99"/>
    <w:rsid w:val="00A4225A"/>
    <w:rPr>
      <w:b/>
      <w:bCs/>
      <w:color w:val="000000"/>
      <w:sz w:val="20"/>
      <w:szCs w:val="20"/>
    </w:rPr>
  </w:style>
  <w:style w:type="paragraph" w:customStyle="1" w:styleId="SP1173929">
    <w:name w:val="SP.11.73929"/>
    <w:basedOn w:val="Default"/>
    <w:next w:val="Default"/>
    <w:uiPriority w:val="99"/>
    <w:rsid w:val="00A4225A"/>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763221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189127">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3773136">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47224-F4ED-4618-B076-C6AA0559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Pages>
  <Words>632</Words>
  <Characters>3603</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4227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김서욱/선임연구원/차세대표준(연)IoT팀(suhwook.kim@lge.com)</cp:lastModifiedBy>
  <cp:revision>12</cp:revision>
  <cp:lastPrinted>2010-05-04T03:47:00Z</cp:lastPrinted>
  <dcterms:created xsi:type="dcterms:W3CDTF">2018-11-07T00:30:00Z</dcterms:created>
  <dcterms:modified xsi:type="dcterms:W3CDTF">2018-11-09T04:31:00Z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