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625"/>
        <w:gridCol w:w="1080"/>
        <w:gridCol w:w="1170"/>
        <w:gridCol w:w="3144"/>
      </w:tblGrid>
      <w:tr w:rsidR="00CA09B2" w14:paraId="19970EA7" w14:textId="77777777" w:rsidTr="00530F89">
        <w:trPr>
          <w:trHeight w:val="485"/>
          <w:jc w:val="center"/>
        </w:trPr>
        <w:tc>
          <w:tcPr>
            <w:tcW w:w="9531"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530F89">
        <w:trPr>
          <w:trHeight w:val="359"/>
          <w:jc w:val="center"/>
        </w:trPr>
        <w:tc>
          <w:tcPr>
            <w:tcW w:w="9531"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C52594">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625" w:type="dxa"/>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C52594">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625" w:type="dxa"/>
            <w:vAlign w:val="center"/>
          </w:tcPr>
          <w:p w14:paraId="1B34C28E" w14:textId="6FDBB1BA" w:rsidR="00CA09B2" w:rsidRDefault="00711759">
            <w:pPr>
              <w:pStyle w:val="T2"/>
              <w:spacing w:after="0"/>
              <w:ind w:left="0" w:right="0"/>
              <w:rPr>
                <w:b w:val="0"/>
                <w:sz w:val="20"/>
              </w:rPr>
            </w:pPr>
            <w:r>
              <w:rPr>
                <w:b w:val="0"/>
                <w:sz w:val="20"/>
              </w:rPr>
              <w:t>HPE</w:t>
            </w:r>
          </w:p>
        </w:tc>
        <w:tc>
          <w:tcPr>
            <w:tcW w:w="1080"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77777777" w:rsidR="00CA09B2" w:rsidRDefault="00CA09B2">
            <w:pPr>
              <w:pStyle w:val="T2"/>
              <w:spacing w:after="0"/>
              <w:ind w:left="0" w:right="0"/>
              <w:rPr>
                <w:b w:val="0"/>
                <w:sz w:val="20"/>
              </w:rPr>
            </w:pPr>
          </w:p>
        </w:tc>
        <w:tc>
          <w:tcPr>
            <w:tcW w:w="3144" w:type="dxa"/>
            <w:vAlign w:val="center"/>
          </w:tcPr>
          <w:p w14:paraId="5CB3E001" w14:textId="23F23C32" w:rsidR="00CA09B2" w:rsidRPr="00C52594" w:rsidRDefault="0058331D" w:rsidP="00530F89">
            <w:pPr>
              <w:pStyle w:val="T2"/>
              <w:spacing w:after="0"/>
              <w:ind w:left="0" w:right="0"/>
              <w:rPr>
                <w:b w:val="0"/>
                <w:sz w:val="20"/>
              </w:rPr>
            </w:pPr>
            <w:hyperlink r:id="rId6" w:history="1">
              <w:r w:rsidR="00EF2557" w:rsidRPr="00C52594">
                <w:rPr>
                  <w:rStyle w:val="Hyperlink"/>
                  <w:b w:val="0"/>
                  <w:sz w:val="20"/>
                </w:rPr>
                <w:t>gaurav.patwardhan@hpe.com</w:t>
              </w:r>
            </w:hyperlink>
          </w:p>
        </w:tc>
      </w:tr>
      <w:tr w:rsidR="00C52594" w14:paraId="3137439D" w14:textId="77777777" w:rsidTr="00C52594">
        <w:trPr>
          <w:jc w:val="center"/>
        </w:trPr>
        <w:tc>
          <w:tcPr>
            <w:tcW w:w="2512" w:type="dxa"/>
            <w:vAlign w:val="center"/>
          </w:tcPr>
          <w:p w14:paraId="12545D79" w14:textId="1EFC0523" w:rsidR="00CA09B2" w:rsidRDefault="00EF2557">
            <w:pPr>
              <w:pStyle w:val="T2"/>
              <w:spacing w:after="0"/>
              <w:ind w:left="0" w:right="0"/>
              <w:rPr>
                <w:b w:val="0"/>
                <w:sz w:val="20"/>
              </w:rPr>
            </w:pPr>
            <w:r>
              <w:rPr>
                <w:b w:val="0"/>
                <w:sz w:val="20"/>
              </w:rPr>
              <w:t>Eldad Perahia</w:t>
            </w:r>
          </w:p>
        </w:tc>
        <w:tc>
          <w:tcPr>
            <w:tcW w:w="1625" w:type="dxa"/>
            <w:vAlign w:val="center"/>
          </w:tcPr>
          <w:p w14:paraId="4992948B" w14:textId="1745186A" w:rsidR="00CA09B2" w:rsidRDefault="00711759">
            <w:pPr>
              <w:pStyle w:val="T2"/>
              <w:spacing w:after="0"/>
              <w:ind w:left="0" w:right="0"/>
              <w:rPr>
                <w:b w:val="0"/>
                <w:sz w:val="20"/>
              </w:rPr>
            </w:pPr>
            <w:r>
              <w:rPr>
                <w:b w:val="0"/>
                <w:sz w:val="20"/>
              </w:rPr>
              <w:t>HPE</w:t>
            </w:r>
          </w:p>
        </w:tc>
        <w:tc>
          <w:tcPr>
            <w:tcW w:w="1080"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3C471D65" w:rsidR="00CA09B2" w:rsidRPr="00C52594" w:rsidRDefault="0058331D" w:rsidP="00530F89">
            <w:pPr>
              <w:pStyle w:val="T2"/>
              <w:spacing w:after="0"/>
              <w:ind w:left="0" w:right="0"/>
              <w:rPr>
                <w:b w:val="0"/>
                <w:sz w:val="20"/>
              </w:rPr>
            </w:pPr>
            <w:hyperlink r:id="rId7" w:history="1">
              <w:r w:rsidR="004D32BB" w:rsidRPr="00C52594">
                <w:rPr>
                  <w:rStyle w:val="Hyperlink"/>
                  <w:b w:val="0"/>
                  <w:sz w:val="20"/>
                </w:rPr>
                <w:t>eldad.perahia@hpe.com</w:t>
              </w:r>
            </w:hyperlink>
          </w:p>
        </w:tc>
      </w:tr>
      <w:tr w:rsidR="00C52594" w14:paraId="19CD4F4A" w14:textId="77777777" w:rsidTr="00C52594">
        <w:trPr>
          <w:trHeight w:val="278"/>
          <w:jc w:val="center"/>
        </w:trPr>
        <w:tc>
          <w:tcPr>
            <w:tcW w:w="2512" w:type="dxa"/>
            <w:vAlign w:val="center"/>
          </w:tcPr>
          <w:p w14:paraId="6C491077" w14:textId="74677783" w:rsidR="00763EA8" w:rsidRPr="00C52594" w:rsidRDefault="00763EA8">
            <w:pPr>
              <w:pStyle w:val="T2"/>
              <w:spacing w:after="0"/>
              <w:ind w:left="0" w:right="0"/>
              <w:rPr>
                <w:b w:val="0"/>
                <w:sz w:val="20"/>
              </w:rPr>
            </w:pPr>
            <w:r w:rsidRPr="00C52594">
              <w:rPr>
                <w:b w:val="0"/>
                <w:sz w:val="20"/>
              </w:rPr>
              <w:t>Alfred Asterjadhi</w:t>
            </w:r>
          </w:p>
        </w:tc>
        <w:tc>
          <w:tcPr>
            <w:tcW w:w="1625" w:type="dxa"/>
            <w:vAlign w:val="center"/>
          </w:tcPr>
          <w:p w14:paraId="4A09A941" w14:textId="7D478944" w:rsidR="00763EA8" w:rsidRPr="00C52594" w:rsidRDefault="00186A3B">
            <w:pPr>
              <w:pStyle w:val="T2"/>
              <w:spacing w:after="0"/>
              <w:ind w:left="0" w:right="0"/>
              <w:rPr>
                <w:b w:val="0"/>
                <w:sz w:val="20"/>
              </w:rPr>
            </w:pPr>
            <w:r w:rsidRPr="00C52594">
              <w:rPr>
                <w:b w:val="0"/>
                <w:sz w:val="20"/>
                <w:lang w:eastAsia="ko-KR"/>
              </w:rPr>
              <w:t>Qualcomm Inc.</w:t>
            </w:r>
          </w:p>
        </w:tc>
        <w:tc>
          <w:tcPr>
            <w:tcW w:w="1080"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0F3F7DAB" w:rsidR="00763EA8" w:rsidRPr="00C52594" w:rsidRDefault="0058331D" w:rsidP="00530F89">
            <w:pPr>
              <w:pStyle w:val="T2"/>
              <w:spacing w:after="0"/>
              <w:ind w:left="0" w:right="0"/>
              <w:rPr>
                <w:sz w:val="20"/>
              </w:rPr>
            </w:pPr>
            <w:hyperlink r:id="rId8" w:history="1">
              <w:r w:rsidR="00186A3B" w:rsidRPr="00C52594">
                <w:rPr>
                  <w:rStyle w:val="Hyperlink"/>
                  <w:b w:val="0"/>
                  <w:sz w:val="20"/>
                  <w:lang w:eastAsia="ko-KR"/>
                </w:rPr>
                <w:t>aasterja@qti.qualcomm.com</w:t>
              </w:r>
            </w:hyperlink>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0E81093E">
                <wp:simplePos x="0" y="0"/>
                <wp:positionH relativeFrom="column">
                  <wp:posOffset>-58479</wp:posOffset>
                </wp:positionH>
                <wp:positionV relativeFrom="paragraph">
                  <wp:posOffset>213286</wp:posOffset>
                </wp:positionV>
                <wp:extent cx="5943600" cy="35617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1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6pt;margin-top:16.8pt;width:468pt;height:28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sqLY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" o:allowincell="f" stroked="f">
                <v:textbo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txbxContent>
                </v:textbox>
              </v:shape>
            </w:pict>
          </mc:Fallback>
        </mc:AlternateContent>
      </w:r>
    </w:p>
    <w:p w14:paraId="20CB95CD" w14:textId="02DEEB9D" w:rsidR="005E5C77" w:rsidRPr="00912A2C" w:rsidRDefault="00CA09B2" w:rsidP="005E5C77">
      <w:r>
        <w:br w:type="page"/>
      </w:r>
    </w:p>
    <w:p w14:paraId="544206A4" w14:textId="77777777" w:rsidR="00F54AAB" w:rsidRDefault="00F54AAB"/>
    <w:p w14:paraId="0405950D" w14:textId="0B3B69C6" w:rsidR="00F54AAB" w:rsidRPr="00656B6D" w:rsidRDefault="0074463C">
      <w:pPr>
        <w:rPr>
          <w:lang w:val="en-US"/>
        </w:rPr>
      </w:pPr>
      <w:r w:rsidRPr="00F54AAB">
        <w:rPr>
          <w:highlight w:val="yellow"/>
          <w:lang w:val="en-US"/>
        </w:rPr>
        <w:t>TGba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31DC118F" w:rsidR="00CA09B2" w:rsidRDefault="00AC0CBB">
      <w:r w:rsidRPr="00AC0CBB">
        <w:t>The WUR Operation element contains the set of parameters necessary to support the WUR operation. The format of the WUR Operation ele</w:t>
      </w:r>
      <w:r w:rsidR="00A50A3D">
        <w:t>ment is defined in Figure 9-751d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5323" w:type="dxa"/>
        <w:jc w:val="center"/>
        <w:tblLook w:val="04A0" w:firstRow="1" w:lastRow="0" w:firstColumn="1" w:lastColumn="0" w:noHBand="0" w:noVBand="1"/>
      </w:tblPr>
      <w:tblGrid>
        <w:gridCol w:w="776"/>
        <w:gridCol w:w="806"/>
        <w:gridCol w:w="719"/>
        <w:gridCol w:w="921"/>
        <w:gridCol w:w="1013"/>
        <w:gridCol w:w="1088"/>
      </w:tblGrid>
      <w:tr w:rsidR="00A50A3D" w:rsidRPr="004F6DB1" w14:paraId="0552C58B" w14:textId="77777777" w:rsidTr="00A50A3D">
        <w:trPr>
          <w:trHeight w:val="854"/>
          <w:jc w:val="center"/>
        </w:trPr>
        <w:tc>
          <w:tcPr>
            <w:tcW w:w="776" w:type="dxa"/>
            <w:tcBorders>
              <w:top w:val="nil"/>
              <w:left w:val="nil"/>
              <w:bottom w:val="nil"/>
            </w:tcBorders>
          </w:tcPr>
          <w:p w14:paraId="2527235F" w14:textId="77777777" w:rsidR="00A50A3D" w:rsidRPr="004F6DB1" w:rsidRDefault="00A50A3D" w:rsidP="00C57E24">
            <w:pPr>
              <w:rPr>
                <w:b/>
                <w:sz w:val="16"/>
              </w:rPr>
            </w:pPr>
          </w:p>
        </w:tc>
        <w:tc>
          <w:tcPr>
            <w:tcW w:w="806" w:type="dxa"/>
            <w:tcBorders>
              <w:bottom w:val="single" w:sz="4" w:space="0" w:color="auto"/>
            </w:tcBorders>
          </w:tcPr>
          <w:p w14:paraId="6984BE23" w14:textId="77777777" w:rsidR="00A50A3D" w:rsidRPr="00586F01" w:rsidRDefault="00A50A3D" w:rsidP="00C57E24">
            <w:pPr>
              <w:jc w:val="center"/>
              <w:rPr>
                <w:sz w:val="16"/>
              </w:rPr>
            </w:pPr>
            <w:r w:rsidRPr="00586F01">
              <w:rPr>
                <w:sz w:val="16"/>
              </w:rPr>
              <w:t>Element</w:t>
            </w:r>
          </w:p>
          <w:p w14:paraId="247F419F" w14:textId="77777777" w:rsidR="00A50A3D" w:rsidRPr="00586F01" w:rsidRDefault="00A50A3D" w:rsidP="00C57E24">
            <w:pPr>
              <w:jc w:val="center"/>
              <w:rPr>
                <w:sz w:val="16"/>
              </w:rPr>
            </w:pPr>
            <w:r w:rsidRPr="00586F01">
              <w:rPr>
                <w:sz w:val="16"/>
              </w:rPr>
              <w:t>ID</w:t>
            </w:r>
          </w:p>
        </w:tc>
        <w:tc>
          <w:tcPr>
            <w:tcW w:w="719" w:type="dxa"/>
            <w:tcBorders>
              <w:bottom w:val="single" w:sz="4" w:space="0" w:color="auto"/>
            </w:tcBorders>
          </w:tcPr>
          <w:p w14:paraId="410542BC" w14:textId="77777777" w:rsidR="00A50A3D" w:rsidRPr="00586F01" w:rsidRDefault="00A50A3D" w:rsidP="00C57E24">
            <w:pPr>
              <w:jc w:val="center"/>
              <w:rPr>
                <w:sz w:val="16"/>
              </w:rPr>
            </w:pPr>
            <w:r w:rsidRPr="00586F01">
              <w:rPr>
                <w:sz w:val="16"/>
              </w:rPr>
              <w:t>Length</w:t>
            </w:r>
          </w:p>
        </w:tc>
        <w:tc>
          <w:tcPr>
            <w:tcW w:w="921" w:type="dxa"/>
            <w:tcBorders>
              <w:bottom w:val="single" w:sz="4" w:space="0" w:color="auto"/>
            </w:tcBorders>
          </w:tcPr>
          <w:p w14:paraId="01DDF533" w14:textId="77777777" w:rsidR="00A50A3D" w:rsidRPr="00586F01" w:rsidRDefault="00A50A3D" w:rsidP="00C57E24">
            <w:pPr>
              <w:jc w:val="center"/>
              <w:rPr>
                <w:sz w:val="16"/>
              </w:rPr>
            </w:pPr>
            <w:r w:rsidRPr="00586F01">
              <w:rPr>
                <w:sz w:val="16"/>
              </w:rPr>
              <w:t>Element</w:t>
            </w:r>
          </w:p>
          <w:p w14:paraId="3B146345" w14:textId="77777777" w:rsidR="00A50A3D" w:rsidRPr="00586F01" w:rsidRDefault="00A50A3D" w:rsidP="00C57E24">
            <w:pPr>
              <w:jc w:val="center"/>
              <w:rPr>
                <w:sz w:val="16"/>
              </w:rPr>
            </w:pPr>
            <w:r w:rsidRPr="00586F01">
              <w:rPr>
                <w:sz w:val="16"/>
              </w:rPr>
              <w:t>ID</w:t>
            </w:r>
          </w:p>
          <w:p w14:paraId="18311B53" w14:textId="77777777" w:rsidR="00A50A3D" w:rsidRPr="00586F01" w:rsidRDefault="00A50A3D" w:rsidP="00C57E24">
            <w:pPr>
              <w:jc w:val="center"/>
              <w:rPr>
                <w:sz w:val="16"/>
              </w:rPr>
            </w:pPr>
            <w:r w:rsidRPr="00586F01">
              <w:rPr>
                <w:sz w:val="16"/>
              </w:rPr>
              <w:t>Extension</w:t>
            </w:r>
          </w:p>
        </w:tc>
        <w:tc>
          <w:tcPr>
            <w:tcW w:w="1013" w:type="dxa"/>
            <w:tcBorders>
              <w:bottom w:val="single" w:sz="4" w:space="0" w:color="auto"/>
            </w:tcBorders>
          </w:tcPr>
          <w:p w14:paraId="04EDA966" w14:textId="77777777" w:rsidR="00A50A3D" w:rsidRPr="00586F01" w:rsidRDefault="00A50A3D" w:rsidP="00C57E24">
            <w:pPr>
              <w:jc w:val="center"/>
              <w:rPr>
                <w:sz w:val="16"/>
              </w:rPr>
            </w:pPr>
            <w:r w:rsidRPr="00586F01">
              <w:rPr>
                <w:sz w:val="16"/>
              </w:rPr>
              <w:t>WUR</w:t>
            </w:r>
          </w:p>
          <w:p w14:paraId="0970F4CB" w14:textId="77777777" w:rsidR="00A50A3D" w:rsidRPr="00586F01" w:rsidRDefault="00A50A3D" w:rsidP="00C57E24">
            <w:pPr>
              <w:jc w:val="center"/>
              <w:rPr>
                <w:sz w:val="16"/>
              </w:rPr>
            </w:pPr>
            <w:r w:rsidRPr="00586F01">
              <w:rPr>
                <w:sz w:val="16"/>
              </w:rPr>
              <w:t>Operation</w:t>
            </w:r>
          </w:p>
          <w:p w14:paraId="0EE49D81" w14:textId="3C077E0A" w:rsidR="00A50A3D" w:rsidRPr="00586F01" w:rsidRDefault="00A50A3D" w:rsidP="00C57E24">
            <w:pPr>
              <w:jc w:val="center"/>
              <w:rPr>
                <w:sz w:val="16"/>
              </w:rPr>
            </w:pPr>
            <w:r w:rsidRPr="00586F01">
              <w:rPr>
                <w:sz w:val="16"/>
              </w:rPr>
              <w:t>Parameters</w:t>
            </w:r>
          </w:p>
        </w:tc>
        <w:tc>
          <w:tcPr>
            <w:tcW w:w="1088" w:type="dxa"/>
            <w:tcBorders>
              <w:bottom w:val="single" w:sz="4" w:space="0" w:color="auto"/>
            </w:tcBorders>
          </w:tcPr>
          <w:p w14:paraId="3DF7452C" w14:textId="77777777" w:rsidR="00A50A3D" w:rsidRPr="00586F01" w:rsidRDefault="00A50A3D" w:rsidP="00C57E24">
            <w:pPr>
              <w:jc w:val="center"/>
              <w:rPr>
                <w:sz w:val="16"/>
              </w:rPr>
            </w:pPr>
            <w:r w:rsidRPr="00586F01">
              <w:rPr>
                <w:sz w:val="16"/>
              </w:rPr>
              <w:t>WUR</w:t>
            </w:r>
          </w:p>
          <w:p w14:paraId="74E4DFA4" w14:textId="0124AC57" w:rsidR="00A50A3D" w:rsidRPr="00586F01" w:rsidRDefault="00A50A3D" w:rsidP="00C57E24">
            <w:pPr>
              <w:jc w:val="center"/>
              <w:rPr>
                <w:sz w:val="16"/>
              </w:rPr>
            </w:pPr>
            <w:r w:rsidRPr="00586F01">
              <w:rPr>
                <w:sz w:val="16"/>
              </w:rPr>
              <w:t>Parameters</w:t>
            </w:r>
          </w:p>
        </w:tc>
      </w:tr>
      <w:tr w:rsidR="00A50A3D" w:rsidRPr="002D7B9A" w14:paraId="0E3C94D6" w14:textId="77777777" w:rsidTr="00A50A3D">
        <w:trPr>
          <w:jc w:val="center"/>
        </w:trPr>
        <w:tc>
          <w:tcPr>
            <w:tcW w:w="776" w:type="dxa"/>
            <w:tcBorders>
              <w:top w:val="nil"/>
              <w:left w:val="nil"/>
              <w:bottom w:val="nil"/>
              <w:right w:val="nil"/>
            </w:tcBorders>
          </w:tcPr>
          <w:p w14:paraId="53711F7D" w14:textId="52256F1E" w:rsidR="00A50A3D" w:rsidRPr="002D7B9A" w:rsidRDefault="00A50A3D" w:rsidP="00C57E24">
            <w:pPr>
              <w:jc w:val="center"/>
              <w:rPr>
                <w:sz w:val="16"/>
              </w:rPr>
            </w:pPr>
            <w:r w:rsidRPr="002D7B9A">
              <w:rPr>
                <w:sz w:val="16"/>
              </w:rPr>
              <w:t>Octets:</w:t>
            </w:r>
          </w:p>
        </w:tc>
        <w:tc>
          <w:tcPr>
            <w:tcW w:w="806" w:type="dxa"/>
            <w:tcBorders>
              <w:left w:val="nil"/>
              <w:bottom w:val="nil"/>
              <w:right w:val="nil"/>
            </w:tcBorders>
          </w:tcPr>
          <w:p w14:paraId="35D1EEE1" w14:textId="77777777" w:rsidR="00A50A3D" w:rsidRPr="002D7B9A" w:rsidRDefault="00A50A3D" w:rsidP="00C57E24">
            <w:pPr>
              <w:jc w:val="center"/>
              <w:rPr>
                <w:sz w:val="16"/>
              </w:rPr>
            </w:pPr>
            <w:r w:rsidRPr="002D7B9A">
              <w:rPr>
                <w:sz w:val="16"/>
              </w:rPr>
              <w:t>1</w:t>
            </w:r>
          </w:p>
        </w:tc>
        <w:tc>
          <w:tcPr>
            <w:tcW w:w="719" w:type="dxa"/>
            <w:tcBorders>
              <w:left w:val="nil"/>
              <w:bottom w:val="nil"/>
              <w:right w:val="nil"/>
            </w:tcBorders>
          </w:tcPr>
          <w:p w14:paraId="51C5F9DD" w14:textId="77777777" w:rsidR="00A50A3D" w:rsidRPr="002D7B9A" w:rsidRDefault="00A50A3D" w:rsidP="00C57E24">
            <w:pPr>
              <w:jc w:val="center"/>
              <w:rPr>
                <w:sz w:val="16"/>
              </w:rPr>
            </w:pPr>
            <w:r w:rsidRPr="002D7B9A">
              <w:rPr>
                <w:sz w:val="16"/>
              </w:rPr>
              <w:t>1</w:t>
            </w:r>
          </w:p>
        </w:tc>
        <w:tc>
          <w:tcPr>
            <w:tcW w:w="921" w:type="dxa"/>
            <w:tcBorders>
              <w:left w:val="nil"/>
              <w:bottom w:val="nil"/>
              <w:right w:val="nil"/>
            </w:tcBorders>
          </w:tcPr>
          <w:p w14:paraId="330F821B" w14:textId="77777777" w:rsidR="00A50A3D" w:rsidRPr="002D7B9A" w:rsidRDefault="00A50A3D" w:rsidP="00C57E24">
            <w:pPr>
              <w:jc w:val="center"/>
              <w:rPr>
                <w:sz w:val="16"/>
              </w:rPr>
            </w:pPr>
            <w:r w:rsidRPr="002D7B9A">
              <w:rPr>
                <w:sz w:val="16"/>
              </w:rPr>
              <w:t>1</w:t>
            </w:r>
          </w:p>
        </w:tc>
        <w:tc>
          <w:tcPr>
            <w:tcW w:w="1013" w:type="dxa"/>
            <w:tcBorders>
              <w:left w:val="nil"/>
              <w:bottom w:val="nil"/>
              <w:right w:val="nil"/>
            </w:tcBorders>
          </w:tcPr>
          <w:p w14:paraId="74FF1215" w14:textId="7095F219" w:rsidR="00A50A3D" w:rsidRPr="00A50A3D" w:rsidRDefault="00A50A3D" w:rsidP="00C57E24">
            <w:pPr>
              <w:jc w:val="center"/>
              <w:rPr>
                <w:sz w:val="16"/>
                <w:u w:val="single"/>
              </w:rPr>
            </w:pPr>
            <w:r w:rsidRPr="00A50A3D">
              <w:rPr>
                <w:sz w:val="16"/>
                <w:u w:val="single"/>
              </w:rPr>
              <w:t>10</w:t>
            </w:r>
          </w:p>
        </w:tc>
        <w:tc>
          <w:tcPr>
            <w:tcW w:w="1088" w:type="dxa"/>
            <w:tcBorders>
              <w:left w:val="nil"/>
              <w:bottom w:val="nil"/>
              <w:right w:val="nil"/>
            </w:tcBorders>
          </w:tcPr>
          <w:p w14:paraId="7865AC62" w14:textId="63029D7C" w:rsidR="00A50A3D" w:rsidRPr="002D7B9A" w:rsidRDefault="00A50A3D" w:rsidP="00C57E24">
            <w:pPr>
              <w:jc w:val="center"/>
              <w:rPr>
                <w:sz w:val="16"/>
              </w:rPr>
            </w:pPr>
            <w:r>
              <w:rPr>
                <w:sz w:val="16"/>
              </w:rPr>
              <w:t>1</w:t>
            </w:r>
          </w:p>
        </w:tc>
      </w:tr>
      <w:tr w:rsidR="00A50A3D" w:rsidRPr="004F6DB1" w14:paraId="23AAF478" w14:textId="77777777" w:rsidTr="00A50A3D">
        <w:trPr>
          <w:jc w:val="center"/>
        </w:trPr>
        <w:tc>
          <w:tcPr>
            <w:tcW w:w="776" w:type="dxa"/>
            <w:tcBorders>
              <w:top w:val="nil"/>
              <w:left w:val="nil"/>
              <w:bottom w:val="nil"/>
              <w:right w:val="nil"/>
            </w:tcBorders>
          </w:tcPr>
          <w:p w14:paraId="4526914F" w14:textId="77777777" w:rsidR="00A50A3D" w:rsidRPr="004F6DB1" w:rsidRDefault="00A50A3D" w:rsidP="00C57E24">
            <w:pPr>
              <w:rPr>
                <w:b/>
                <w:sz w:val="16"/>
              </w:rPr>
            </w:pPr>
          </w:p>
        </w:tc>
        <w:tc>
          <w:tcPr>
            <w:tcW w:w="806" w:type="dxa"/>
            <w:tcBorders>
              <w:top w:val="nil"/>
              <w:left w:val="nil"/>
              <w:bottom w:val="nil"/>
              <w:right w:val="nil"/>
            </w:tcBorders>
          </w:tcPr>
          <w:p w14:paraId="73A16D0C" w14:textId="77777777" w:rsidR="00A50A3D" w:rsidRPr="004F6DB1" w:rsidRDefault="00A50A3D" w:rsidP="00C57E24">
            <w:pPr>
              <w:rPr>
                <w:b/>
                <w:sz w:val="16"/>
              </w:rPr>
            </w:pPr>
          </w:p>
        </w:tc>
        <w:tc>
          <w:tcPr>
            <w:tcW w:w="719" w:type="dxa"/>
            <w:tcBorders>
              <w:top w:val="nil"/>
              <w:left w:val="nil"/>
              <w:bottom w:val="nil"/>
              <w:right w:val="nil"/>
            </w:tcBorders>
          </w:tcPr>
          <w:p w14:paraId="12E14E0A" w14:textId="77777777" w:rsidR="00A50A3D" w:rsidRPr="004F6DB1" w:rsidRDefault="00A50A3D" w:rsidP="00C57E24">
            <w:pPr>
              <w:rPr>
                <w:b/>
                <w:sz w:val="16"/>
              </w:rPr>
            </w:pPr>
          </w:p>
        </w:tc>
        <w:tc>
          <w:tcPr>
            <w:tcW w:w="921" w:type="dxa"/>
            <w:tcBorders>
              <w:top w:val="nil"/>
              <w:left w:val="nil"/>
              <w:bottom w:val="nil"/>
              <w:right w:val="nil"/>
            </w:tcBorders>
          </w:tcPr>
          <w:p w14:paraId="687B7FAA" w14:textId="77777777" w:rsidR="00A50A3D" w:rsidRPr="004F6DB1" w:rsidRDefault="00A50A3D" w:rsidP="00C57E24">
            <w:pPr>
              <w:rPr>
                <w:b/>
                <w:sz w:val="16"/>
              </w:rPr>
            </w:pPr>
          </w:p>
        </w:tc>
        <w:tc>
          <w:tcPr>
            <w:tcW w:w="1013" w:type="dxa"/>
            <w:tcBorders>
              <w:top w:val="nil"/>
              <w:left w:val="nil"/>
              <w:bottom w:val="nil"/>
              <w:right w:val="nil"/>
            </w:tcBorders>
          </w:tcPr>
          <w:p w14:paraId="64DD9923" w14:textId="77777777" w:rsidR="00A50A3D" w:rsidRPr="004F6DB1" w:rsidRDefault="00A50A3D" w:rsidP="00C57E24">
            <w:pPr>
              <w:rPr>
                <w:b/>
                <w:sz w:val="16"/>
              </w:rPr>
            </w:pPr>
          </w:p>
        </w:tc>
        <w:tc>
          <w:tcPr>
            <w:tcW w:w="1088" w:type="dxa"/>
            <w:tcBorders>
              <w:top w:val="nil"/>
              <w:left w:val="nil"/>
              <w:bottom w:val="nil"/>
              <w:right w:val="nil"/>
            </w:tcBorders>
          </w:tcPr>
          <w:p w14:paraId="2448C1A3" w14:textId="77777777" w:rsidR="00A50A3D" w:rsidRPr="004F6DB1" w:rsidRDefault="00A50A3D" w:rsidP="00C57E24">
            <w:pPr>
              <w:rPr>
                <w:b/>
                <w:sz w:val="16"/>
              </w:rPr>
            </w:pPr>
          </w:p>
        </w:tc>
      </w:tr>
    </w:tbl>
    <w:p w14:paraId="1E9706D4" w14:textId="77777777" w:rsidR="00A50A3D" w:rsidRDefault="00A50A3D" w:rsidP="00A50A3D"/>
    <w:p w14:paraId="22EDBCBF" w14:textId="77777777" w:rsidR="00A50A3D" w:rsidRPr="000A6157" w:rsidRDefault="00A50A3D" w:rsidP="00A50A3D">
      <w:pPr>
        <w:jc w:val="center"/>
        <w:rPr>
          <w:b/>
        </w:rPr>
      </w:pPr>
      <w:r w:rsidRPr="000A6157">
        <w:rPr>
          <w:b/>
        </w:rPr>
        <w:t>Figure 9-751g—WUR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1CFC7BED" w:rsidR="00A50A3D" w:rsidRDefault="00A50A3D">
      <w:r>
        <w:t>The format of WUR Parametsers field is defined in 9-751e</w:t>
      </w:r>
      <w:r w:rsidR="00E21783">
        <w:t xml:space="preserve"> </w:t>
      </w:r>
      <w:r>
        <w:t>(WUR Operation Parameters).</w:t>
      </w:r>
    </w:p>
    <w:p w14:paraId="4D10180F" w14:textId="77777777" w:rsidR="0018289B" w:rsidRDefault="0018289B"/>
    <w:tbl>
      <w:tblPr>
        <w:tblStyle w:val="TableGrid"/>
        <w:tblW w:w="7732" w:type="dxa"/>
        <w:jc w:val="center"/>
        <w:tblLayout w:type="fixed"/>
        <w:tblLook w:val="04A0" w:firstRow="1" w:lastRow="0" w:firstColumn="1" w:lastColumn="0" w:noHBand="0" w:noVBand="1"/>
      </w:tblPr>
      <w:tblGrid>
        <w:gridCol w:w="738"/>
        <w:gridCol w:w="972"/>
        <w:gridCol w:w="954"/>
        <w:gridCol w:w="968"/>
        <w:gridCol w:w="809"/>
        <w:gridCol w:w="732"/>
        <w:gridCol w:w="1373"/>
        <w:gridCol w:w="1186"/>
      </w:tblGrid>
      <w:tr w:rsidR="00E21783" w:rsidRPr="004F6DB1" w14:paraId="34FFA476" w14:textId="13570FDD" w:rsidTr="00375338">
        <w:trPr>
          <w:trHeight w:val="854"/>
          <w:jc w:val="center"/>
        </w:trPr>
        <w:tc>
          <w:tcPr>
            <w:tcW w:w="738" w:type="dxa"/>
            <w:tcBorders>
              <w:top w:val="nil"/>
              <w:left w:val="nil"/>
              <w:bottom w:val="nil"/>
            </w:tcBorders>
          </w:tcPr>
          <w:p w14:paraId="1E43EC79" w14:textId="77777777" w:rsidR="00E21783" w:rsidRPr="004F6DB1" w:rsidRDefault="00E21783">
            <w:pPr>
              <w:rPr>
                <w:b/>
                <w:sz w:val="16"/>
              </w:rPr>
            </w:pPr>
          </w:p>
        </w:tc>
        <w:tc>
          <w:tcPr>
            <w:tcW w:w="972" w:type="dxa"/>
            <w:tcBorders>
              <w:bottom w:val="single" w:sz="4" w:space="0" w:color="auto"/>
            </w:tcBorders>
          </w:tcPr>
          <w:p w14:paraId="57FCA352" w14:textId="77777777" w:rsidR="00E21783" w:rsidRPr="00375338" w:rsidRDefault="00E21783" w:rsidP="001A2A66">
            <w:pPr>
              <w:jc w:val="center"/>
              <w:rPr>
                <w:sz w:val="16"/>
              </w:rPr>
            </w:pPr>
            <w:r w:rsidRPr="00375338">
              <w:rPr>
                <w:sz w:val="16"/>
              </w:rPr>
              <w:t>Minimum</w:t>
            </w:r>
          </w:p>
          <w:p w14:paraId="4BC823EA" w14:textId="77777777" w:rsidR="00E21783" w:rsidRPr="00375338" w:rsidRDefault="00E21783" w:rsidP="001A2A66">
            <w:pPr>
              <w:jc w:val="center"/>
              <w:rPr>
                <w:sz w:val="16"/>
              </w:rPr>
            </w:pPr>
            <w:r w:rsidRPr="00375338">
              <w:rPr>
                <w:sz w:val="16"/>
              </w:rPr>
              <w:t>Wake-up</w:t>
            </w:r>
          </w:p>
          <w:p w14:paraId="3CD03E59" w14:textId="77C48E12" w:rsidR="00E21783" w:rsidRPr="00375338" w:rsidRDefault="00E21783" w:rsidP="001A2A66">
            <w:pPr>
              <w:jc w:val="center"/>
              <w:rPr>
                <w:sz w:val="16"/>
              </w:rPr>
            </w:pPr>
            <w:r w:rsidRPr="00375338">
              <w:rPr>
                <w:sz w:val="16"/>
              </w:rPr>
              <w:t>Duration</w:t>
            </w:r>
          </w:p>
        </w:tc>
        <w:tc>
          <w:tcPr>
            <w:tcW w:w="954" w:type="dxa"/>
            <w:tcBorders>
              <w:bottom w:val="single" w:sz="4" w:space="0" w:color="auto"/>
            </w:tcBorders>
          </w:tcPr>
          <w:p w14:paraId="4A8B34A9" w14:textId="77777777" w:rsidR="00E21783" w:rsidRPr="00375338" w:rsidRDefault="00E21783" w:rsidP="001A2A66">
            <w:pPr>
              <w:jc w:val="center"/>
              <w:rPr>
                <w:sz w:val="16"/>
              </w:rPr>
            </w:pPr>
            <w:r w:rsidRPr="00375338">
              <w:rPr>
                <w:sz w:val="16"/>
              </w:rPr>
              <w:t>Duty</w:t>
            </w:r>
          </w:p>
          <w:p w14:paraId="3BF2F53A" w14:textId="77777777" w:rsidR="00E21783" w:rsidRPr="00375338" w:rsidRDefault="00E21783" w:rsidP="001A2A66">
            <w:pPr>
              <w:jc w:val="center"/>
              <w:rPr>
                <w:sz w:val="16"/>
              </w:rPr>
            </w:pPr>
            <w:r w:rsidRPr="00375338">
              <w:rPr>
                <w:sz w:val="16"/>
              </w:rPr>
              <w:t>Cycle</w:t>
            </w:r>
          </w:p>
          <w:p w14:paraId="5FF9FD20" w14:textId="77777777" w:rsidR="00E21783" w:rsidRPr="00375338" w:rsidRDefault="00E21783" w:rsidP="001A2A66">
            <w:pPr>
              <w:jc w:val="center"/>
              <w:rPr>
                <w:sz w:val="16"/>
              </w:rPr>
            </w:pPr>
            <w:r w:rsidRPr="00375338">
              <w:rPr>
                <w:sz w:val="16"/>
              </w:rPr>
              <w:t>Period</w:t>
            </w:r>
          </w:p>
          <w:p w14:paraId="1BF4BEDE" w14:textId="3FEA9C50" w:rsidR="00E21783" w:rsidRPr="00375338" w:rsidRDefault="00E21783" w:rsidP="001A2A66">
            <w:pPr>
              <w:jc w:val="center"/>
              <w:rPr>
                <w:sz w:val="16"/>
              </w:rPr>
            </w:pPr>
            <w:r w:rsidRPr="00375338">
              <w:rPr>
                <w:sz w:val="16"/>
              </w:rPr>
              <w:t>Units</w:t>
            </w:r>
          </w:p>
        </w:tc>
        <w:tc>
          <w:tcPr>
            <w:tcW w:w="968" w:type="dxa"/>
            <w:tcBorders>
              <w:bottom w:val="single" w:sz="4" w:space="0" w:color="auto"/>
            </w:tcBorders>
          </w:tcPr>
          <w:p w14:paraId="267B7FC2" w14:textId="77777777" w:rsidR="00E21783" w:rsidRPr="00375338" w:rsidRDefault="00E21783" w:rsidP="001A2A66">
            <w:pPr>
              <w:jc w:val="center"/>
              <w:rPr>
                <w:sz w:val="16"/>
              </w:rPr>
            </w:pPr>
            <w:r w:rsidRPr="00375338">
              <w:rPr>
                <w:sz w:val="16"/>
              </w:rPr>
              <w:t>WUR</w:t>
            </w:r>
          </w:p>
          <w:p w14:paraId="523E7FD6" w14:textId="15B93A97" w:rsidR="00E21783" w:rsidRPr="00375338" w:rsidRDefault="00E21783" w:rsidP="001A2A66">
            <w:pPr>
              <w:jc w:val="center"/>
              <w:rPr>
                <w:sz w:val="16"/>
              </w:rPr>
            </w:pPr>
            <w:r w:rsidRPr="00375338">
              <w:rPr>
                <w:sz w:val="16"/>
              </w:rPr>
              <w:t>Operating</w:t>
            </w:r>
          </w:p>
          <w:p w14:paraId="174AF8A8" w14:textId="1ED4A8AA" w:rsidR="00E21783" w:rsidRPr="00375338" w:rsidRDefault="00E21783" w:rsidP="001A2A66">
            <w:pPr>
              <w:jc w:val="center"/>
              <w:rPr>
                <w:sz w:val="16"/>
              </w:rPr>
            </w:pPr>
            <w:r w:rsidRPr="00375338">
              <w:rPr>
                <w:sz w:val="16"/>
              </w:rPr>
              <w:t>Class</w:t>
            </w:r>
          </w:p>
        </w:tc>
        <w:tc>
          <w:tcPr>
            <w:tcW w:w="809" w:type="dxa"/>
            <w:tcBorders>
              <w:bottom w:val="single" w:sz="4" w:space="0" w:color="auto"/>
            </w:tcBorders>
          </w:tcPr>
          <w:p w14:paraId="5F5738AE" w14:textId="77777777" w:rsidR="00E21783" w:rsidRPr="00375338" w:rsidRDefault="00E21783" w:rsidP="001A2A66">
            <w:pPr>
              <w:jc w:val="center"/>
              <w:rPr>
                <w:sz w:val="16"/>
              </w:rPr>
            </w:pPr>
            <w:r w:rsidRPr="00375338">
              <w:rPr>
                <w:sz w:val="16"/>
              </w:rPr>
              <w:t>WUR</w:t>
            </w:r>
          </w:p>
          <w:p w14:paraId="32320CBD" w14:textId="4805ABF4" w:rsidR="00E21783" w:rsidRPr="00375338" w:rsidRDefault="00E21783" w:rsidP="001A2A66">
            <w:pPr>
              <w:jc w:val="center"/>
              <w:rPr>
                <w:sz w:val="16"/>
              </w:rPr>
            </w:pPr>
            <w:r w:rsidRPr="00375338">
              <w:rPr>
                <w:sz w:val="16"/>
              </w:rPr>
              <w:t>Channel</w:t>
            </w:r>
          </w:p>
        </w:tc>
        <w:tc>
          <w:tcPr>
            <w:tcW w:w="732" w:type="dxa"/>
            <w:tcBorders>
              <w:bottom w:val="single" w:sz="4" w:space="0" w:color="auto"/>
            </w:tcBorders>
          </w:tcPr>
          <w:p w14:paraId="1CA28F1A" w14:textId="77777777" w:rsidR="00E21783" w:rsidRPr="00375338" w:rsidRDefault="00E21783" w:rsidP="001A2A66">
            <w:pPr>
              <w:jc w:val="center"/>
              <w:rPr>
                <w:sz w:val="16"/>
              </w:rPr>
            </w:pPr>
            <w:r w:rsidRPr="00375338">
              <w:rPr>
                <w:sz w:val="16"/>
              </w:rPr>
              <w:t>WUR</w:t>
            </w:r>
          </w:p>
          <w:p w14:paraId="19585340" w14:textId="77777777" w:rsidR="00E21783" w:rsidRPr="00375338" w:rsidRDefault="00E21783" w:rsidP="001A2A66">
            <w:pPr>
              <w:jc w:val="center"/>
              <w:rPr>
                <w:sz w:val="16"/>
              </w:rPr>
            </w:pPr>
            <w:r w:rsidRPr="00375338">
              <w:rPr>
                <w:sz w:val="16"/>
              </w:rPr>
              <w:t>Beacon</w:t>
            </w:r>
          </w:p>
          <w:p w14:paraId="451F81FB" w14:textId="4C5621CA" w:rsidR="00E21783" w:rsidRPr="00375338" w:rsidRDefault="00E21783" w:rsidP="001A2A66">
            <w:pPr>
              <w:jc w:val="center"/>
              <w:rPr>
                <w:sz w:val="16"/>
              </w:rPr>
            </w:pPr>
            <w:r w:rsidRPr="00375338">
              <w:rPr>
                <w:sz w:val="16"/>
              </w:rPr>
              <w:t>Period</w:t>
            </w:r>
          </w:p>
        </w:tc>
        <w:tc>
          <w:tcPr>
            <w:tcW w:w="1373" w:type="dxa"/>
            <w:tcBorders>
              <w:bottom w:val="single" w:sz="4" w:space="0" w:color="auto"/>
            </w:tcBorders>
          </w:tcPr>
          <w:p w14:paraId="64CA536C" w14:textId="232D99D8" w:rsidR="00E21783" w:rsidRPr="00375338" w:rsidRDefault="00E21783" w:rsidP="001A2A66">
            <w:pPr>
              <w:jc w:val="center"/>
              <w:rPr>
                <w:sz w:val="16"/>
              </w:rPr>
            </w:pPr>
            <w:r w:rsidRPr="00375338">
              <w:rPr>
                <w:sz w:val="16"/>
              </w:rPr>
              <w:t>Offset of TWBTT</w:t>
            </w:r>
          </w:p>
        </w:tc>
        <w:tc>
          <w:tcPr>
            <w:tcW w:w="1186" w:type="dxa"/>
            <w:tcBorders>
              <w:bottom w:val="single" w:sz="4" w:space="0" w:color="auto"/>
            </w:tcBorders>
          </w:tcPr>
          <w:p w14:paraId="2773B5EF" w14:textId="77777777" w:rsidR="00E21783" w:rsidRPr="00F72AC3" w:rsidRDefault="00E21783" w:rsidP="001A2A66">
            <w:pPr>
              <w:jc w:val="center"/>
              <w:rPr>
                <w:sz w:val="16"/>
                <w:u w:val="single"/>
              </w:rPr>
            </w:pPr>
            <w:r w:rsidRPr="00F72AC3">
              <w:rPr>
                <w:sz w:val="16"/>
                <w:u w:val="single"/>
              </w:rPr>
              <w:t>WUR</w:t>
            </w:r>
          </w:p>
          <w:p w14:paraId="21740504" w14:textId="77777777" w:rsidR="00E21783" w:rsidRPr="00F72AC3" w:rsidRDefault="00E21783" w:rsidP="001A2A66">
            <w:pPr>
              <w:jc w:val="center"/>
              <w:rPr>
                <w:sz w:val="16"/>
                <w:u w:val="single"/>
              </w:rPr>
            </w:pPr>
            <w:r w:rsidRPr="00F72AC3">
              <w:rPr>
                <w:sz w:val="16"/>
                <w:u w:val="single"/>
              </w:rPr>
              <w:t>Connectivity</w:t>
            </w:r>
          </w:p>
          <w:p w14:paraId="0E085E9D" w14:textId="12D33A12" w:rsidR="00E21783" w:rsidRPr="00375338" w:rsidRDefault="00E21783" w:rsidP="001A2A66">
            <w:pPr>
              <w:jc w:val="center"/>
              <w:rPr>
                <w:sz w:val="16"/>
              </w:rPr>
            </w:pPr>
            <w:r w:rsidRPr="00F72AC3">
              <w:rPr>
                <w:sz w:val="16"/>
                <w:u w:val="single"/>
              </w:rPr>
              <w:t>Timeout</w:t>
            </w:r>
          </w:p>
        </w:tc>
      </w:tr>
      <w:tr w:rsidR="00E21783" w:rsidRPr="002D7B9A" w14:paraId="5A2713E0" w14:textId="722271E4" w:rsidTr="00375338">
        <w:trPr>
          <w:jc w:val="center"/>
        </w:trPr>
        <w:tc>
          <w:tcPr>
            <w:tcW w:w="738" w:type="dxa"/>
            <w:tcBorders>
              <w:top w:val="nil"/>
              <w:left w:val="nil"/>
              <w:bottom w:val="nil"/>
              <w:right w:val="nil"/>
            </w:tcBorders>
          </w:tcPr>
          <w:p w14:paraId="07004FAC" w14:textId="7AF136E0" w:rsidR="00E21783" w:rsidRPr="002D7B9A" w:rsidRDefault="00E21783" w:rsidP="00237838">
            <w:pPr>
              <w:jc w:val="center"/>
              <w:rPr>
                <w:sz w:val="16"/>
              </w:rPr>
            </w:pPr>
            <w:r w:rsidRPr="002D7B9A">
              <w:rPr>
                <w:sz w:val="16"/>
              </w:rPr>
              <w:t>Octets:</w:t>
            </w:r>
          </w:p>
        </w:tc>
        <w:tc>
          <w:tcPr>
            <w:tcW w:w="972" w:type="dxa"/>
            <w:tcBorders>
              <w:left w:val="nil"/>
              <w:bottom w:val="nil"/>
              <w:right w:val="nil"/>
            </w:tcBorders>
          </w:tcPr>
          <w:p w14:paraId="7E521B98" w14:textId="15314AC4" w:rsidR="00E21783" w:rsidRPr="002D7B9A" w:rsidRDefault="00E21783" w:rsidP="00237838">
            <w:pPr>
              <w:jc w:val="center"/>
              <w:rPr>
                <w:sz w:val="16"/>
              </w:rPr>
            </w:pPr>
            <w:r w:rsidRPr="002D7B9A">
              <w:rPr>
                <w:sz w:val="16"/>
              </w:rPr>
              <w:t>1</w:t>
            </w:r>
          </w:p>
        </w:tc>
        <w:tc>
          <w:tcPr>
            <w:tcW w:w="954" w:type="dxa"/>
            <w:tcBorders>
              <w:left w:val="nil"/>
              <w:bottom w:val="nil"/>
              <w:right w:val="nil"/>
            </w:tcBorders>
          </w:tcPr>
          <w:p w14:paraId="2EF98484" w14:textId="33EB35FC" w:rsidR="00E21783" w:rsidRPr="002D7B9A" w:rsidRDefault="00E21783" w:rsidP="00237838">
            <w:pPr>
              <w:jc w:val="center"/>
              <w:rPr>
                <w:sz w:val="16"/>
              </w:rPr>
            </w:pPr>
            <w:r w:rsidRPr="002D7B9A">
              <w:rPr>
                <w:sz w:val="16"/>
              </w:rPr>
              <w:t>2</w:t>
            </w:r>
          </w:p>
        </w:tc>
        <w:tc>
          <w:tcPr>
            <w:tcW w:w="968" w:type="dxa"/>
            <w:tcBorders>
              <w:left w:val="nil"/>
              <w:bottom w:val="nil"/>
              <w:right w:val="nil"/>
            </w:tcBorders>
          </w:tcPr>
          <w:p w14:paraId="355D7DD1" w14:textId="60D98E34" w:rsidR="00E21783" w:rsidRPr="002D7B9A" w:rsidRDefault="00E21783" w:rsidP="00237838">
            <w:pPr>
              <w:jc w:val="center"/>
              <w:rPr>
                <w:sz w:val="16"/>
              </w:rPr>
            </w:pPr>
            <w:r w:rsidRPr="002D7B9A">
              <w:rPr>
                <w:sz w:val="16"/>
              </w:rPr>
              <w:t>1</w:t>
            </w:r>
          </w:p>
        </w:tc>
        <w:tc>
          <w:tcPr>
            <w:tcW w:w="809" w:type="dxa"/>
            <w:tcBorders>
              <w:left w:val="nil"/>
              <w:bottom w:val="nil"/>
              <w:right w:val="nil"/>
            </w:tcBorders>
          </w:tcPr>
          <w:p w14:paraId="5EB087CD" w14:textId="6C1AF297" w:rsidR="00E21783" w:rsidRPr="002D7B9A" w:rsidRDefault="00E21783" w:rsidP="00237838">
            <w:pPr>
              <w:jc w:val="center"/>
              <w:rPr>
                <w:sz w:val="16"/>
              </w:rPr>
            </w:pPr>
            <w:r w:rsidRPr="002D7B9A">
              <w:rPr>
                <w:sz w:val="16"/>
              </w:rPr>
              <w:t>1</w:t>
            </w:r>
          </w:p>
        </w:tc>
        <w:tc>
          <w:tcPr>
            <w:tcW w:w="732" w:type="dxa"/>
            <w:tcBorders>
              <w:left w:val="nil"/>
              <w:bottom w:val="nil"/>
              <w:right w:val="nil"/>
            </w:tcBorders>
          </w:tcPr>
          <w:p w14:paraId="3556AB40" w14:textId="0E578FF5" w:rsidR="00E21783" w:rsidRPr="002D7B9A" w:rsidRDefault="00E21783" w:rsidP="00237838">
            <w:pPr>
              <w:jc w:val="center"/>
              <w:rPr>
                <w:sz w:val="16"/>
              </w:rPr>
            </w:pPr>
            <w:r w:rsidRPr="002D7B9A">
              <w:rPr>
                <w:sz w:val="16"/>
              </w:rPr>
              <w:t>2</w:t>
            </w:r>
          </w:p>
        </w:tc>
        <w:tc>
          <w:tcPr>
            <w:tcW w:w="1373" w:type="dxa"/>
            <w:tcBorders>
              <w:left w:val="nil"/>
              <w:bottom w:val="nil"/>
              <w:right w:val="nil"/>
            </w:tcBorders>
          </w:tcPr>
          <w:p w14:paraId="58F47FAE" w14:textId="6182CC54" w:rsidR="00E21783" w:rsidRPr="002D7B9A" w:rsidRDefault="00E21783" w:rsidP="00237838">
            <w:pPr>
              <w:jc w:val="center"/>
              <w:rPr>
                <w:sz w:val="16"/>
              </w:rPr>
            </w:pPr>
            <w:r w:rsidRPr="002D7B9A">
              <w:rPr>
                <w:sz w:val="16"/>
              </w:rPr>
              <w:t>2</w:t>
            </w:r>
          </w:p>
        </w:tc>
        <w:tc>
          <w:tcPr>
            <w:tcW w:w="1186" w:type="dxa"/>
            <w:tcBorders>
              <w:left w:val="nil"/>
              <w:bottom w:val="nil"/>
              <w:right w:val="nil"/>
            </w:tcBorders>
          </w:tcPr>
          <w:p w14:paraId="2E783542" w14:textId="4C678068" w:rsidR="00E21783" w:rsidRPr="00F72AC3" w:rsidRDefault="00E21783" w:rsidP="00237838">
            <w:pPr>
              <w:jc w:val="center"/>
              <w:rPr>
                <w:sz w:val="16"/>
                <w:u w:val="single"/>
              </w:rPr>
            </w:pPr>
            <w:r w:rsidRPr="00F72AC3">
              <w:rPr>
                <w:sz w:val="16"/>
                <w:u w:val="single"/>
              </w:rPr>
              <w:t>1</w:t>
            </w:r>
          </w:p>
        </w:tc>
      </w:tr>
      <w:tr w:rsidR="00E21783" w:rsidRPr="004F6DB1" w14:paraId="0FAA222D" w14:textId="54A00183" w:rsidTr="00375338">
        <w:trPr>
          <w:jc w:val="center"/>
        </w:trPr>
        <w:tc>
          <w:tcPr>
            <w:tcW w:w="738" w:type="dxa"/>
            <w:tcBorders>
              <w:top w:val="nil"/>
              <w:left w:val="nil"/>
              <w:bottom w:val="nil"/>
              <w:right w:val="nil"/>
            </w:tcBorders>
          </w:tcPr>
          <w:p w14:paraId="1F5E63DA" w14:textId="77777777" w:rsidR="00E21783" w:rsidRPr="004F6DB1" w:rsidRDefault="00E21783">
            <w:pPr>
              <w:rPr>
                <w:b/>
                <w:sz w:val="16"/>
              </w:rPr>
            </w:pPr>
          </w:p>
        </w:tc>
        <w:tc>
          <w:tcPr>
            <w:tcW w:w="972" w:type="dxa"/>
            <w:tcBorders>
              <w:top w:val="nil"/>
              <w:left w:val="nil"/>
              <w:bottom w:val="nil"/>
              <w:right w:val="nil"/>
            </w:tcBorders>
          </w:tcPr>
          <w:p w14:paraId="1634B1A8" w14:textId="77777777" w:rsidR="00E21783" w:rsidRPr="004F6DB1" w:rsidRDefault="00E21783">
            <w:pPr>
              <w:rPr>
                <w:b/>
                <w:sz w:val="16"/>
              </w:rPr>
            </w:pPr>
          </w:p>
        </w:tc>
        <w:tc>
          <w:tcPr>
            <w:tcW w:w="954" w:type="dxa"/>
            <w:tcBorders>
              <w:top w:val="nil"/>
              <w:left w:val="nil"/>
              <w:bottom w:val="nil"/>
              <w:right w:val="nil"/>
            </w:tcBorders>
          </w:tcPr>
          <w:p w14:paraId="7E903EA9" w14:textId="77777777" w:rsidR="00E21783" w:rsidRPr="004F6DB1" w:rsidRDefault="00E21783">
            <w:pPr>
              <w:rPr>
                <w:b/>
                <w:sz w:val="16"/>
              </w:rPr>
            </w:pPr>
          </w:p>
        </w:tc>
        <w:tc>
          <w:tcPr>
            <w:tcW w:w="968" w:type="dxa"/>
            <w:tcBorders>
              <w:top w:val="nil"/>
              <w:left w:val="nil"/>
              <w:bottom w:val="nil"/>
              <w:right w:val="nil"/>
            </w:tcBorders>
          </w:tcPr>
          <w:p w14:paraId="7EC0E847" w14:textId="77777777" w:rsidR="00E21783" w:rsidRPr="004F6DB1" w:rsidRDefault="00E21783">
            <w:pPr>
              <w:rPr>
                <w:b/>
                <w:sz w:val="16"/>
              </w:rPr>
            </w:pPr>
          </w:p>
        </w:tc>
        <w:tc>
          <w:tcPr>
            <w:tcW w:w="809" w:type="dxa"/>
            <w:tcBorders>
              <w:top w:val="nil"/>
              <w:left w:val="nil"/>
              <w:bottom w:val="nil"/>
              <w:right w:val="nil"/>
            </w:tcBorders>
          </w:tcPr>
          <w:p w14:paraId="499BFAFB" w14:textId="77777777" w:rsidR="00E21783" w:rsidRPr="004F6DB1" w:rsidRDefault="00E21783">
            <w:pPr>
              <w:rPr>
                <w:b/>
                <w:sz w:val="16"/>
              </w:rPr>
            </w:pPr>
          </w:p>
        </w:tc>
        <w:tc>
          <w:tcPr>
            <w:tcW w:w="732" w:type="dxa"/>
            <w:tcBorders>
              <w:top w:val="nil"/>
              <w:left w:val="nil"/>
              <w:bottom w:val="nil"/>
              <w:right w:val="nil"/>
            </w:tcBorders>
          </w:tcPr>
          <w:p w14:paraId="7FF84D84" w14:textId="77777777" w:rsidR="00E21783" w:rsidRPr="004F6DB1" w:rsidRDefault="00E21783">
            <w:pPr>
              <w:rPr>
                <w:b/>
                <w:sz w:val="16"/>
              </w:rPr>
            </w:pPr>
          </w:p>
        </w:tc>
        <w:tc>
          <w:tcPr>
            <w:tcW w:w="1373" w:type="dxa"/>
            <w:tcBorders>
              <w:top w:val="nil"/>
              <w:left w:val="nil"/>
              <w:bottom w:val="nil"/>
              <w:right w:val="nil"/>
            </w:tcBorders>
          </w:tcPr>
          <w:p w14:paraId="73C2B517" w14:textId="77777777" w:rsidR="00E21783" w:rsidRPr="004F6DB1" w:rsidRDefault="00E21783">
            <w:pPr>
              <w:rPr>
                <w:b/>
                <w:sz w:val="16"/>
              </w:rPr>
            </w:pPr>
          </w:p>
        </w:tc>
        <w:tc>
          <w:tcPr>
            <w:tcW w:w="1186" w:type="dxa"/>
            <w:tcBorders>
              <w:top w:val="nil"/>
              <w:left w:val="nil"/>
              <w:bottom w:val="nil"/>
              <w:right w:val="nil"/>
            </w:tcBorders>
          </w:tcPr>
          <w:p w14:paraId="1966E4F2" w14:textId="77777777" w:rsidR="00E21783" w:rsidRPr="004F6DB1" w:rsidRDefault="00E21783">
            <w:pPr>
              <w:rPr>
                <w:b/>
                <w:sz w:val="16"/>
              </w:rPr>
            </w:pPr>
          </w:p>
        </w:tc>
      </w:tr>
    </w:tbl>
    <w:p w14:paraId="0D5C4A09" w14:textId="77777777" w:rsidR="000A6157" w:rsidRDefault="000A6157"/>
    <w:p w14:paraId="2890EDA0" w14:textId="14770FC6" w:rsidR="000A6157" w:rsidRPr="000A6157" w:rsidRDefault="00E21783" w:rsidP="000A6157">
      <w:pPr>
        <w:jc w:val="center"/>
        <w:rPr>
          <w:b/>
        </w:rPr>
      </w:pPr>
      <w:r>
        <w:rPr>
          <w:b/>
        </w:rPr>
        <w:t>Figure 9-751e</w:t>
      </w:r>
      <w:r w:rsidR="000A6157" w:rsidRPr="000A6157">
        <w:rPr>
          <w:b/>
        </w:rPr>
        <w:t>—WUR Operation element format</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385717B0" w:rsidR="005A1CCF" w:rsidRDefault="006B4A64">
      <w:pPr>
        <w:rPr>
          <w:u w:val="single"/>
        </w:rPr>
      </w:pPr>
      <w:r w:rsidRPr="009F6DF3">
        <w:rPr>
          <w:u w:val="single"/>
        </w:rPr>
        <w:t xml:space="preserve">The </w:t>
      </w:r>
      <w:r w:rsidR="00A644E2" w:rsidRPr="009F6DF3">
        <w:rPr>
          <w:u w:val="single"/>
        </w:rPr>
        <w:t>WUR</w:t>
      </w:r>
      <w:r w:rsidRPr="009F6DF3">
        <w:rPr>
          <w:u w:val="single"/>
        </w:rPr>
        <w:t xml:space="preserve"> </w:t>
      </w:r>
      <w:r w:rsidR="005A1CCF">
        <w:rPr>
          <w:u w:val="single"/>
        </w:rPr>
        <w:t xml:space="preserve">Connectivity </w:t>
      </w:r>
      <w:r w:rsidRPr="009F6DF3">
        <w:rPr>
          <w:u w:val="single"/>
        </w:rPr>
        <w:t>Timeout field</w:t>
      </w:r>
      <w:r w:rsidR="00F1340E" w:rsidRPr="009F6DF3">
        <w:rPr>
          <w:u w:val="single"/>
        </w:rPr>
        <w:t xml:space="preserve"> indicates the time after which the WUR </w:t>
      </w:r>
      <w:r w:rsidR="005A1CCF">
        <w:rPr>
          <w:u w:val="single"/>
        </w:rPr>
        <w:t>connectivity with a WUR non-AP STA</w:t>
      </w:r>
      <w:r w:rsidR="00F1340E" w:rsidRPr="009F6DF3">
        <w:rPr>
          <w:u w:val="single"/>
        </w:rPr>
        <w:t xml:space="preserve"> </w:t>
      </w:r>
      <w:r w:rsidR="005A1CCF">
        <w:rPr>
          <w:u w:val="single"/>
        </w:rPr>
        <w:t xml:space="preserve">will be </w:t>
      </w:r>
      <w:r w:rsidR="00F1340E" w:rsidRPr="009F6DF3">
        <w:rPr>
          <w:u w:val="single"/>
        </w:rPr>
        <w:t>cons</w:t>
      </w:r>
      <w:r w:rsidR="004B183A">
        <w:rPr>
          <w:u w:val="single"/>
        </w:rPr>
        <w:t xml:space="preserve">idered to be lost by the WUR </w:t>
      </w:r>
      <w:r w:rsidR="000A3BC7">
        <w:rPr>
          <w:u w:val="single"/>
        </w:rPr>
        <w:t xml:space="preserve">AP with which the STA </w:t>
      </w:r>
      <w:r w:rsidR="005A1CCF">
        <w:rPr>
          <w:u w:val="single"/>
        </w:rPr>
        <w:t xml:space="preserve">has negotiated </w:t>
      </w:r>
      <w:r w:rsidR="000A3BC7">
        <w:rPr>
          <w:u w:val="single"/>
        </w:rPr>
        <w:t xml:space="preserve">WUR </w:t>
      </w:r>
      <w:r w:rsidR="005A1CCF">
        <w:rPr>
          <w:u w:val="single"/>
        </w:rPr>
        <w:t xml:space="preserve">mode </w:t>
      </w:r>
      <w:r w:rsidR="00926944">
        <w:rPr>
          <w:u w:val="single"/>
        </w:rPr>
        <w:t>negotiation</w:t>
      </w:r>
      <w:r w:rsidR="00911B46">
        <w:rPr>
          <w:u w:val="single"/>
        </w:rPr>
        <w:t xml:space="preserve"> (see </w:t>
      </w:r>
      <w:r w:rsidR="005A1CCF">
        <w:rPr>
          <w:u w:val="single"/>
        </w:rPr>
        <w:t>31</w:t>
      </w:r>
      <w:r w:rsidR="00911B46">
        <w:rPr>
          <w:u w:val="single"/>
        </w:rPr>
        <w:t>.</w:t>
      </w:r>
      <w:r w:rsidR="00E27CCF">
        <w:rPr>
          <w:u w:val="single"/>
        </w:rPr>
        <w:t>11</w:t>
      </w:r>
      <w:r w:rsidR="00911B46">
        <w:rPr>
          <w:u w:val="single"/>
        </w:rPr>
        <w:t xml:space="preserve"> </w:t>
      </w:r>
      <w:r w:rsidR="00E27CCF">
        <w:rPr>
          <w:u w:val="single"/>
        </w:rPr>
        <w:t>WUR Connectivity Timeout</w:t>
      </w:r>
      <w:r w:rsidR="00911B46">
        <w:rPr>
          <w:u w:val="single"/>
        </w:rPr>
        <w:t>)</w:t>
      </w:r>
      <w:r w:rsidR="00926944">
        <w:rPr>
          <w:u w:val="single"/>
        </w:rPr>
        <w:t>.</w:t>
      </w:r>
      <w:r w:rsidR="009F082D">
        <w:rPr>
          <w:u w:val="single"/>
        </w:rPr>
        <w:t xml:space="preserve"> </w:t>
      </w:r>
      <w:r w:rsidR="005A1CCF">
        <w:rPr>
          <w:u w:val="single"/>
        </w:rPr>
        <w:t xml:space="preserve">The WUR Connectivity Timeout field is set to 0 to indicate that the AP does not support indicating a connectivity timeout value. The WUR Connectivity Timeout field </w:t>
      </w:r>
      <w:r w:rsidR="0025316E">
        <w:rPr>
          <w:u w:val="single"/>
        </w:rPr>
        <w:t>is</w:t>
      </w:r>
      <w:r w:rsidR="005A1CCF">
        <w:rPr>
          <w:u w:val="single"/>
        </w:rPr>
        <w:t xml:space="preserve"> set to a nonzero value to indicate the time, in units of 10 TUs, after which the WUR connectiv</w:t>
      </w:r>
      <w:r w:rsidR="00DF23E4">
        <w:rPr>
          <w:u w:val="single"/>
        </w:rPr>
        <w:t>it</w:t>
      </w:r>
      <w:r w:rsidR="005A1CCF">
        <w:rPr>
          <w:u w:val="single"/>
        </w:rPr>
        <w:t>y will be lost</w:t>
      </w:r>
      <w:r w:rsidR="00C61489">
        <w:rPr>
          <w:u w:val="single"/>
        </w:rPr>
        <w:t xml:space="preserve">, wherein the </w:t>
      </w:r>
      <w:r w:rsidR="00D54AC4">
        <w:rPr>
          <w:u w:val="single"/>
        </w:rPr>
        <w:t>timer</w:t>
      </w:r>
      <w:r w:rsidR="00C61489">
        <w:rPr>
          <w:u w:val="single"/>
        </w:rPr>
        <w:t xml:space="preserve"> starts from the most recent</w:t>
      </w:r>
      <w:r w:rsidR="0098419D">
        <w:rPr>
          <w:u w:val="single"/>
        </w:rPr>
        <w:t>ly trans</w:t>
      </w:r>
      <w:r w:rsidR="00BE721A">
        <w:rPr>
          <w:u w:val="single"/>
        </w:rPr>
        <w:t>mitted</w:t>
      </w:r>
      <w:r w:rsidR="00D404B6">
        <w:rPr>
          <w:u w:val="single"/>
        </w:rPr>
        <w:t xml:space="preserve"> Group or Individually addressed</w:t>
      </w:r>
      <w:r w:rsidR="00BE721A">
        <w:rPr>
          <w:u w:val="single"/>
        </w:rPr>
        <w:t xml:space="preserve"> WU</w:t>
      </w:r>
      <w:r w:rsidR="00D54AC4">
        <w:rPr>
          <w:u w:val="single"/>
        </w:rPr>
        <w:t>R frame</w:t>
      </w:r>
      <w:r w:rsidR="00BE721A">
        <w:rPr>
          <w:u w:val="single"/>
        </w:rPr>
        <w:t xml:space="preserve"> intended for the STA and stops with </w:t>
      </w:r>
      <w:r w:rsidR="007A1913">
        <w:rPr>
          <w:u w:val="single"/>
        </w:rPr>
        <w:t xml:space="preserve">the first </w:t>
      </w:r>
      <w:r w:rsidR="00BE721A">
        <w:rPr>
          <w:u w:val="single"/>
        </w:rPr>
        <w:t xml:space="preserve">frame </w:t>
      </w:r>
      <w:r w:rsidR="007A1913">
        <w:rPr>
          <w:u w:val="single"/>
        </w:rPr>
        <w:t xml:space="preserve">exchange initiated </w:t>
      </w:r>
      <w:r w:rsidR="0007482E">
        <w:rPr>
          <w:u w:val="single"/>
        </w:rPr>
        <w:t>by the STA with the AP.</w:t>
      </w:r>
    </w:p>
    <w:p w14:paraId="5482D554" w14:textId="0ACDFA49" w:rsidR="00B94A3B" w:rsidRDefault="00B94A3B">
      <w:pPr>
        <w:rPr>
          <w:u w:val="single"/>
        </w:rPr>
      </w:pPr>
    </w:p>
    <w:p w14:paraId="49345419" w14:textId="2B1281DB" w:rsidR="00190AA4" w:rsidRPr="00BB6731" w:rsidRDefault="00190AA4">
      <w:r w:rsidRPr="00B94A3B">
        <w:t>The Counter field indicates the current value of the Counter subfield included in the broadcast WUR Wake-up frames.</w:t>
      </w:r>
    </w:p>
    <w:p w14:paraId="3170BDEC" w14:textId="2DC8B43D" w:rsidR="00190AA4" w:rsidRDefault="00EE075B">
      <w:r w:rsidRPr="003C7D1C">
        <w:t>...</w:t>
      </w:r>
    </w:p>
    <w:p w14:paraId="000C6782" w14:textId="77777777" w:rsidR="00BB6731" w:rsidRPr="003C7D1C" w:rsidRDefault="00BB6731"/>
    <w:p w14:paraId="174FAC57" w14:textId="77777777" w:rsidR="00386B4D" w:rsidRDefault="00386B4D"/>
    <w:p w14:paraId="3ED5026F" w14:textId="267A9D44" w:rsidR="00386B4D" w:rsidRDefault="00386B4D">
      <w:pPr>
        <w:rPr>
          <w:lang w:val="en-US"/>
        </w:rPr>
      </w:pPr>
      <w:r w:rsidRPr="00F54AAB">
        <w:rPr>
          <w:highlight w:val="yellow"/>
          <w:lang w:val="en-US"/>
        </w:rPr>
        <w:t>TGba Editor: Please modify this section as follows:</w:t>
      </w:r>
    </w:p>
    <w:p w14:paraId="7BE145F8" w14:textId="77777777" w:rsidR="00E816D4" w:rsidRPr="003373C9" w:rsidRDefault="00E816D4">
      <w:pPr>
        <w:rPr>
          <w:lang w:val="en-US"/>
        </w:rPr>
      </w:pPr>
    </w:p>
    <w:p w14:paraId="0CCB3CC3" w14:textId="2AF7700F" w:rsidR="00386B4D" w:rsidRPr="00E816D4" w:rsidRDefault="00C61489">
      <w:pPr>
        <w:rPr>
          <w:b/>
          <w:u w:val="single"/>
          <w:lang w:val="en-US"/>
        </w:rPr>
      </w:pPr>
      <w:r>
        <w:rPr>
          <w:b/>
          <w:u w:val="single"/>
          <w:lang w:val="en-US"/>
        </w:rPr>
        <w:t>31.</w:t>
      </w:r>
      <w:r w:rsidR="00E27CCF">
        <w:rPr>
          <w:b/>
          <w:u w:val="single"/>
          <w:lang w:val="en-US"/>
        </w:rPr>
        <w:t>11</w:t>
      </w:r>
      <w:r w:rsidRPr="00E816D4">
        <w:rPr>
          <w:b/>
          <w:u w:val="single"/>
          <w:lang w:val="en-US"/>
        </w:rPr>
        <w:t xml:space="preserve"> </w:t>
      </w:r>
      <w:r>
        <w:rPr>
          <w:b/>
          <w:u w:val="single"/>
          <w:lang w:val="en-US"/>
        </w:rPr>
        <w:t xml:space="preserve">WUR </w:t>
      </w:r>
      <w:r w:rsidR="00E27CCF">
        <w:rPr>
          <w:b/>
          <w:u w:val="single"/>
          <w:lang w:val="en-US"/>
        </w:rPr>
        <w:t>C</w:t>
      </w:r>
      <w:r>
        <w:rPr>
          <w:b/>
          <w:u w:val="single"/>
          <w:lang w:val="en-US"/>
        </w:rPr>
        <w:t xml:space="preserve">onnectivity </w:t>
      </w:r>
      <w:r w:rsidR="00E27CCF">
        <w:rPr>
          <w:b/>
          <w:u w:val="single"/>
          <w:lang w:val="en-US"/>
        </w:rPr>
        <w:t>T</w:t>
      </w:r>
      <w:r>
        <w:rPr>
          <w:b/>
          <w:u w:val="single"/>
          <w:lang w:val="en-US"/>
        </w:rPr>
        <w:t>imeout</w:t>
      </w:r>
    </w:p>
    <w:p w14:paraId="6195A5F0" w14:textId="77777777" w:rsidR="00C576CD" w:rsidRPr="00E816D4" w:rsidRDefault="00C576CD">
      <w:pPr>
        <w:rPr>
          <w:u w:val="single"/>
        </w:rPr>
      </w:pPr>
    </w:p>
    <w:p w14:paraId="32E8C7DD" w14:textId="1790F2E4" w:rsidR="00143C6B" w:rsidRPr="0073069D" w:rsidRDefault="00E5492C">
      <w:pPr>
        <w:rPr>
          <w:u w:val="single"/>
        </w:rPr>
      </w:pPr>
      <w:r w:rsidRPr="00E816D4">
        <w:rPr>
          <w:u w:val="single"/>
        </w:rPr>
        <w:t>A WUR capable AP can indicate to a WUR non-AP STA the timeout</w:t>
      </w:r>
      <w:r w:rsidR="00AC42C7">
        <w:rPr>
          <w:u w:val="single"/>
        </w:rPr>
        <w:t xml:space="preserve"> in units of 10 TUs</w:t>
      </w:r>
      <w:r w:rsidRPr="00E816D4">
        <w:rPr>
          <w:u w:val="single"/>
        </w:rPr>
        <w:t xml:space="preserve"> after which </w:t>
      </w:r>
      <w:r w:rsidR="00C1798E">
        <w:rPr>
          <w:u w:val="single"/>
        </w:rPr>
        <w:t xml:space="preserve">the AP </w:t>
      </w:r>
      <w:r w:rsidRPr="00E816D4">
        <w:rPr>
          <w:u w:val="single"/>
        </w:rPr>
        <w:t>considers the</w:t>
      </w:r>
      <w:r w:rsidR="00AC42C7">
        <w:rPr>
          <w:u w:val="single"/>
        </w:rPr>
        <w:t xml:space="preserve"> connection to the</w:t>
      </w:r>
      <w:r w:rsidRPr="00E816D4">
        <w:rPr>
          <w:u w:val="single"/>
        </w:rPr>
        <w:t xml:space="preserve"> </w:t>
      </w:r>
      <w:r w:rsidR="00C1798E">
        <w:rPr>
          <w:u w:val="single"/>
        </w:rPr>
        <w:t>WUR non-AP STA</w:t>
      </w:r>
      <w:r w:rsidR="00C1798E" w:rsidRPr="00E816D4">
        <w:rPr>
          <w:u w:val="single"/>
        </w:rPr>
        <w:t xml:space="preserve"> </w:t>
      </w:r>
      <w:r w:rsidRPr="00E816D4">
        <w:rPr>
          <w:u w:val="single"/>
        </w:rPr>
        <w:t xml:space="preserve">to be </w:t>
      </w:r>
      <w:r w:rsidR="00415DFB" w:rsidRPr="00E816D4">
        <w:rPr>
          <w:u w:val="single"/>
        </w:rPr>
        <w:t>lost</w:t>
      </w:r>
      <w:r w:rsidR="00AC42C7">
        <w:rPr>
          <w:u w:val="single"/>
        </w:rPr>
        <w:t>.</w:t>
      </w:r>
      <w:r w:rsidR="00415DFB" w:rsidRPr="00E816D4">
        <w:rPr>
          <w:u w:val="single"/>
        </w:rPr>
        <w:t xml:space="preserve"> </w:t>
      </w:r>
      <w:r w:rsidR="00AC42C7">
        <w:rPr>
          <w:u w:val="single"/>
        </w:rPr>
        <w:t>T</w:t>
      </w:r>
      <w:r w:rsidR="00415DFB" w:rsidRPr="00E816D4">
        <w:rPr>
          <w:u w:val="single"/>
        </w:rPr>
        <w:t xml:space="preserve">he WUR </w:t>
      </w:r>
      <w:r w:rsidR="00C1798E">
        <w:rPr>
          <w:u w:val="single"/>
        </w:rPr>
        <w:t xml:space="preserve">Connecivity </w:t>
      </w:r>
      <w:r w:rsidR="00415DFB" w:rsidRPr="00E816D4">
        <w:rPr>
          <w:u w:val="single"/>
        </w:rPr>
        <w:t>Timeout field in the WUR Operation Element</w:t>
      </w:r>
      <w:r w:rsidR="00AC42C7">
        <w:rPr>
          <w:u w:val="single"/>
        </w:rPr>
        <w:t xml:space="preserve"> is used to indicate this timeout</w:t>
      </w:r>
      <w:r w:rsidR="00415DFB" w:rsidRPr="00E816D4">
        <w:rPr>
          <w:u w:val="single"/>
        </w:rPr>
        <w:t>.</w:t>
      </w:r>
      <w:r w:rsidR="00082663" w:rsidRPr="00E816D4">
        <w:rPr>
          <w:u w:val="single"/>
        </w:rPr>
        <w:t xml:space="preserve"> This helps the AP to determine whether the </w:t>
      </w:r>
      <w:r w:rsidR="00C1798E">
        <w:rPr>
          <w:u w:val="single"/>
        </w:rPr>
        <w:lastRenderedPageBreak/>
        <w:t>WUR non-AP STA</w:t>
      </w:r>
      <w:r w:rsidR="00C1798E" w:rsidRPr="00E816D4">
        <w:rPr>
          <w:u w:val="single"/>
        </w:rPr>
        <w:t xml:space="preserve"> </w:t>
      </w:r>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r w:rsidR="00AC42C7">
        <w:rPr>
          <w:u w:val="single"/>
        </w:rPr>
        <w:t xml:space="preserve">The </w:t>
      </w:r>
      <w:r w:rsidR="00D54AC4">
        <w:rPr>
          <w:u w:val="single"/>
        </w:rPr>
        <w:t>timer</w:t>
      </w:r>
      <w:r w:rsidR="00AC42C7">
        <w:rPr>
          <w:u w:val="single"/>
        </w:rPr>
        <w:t xml:space="preserve"> starts from the most recent</w:t>
      </w:r>
      <w:r w:rsidR="0098419D">
        <w:rPr>
          <w:u w:val="single"/>
        </w:rPr>
        <w:t>ly</w:t>
      </w:r>
      <w:r w:rsidR="00AC42C7">
        <w:rPr>
          <w:u w:val="single"/>
        </w:rPr>
        <w:t xml:space="preserve"> </w:t>
      </w:r>
      <w:r w:rsidR="0098419D">
        <w:rPr>
          <w:u w:val="single"/>
        </w:rPr>
        <w:t xml:space="preserve">transmitted </w:t>
      </w:r>
      <w:r w:rsidR="00D404B6">
        <w:rPr>
          <w:u w:val="single"/>
        </w:rPr>
        <w:t xml:space="preserve">Group or Individually addressed </w:t>
      </w:r>
      <w:r w:rsidR="0098419D">
        <w:rPr>
          <w:u w:val="single"/>
        </w:rPr>
        <w:t>W</w:t>
      </w:r>
      <w:r w:rsidR="00D404B6">
        <w:rPr>
          <w:u w:val="single"/>
        </w:rPr>
        <w:t>UR frame</w:t>
      </w:r>
      <w:r w:rsidR="0098419D">
        <w:rPr>
          <w:u w:val="single"/>
        </w:rPr>
        <w:t xml:space="preserve"> intended for the STA </w:t>
      </w:r>
      <w:r w:rsidR="00AC42C7">
        <w:rPr>
          <w:u w:val="single"/>
        </w:rPr>
        <w:t xml:space="preserve">and </w:t>
      </w:r>
      <w:r w:rsidR="00BE721A">
        <w:rPr>
          <w:u w:val="single"/>
        </w:rPr>
        <w:t xml:space="preserve">stops with </w:t>
      </w:r>
      <w:r w:rsidR="00D404B6">
        <w:rPr>
          <w:u w:val="single"/>
        </w:rPr>
        <w:t>the first frame exchange initiated by the STA</w:t>
      </w:r>
      <w:r w:rsidR="0007482E">
        <w:rPr>
          <w:u w:val="single"/>
        </w:rPr>
        <w:t xml:space="preserve"> with the AP</w:t>
      </w:r>
      <w:r w:rsidR="00AC42C7">
        <w:rPr>
          <w:u w:val="single"/>
        </w:rPr>
        <w:t>.</w:t>
      </w:r>
      <w:r w:rsidR="00DA6A97" w:rsidRPr="00DA6A97">
        <w:rPr>
          <w:u w:val="single"/>
        </w:rPr>
        <w:t xml:space="preserve"> </w:t>
      </w:r>
      <w:r w:rsidR="00916E00">
        <w:rPr>
          <w:u w:val="single"/>
        </w:rPr>
        <w:t>The timer is reset for every WUR frame</w:t>
      </w:r>
      <w:bookmarkStart w:id="0" w:name="_GoBack"/>
      <w:bookmarkEnd w:id="0"/>
      <w:r w:rsidR="00DA6A97">
        <w:rPr>
          <w:u w:val="single"/>
        </w:rPr>
        <w:t xml:space="preserve"> transmitted.</w:t>
      </w:r>
    </w:p>
    <w:p w14:paraId="51AF0340" w14:textId="77777777" w:rsidR="00D551C4" w:rsidRPr="00E816D4" w:rsidRDefault="00D551C4">
      <w:pPr>
        <w:rPr>
          <w:u w:val="single"/>
        </w:rPr>
      </w:pPr>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r w:rsidR="00AC42C7">
        <w:rPr>
          <w:u w:val="single"/>
        </w:rPr>
        <w:t xml:space="preserve"> connection to the WUR</w:t>
      </w:r>
      <w:r w:rsidRPr="00E816D4">
        <w:rPr>
          <w:u w:val="single"/>
        </w:rPr>
        <w:t xml:space="preserve"> non-AP STA is lost is implementation specific and outside the scope of this standard.</w:t>
      </w:r>
    </w:p>
    <w:sectPr w:rsidR="00CA09B2" w:rsidRPr="00436267">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3869FCEB" w16cid:durableId="1FE994F8"/>
  <w16cid:commentId w16cid:paraId="03C207DF" w16cid:durableId="1FE99457"/>
  <w16cid:commentId w16cid:paraId="3D7616D0" w16cid:durableId="1FE9945A"/>
  <w16cid:commentId w16cid:paraId="4D6163D5" w16cid:durableId="1FE99479"/>
  <w16cid:commentId w16cid:paraId="0F23942E" w16cid:durableId="1FE99460"/>
  <w16cid:commentId w16cid:paraId="78B8CAB5" w16cid:durableId="1FE994B7"/>
  <w16cid:commentId w16cid:paraId="122B24F1" w16cid:durableId="1FD1F468"/>
  <w16cid:commentId w16cid:paraId="670FB58A" w16cid:durableId="1FE99552"/>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B424" w14:textId="77777777" w:rsidR="0058331D" w:rsidRDefault="0058331D">
      <w:r>
        <w:separator/>
      </w:r>
    </w:p>
  </w:endnote>
  <w:endnote w:type="continuationSeparator" w:id="0">
    <w:p w14:paraId="77DD4ECF" w14:textId="77777777" w:rsidR="0058331D" w:rsidRDefault="0058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0707C529"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916E00">
      <w:rPr>
        <w:noProof/>
      </w:rPr>
      <w:t>3</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FC789" w14:textId="77777777" w:rsidR="0058331D" w:rsidRDefault="0058331D">
      <w:r>
        <w:separator/>
      </w:r>
    </w:p>
  </w:footnote>
  <w:footnote w:type="continuationSeparator" w:id="0">
    <w:p w14:paraId="57B99CB3" w14:textId="77777777" w:rsidR="0058331D" w:rsidRDefault="005833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44CF4312" w:rsidR="00F45D20" w:rsidRDefault="00DD745A">
    <w:pPr>
      <w:pStyle w:val="Header"/>
      <w:tabs>
        <w:tab w:val="clear" w:pos="6480"/>
        <w:tab w:val="center" w:pos="4680"/>
        <w:tab w:val="right" w:pos="9360"/>
      </w:tabs>
    </w:pPr>
    <w:r>
      <w:t>October</w:t>
    </w:r>
    <w:r w:rsidR="00116B6C">
      <w:t xml:space="preserve"> 2018</w:t>
    </w:r>
    <w:r w:rsidR="0029020B">
      <w:tab/>
    </w:r>
    <w:r w:rsidR="0029020B">
      <w:tab/>
    </w:r>
    <w:fldSimple w:instr=" TITLE  \* MERGEFORMAT ">
      <w:r w:rsidR="00B96D5C">
        <w:t>doc.: IEEE 802.11-18/1836</w:t>
      </w:r>
      <w:r>
        <w:t>r</w:t>
      </w:r>
    </w:fldSimple>
    <w:r w:rsidR="00D664BD">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5995"/>
    <w:rsid w:val="000271B0"/>
    <w:rsid w:val="00032E1C"/>
    <w:rsid w:val="00040082"/>
    <w:rsid w:val="00052B77"/>
    <w:rsid w:val="00062108"/>
    <w:rsid w:val="0007482E"/>
    <w:rsid w:val="00080789"/>
    <w:rsid w:val="00082663"/>
    <w:rsid w:val="00086A8B"/>
    <w:rsid w:val="000A3BC7"/>
    <w:rsid w:val="000A6157"/>
    <w:rsid w:val="000C3A4C"/>
    <w:rsid w:val="000E2761"/>
    <w:rsid w:val="00105F8D"/>
    <w:rsid w:val="00116B6C"/>
    <w:rsid w:val="0013240F"/>
    <w:rsid w:val="00143C6B"/>
    <w:rsid w:val="00144315"/>
    <w:rsid w:val="0017278E"/>
    <w:rsid w:val="0017532C"/>
    <w:rsid w:val="0018289B"/>
    <w:rsid w:val="00186A3B"/>
    <w:rsid w:val="00190AA4"/>
    <w:rsid w:val="0019328D"/>
    <w:rsid w:val="00197948"/>
    <w:rsid w:val="001A2A66"/>
    <w:rsid w:val="001B770C"/>
    <w:rsid w:val="001D723B"/>
    <w:rsid w:val="001F4E69"/>
    <w:rsid w:val="00205511"/>
    <w:rsid w:val="00215463"/>
    <w:rsid w:val="00227CBF"/>
    <w:rsid w:val="00235168"/>
    <w:rsid w:val="00235F90"/>
    <w:rsid w:val="00237838"/>
    <w:rsid w:val="00245506"/>
    <w:rsid w:val="0025316E"/>
    <w:rsid w:val="00287552"/>
    <w:rsid w:val="0029020B"/>
    <w:rsid w:val="002A2919"/>
    <w:rsid w:val="002B4DCA"/>
    <w:rsid w:val="002D44BE"/>
    <w:rsid w:val="002D7B9A"/>
    <w:rsid w:val="002F7CD4"/>
    <w:rsid w:val="0030334C"/>
    <w:rsid w:val="0031462F"/>
    <w:rsid w:val="00333D10"/>
    <w:rsid w:val="003373C9"/>
    <w:rsid w:val="00344E59"/>
    <w:rsid w:val="00375338"/>
    <w:rsid w:val="00385B67"/>
    <w:rsid w:val="00386B4D"/>
    <w:rsid w:val="003C1FCD"/>
    <w:rsid w:val="003C7D1C"/>
    <w:rsid w:val="003D13D7"/>
    <w:rsid w:val="003D599D"/>
    <w:rsid w:val="00403146"/>
    <w:rsid w:val="00412534"/>
    <w:rsid w:val="00415542"/>
    <w:rsid w:val="00415DFB"/>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0F89"/>
    <w:rsid w:val="00531672"/>
    <w:rsid w:val="00533F2C"/>
    <w:rsid w:val="00537863"/>
    <w:rsid w:val="00557E3C"/>
    <w:rsid w:val="0058331D"/>
    <w:rsid w:val="00586F01"/>
    <w:rsid w:val="00594F3E"/>
    <w:rsid w:val="005A1CCF"/>
    <w:rsid w:val="005B1EF9"/>
    <w:rsid w:val="005B257A"/>
    <w:rsid w:val="005B7F37"/>
    <w:rsid w:val="005C2810"/>
    <w:rsid w:val="005E44FB"/>
    <w:rsid w:val="005E5C77"/>
    <w:rsid w:val="00610394"/>
    <w:rsid w:val="0062440B"/>
    <w:rsid w:val="00650DA3"/>
    <w:rsid w:val="00654A0C"/>
    <w:rsid w:val="00656B6D"/>
    <w:rsid w:val="0069635B"/>
    <w:rsid w:val="006966BA"/>
    <w:rsid w:val="006B4A64"/>
    <w:rsid w:val="006C0727"/>
    <w:rsid w:val="006D0DA5"/>
    <w:rsid w:val="006E145F"/>
    <w:rsid w:val="00705385"/>
    <w:rsid w:val="00711759"/>
    <w:rsid w:val="00723C4B"/>
    <w:rsid w:val="0073069D"/>
    <w:rsid w:val="00740BDD"/>
    <w:rsid w:val="00741D0F"/>
    <w:rsid w:val="0074463C"/>
    <w:rsid w:val="00746EDD"/>
    <w:rsid w:val="00756A78"/>
    <w:rsid w:val="00763EA8"/>
    <w:rsid w:val="00770572"/>
    <w:rsid w:val="0077338E"/>
    <w:rsid w:val="007A1913"/>
    <w:rsid w:val="007C4EB0"/>
    <w:rsid w:val="007D37B9"/>
    <w:rsid w:val="007E2DD8"/>
    <w:rsid w:val="00810649"/>
    <w:rsid w:val="0081355B"/>
    <w:rsid w:val="00831138"/>
    <w:rsid w:val="008435E4"/>
    <w:rsid w:val="008528C5"/>
    <w:rsid w:val="00860B79"/>
    <w:rsid w:val="008828B7"/>
    <w:rsid w:val="00897CCE"/>
    <w:rsid w:val="008A1C13"/>
    <w:rsid w:val="008A2FAF"/>
    <w:rsid w:val="008C1359"/>
    <w:rsid w:val="008D3CC0"/>
    <w:rsid w:val="008D47DF"/>
    <w:rsid w:val="008E456B"/>
    <w:rsid w:val="009074AA"/>
    <w:rsid w:val="00911B46"/>
    <w:rsid w:val="00912A2C"/>
    <w:rsid w:val="00916E00"/>
    <w:rsid w:val="00926944"/>
    <w:rsid w:val="00946552"/>
    <w:rsid w:val="0098419D"/>
    <w:rsid w:val="00985DDB"/>
    <w:rsid w:val="009875E8"/>
    <w:rsid w:val="00990D7D"/>
    <w:rsid w:val="009B5518"/>
    <w:rsid w:val="009E34DD"/>
    <w:rsid w:val="009E487C"/>
    <w:rsid w:val="009F082D"/>
    <w:rsid w:val="009F2FBC"/>
    <w:rsid w:val="009F6DF3"/>
    <w:rsid w:val="00A01D70"/>
    <w:rsid w:val="00A22123"/>
    <w:rsid w:val="00A41A57"/>
    <w:rsid w:val="00A50A3D"/>
    <w:rsid w:val="00A632DB"/>
    <w:rsid w:val="00A644E2"/>
    <w:rsid w:val="00A6671D"/>
    <w:rsid w:val="00A92722"/>
    <w:rsid w:val="00A9555C"/>
    <w:rsid w:val="00A9711D"/>
    <w:rsid w:val="00AA427C"/>
    <w:rsid w:val="00AB241F"/>
    <w:rsid w:val="00AB5369"/>
    <w:rsid w:val="00AC0B37"/>
    <w:rsid w:val="00AC0CBB"/>
    <w:rsid w:val="00AC42C7"/>
    <w:rsid w:val="00AD4B6D"/>
    <w:rsid w:val="00AE0EE6"/>
    <w:rsid w:val="00AF59F6"/>
    <w:rsid w:val="00B00140"/>
    <w:rsid w:val="00B124B2"/>
    <w:rsid w:val="00B2411E"/>
    <w:rsid w:val="00B34787"/>
    <w:rsid w:val="00B34F20"/>
    <w:rsid w:val="00B36EFF"/>
    <w:rsid w:val="00B45F84"/>
    <w:rsid w:val="00B51695"/>
    <w:rsid w:val="00B568D2"/>
    <w:rsid w:val="00B94A3B"/>
    <w:rsid w:val="00B964FA"/>
    <w:rsid w:val="00B96D5C"/>
    <w:rsid w:val="00B97093"/>
    <w:rsid w:val="00BA1B96"/>
    <w:rsid w:val="00BB6731"/>
    <w:rsid w:val="00BC123D"/>
    <w:rsid w:val="00BD2248"/>
    <w:rsid w:val="00BD3B32"/>
    <w:rsid w:val="00BE68C2"/>
    <w:rsid w:val="00BE721A"/>
    <w:rsid w:val="00BF0F6D"/>
    <w:rsid w:val="00C043BD"/>
    <w:rsid w:val="00C1656A"/>
    <w:rsid w:val="00C1798E"/>
    <w:rsid w:val="00C2161D"/>
    <w:rsid w:val="00C46752"/>
    <w:rsid w:val="00C52594"/>
    <w:rsid w:val="00C53CE4"/>
    <w:rsid w:val="00C576CD"/>
    <w:rsid w:val="00C61489"/>
    <w:rsid w:val="00C91F69"/>
    <w:rsid w:val="00C97401"/>
    <w:rsid w:val="00CA09B2"/>
    <w:rsid w:val="00CB3E02"/>
    <w:rsid w:val="00CB607B"/>
    <w:rsid w:val="00CC0B38"/>
    <w:rsid w:val="00CC6C2B"/>
    <w:rsid w:val="00CC7F6A"/>
    <w:rsid w:val="00CE5226"/>
    <w:rsid w:val="00D1226A"/>
    <w:rsid w:val="00D404B6"/>
    <w:rsid w:val="00D47DFD"/>
    <w:rsid w:val="00D54AC4"/>
    <w:rsid w:val="00D551C4"/>
    <w:rsid w:val="00D60C63"/>
    <w:rsid w:val="00D664BD"/>
    <w:rsid w:val="00D92116"/>
    <w:rsid w:val="00D97EA7"/>
    <w:rsid w:val="00DA6305"/>
    <w:rsid w:val="00DA6A97"/>
    <w:rsid w:val="00DB6F51"/>
    <w:rsid w:val="00DC150A"/>
    <w:rsid w:val="00DC1651"/>
    <w:rsid w:val="00DC5A7B"/>
    <w:rsid w:val="00DD745A"/>
    <w:rsid w:val="00DE6C58"/>
    <w:rsid w:val="00DF23E4"/>
    <w:rsid w:val="00E13311"/>
    <w:rsid w:val="00E21783"/>
    <w:rsid w:val="00E27CCF"/>
    <w:rsid w:val="00E329C6"/>
    <w:rsid w:val="00E5492C"/>
    <w:rsid w:val="00E65F48"/>
    <w:rsid w:val="00E816D4"/>
    <w:rsid w:val="00E902BC"/>
    <w:rsid w:val="00E962B3"/>
    <w:rsid w:val="00EA0D4E"/>
    <w:rsid w:val="00EC3397"/>
    <w:rsid w:val="00EE075B"/>
    <w:rsid w:val="00EF2557"/>
    <w:rsid w:val="00F07452"/>
    <w:rsid w:val="00F1272A"/>
    <w:rsid w:val="00F1340E"/>
    <w:rsid w:val="00F30539"/>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yperlink" Target="mailto:aasterja@qti.qualcomm.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465</Words>
  <Characters>2653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14</cp:revision>
  <cp:lastPrinted>1900-01-01T08:00:00Z</cp:lastPrinted>
  <dcterms:created xsi:type="dcterms:W3CDTF">2019-01-16T16:30:00Z</dcterms:created>
  <dcterms:modified xsi:type="dcterms:W3CDTF">2019-01-16T22:29:00Z</dcterms:modified>
  <cp:category/>
</cp:coreProperties>
</file>