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48B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B3AAB3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63A9E" w14:textId="2DD7E469" w:rsidR="00BF369F" w:rsidRPr="00183F4C" w:rsidRDefault="00E26CBE" w:rsidP="00331021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>
              <w:rPr>
                <w:lang w:eastAsia="ko-KR"/>
              </w:rPr>
              <w:t xml:space="preserve"> </w:t>
            </w:r>
            <w:r w:rsidR="00331021">
              <w:rPr>
                <w:lang w:eastAsia="ko-KR"/>
              </w:rPr>
              <w:t>Ranging NDP-A Format A</w:t>
            </w:r>
            <w:r w:rsidR="00765915">
              <w:rPr>
                <w:lang w:eastAsia="ko-KR"/>
              </w:rPr>
              <w:t xml:space="preserve">mendment </w:t>
            </w:r>
            <w:r w:rsidR="00331021">
              <w:rPr>
                <w:lang w:eastAsia="ko-KR"/>
              </w:rPr>
              <w:t>T</w:t>
            </w:r>
            <w:r w:rsidR="00765915">
              <w:rPr>
                <w:lang w:eastAsia="ko-KR"/>
              </w:rPr>
              <w:t>ext</w:t>
            </w:r>
          </w:p>
        </w:tc>
      </w:tr>
      <w:tr w:rsidR="00BF369F" w:rsidRPr="00183F4C" w14:paraId="2393474C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A84CB4" w14:textId="36EBC30D" w:rsidR="00BF369F" w:rsidRPr="00183F4C" w:rsidRDefault="00BF369F" w:rsidP="00F841E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A501A7">
              <w:rPr>
                <w:b w:val="0"/>
                <w:sz w:val="20"/>
                <w:lang w:eastAsia="ko-KR"/>
              </w:rPr>
              <w:t>9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841EA">
              <w:rPr>
                <w:b w:val="0"/>
                <w:sz w:val="20"/>
                <w:lang w:eastAsia="ko-KR"/>
              </w:rPr>
              <w:t>27</w:t>
            </w:r>
          </w:p>
        </w:tc>
      </w:tr>
      <w:tr w:rsidR="00BF369F" w:rsidRPr="00183F4C" w14:paraId="291FF97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22E10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AB60E5D" w14:textId="77777777" w:rsidTr="00EF6EDC">
        <w:trPr>
          <w:jc w:val="center"/>
        </w:trPr>
        <w:tc>
          <w:tcPr>
            <w:tcW w:w="1548" w:type="dxa"/>
            <w:vAlign w:val="center"/>
          </w:tcPr>
          <w:p w14:paraId="4AB283A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7273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AB9F57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B0BC2A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387A3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841EA" w14:paraId="7D9F50F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51D2F6" w14:textId="76751955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501A7">
              <w:rPr>
                <w:b w:val="0"/>
                <w:sz w:val="18"/>
                <w:szCs w:val="18"/>
                <w:lang w:eastAsia="ko-KR"/>
              </w:rPr>
              <w:t xml:space="preserve">Christian Berger </w:t>
            </w:r>
          </w:p>
        </w:tc>
        <w:tc>
          <w:tcPr>
            <w:tcW w:w="1440" w:type="dxa"/>
            <w:vAlign w:val="center"/>
          </w:tcPr>
          <w:p w14:paraId="6F1704A6" w14:textId="0559CD71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11A59FA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FAA77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F712F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8EA16D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F104C4" w14:textId="612B0964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3050BD87" w14:textId="4B143B03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2483B438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A5897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97216C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10F082E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7BBB9A" w14:textId="71547620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D9004C" w14:textId="62EE76E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ED5F7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743BBC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247D88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E6F3DA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5DAB01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1A2F3FE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3773E9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A95FE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D1F9F7" w14:textId="77777777" w:rsidR="00F841EA" w:rsidRPr="001D7948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0A5DF0F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C9D80C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162C41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095FC0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AB27D7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240EF1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071F1C7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0F31804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8ED1FD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BEAE1B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1A07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D6BD0A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1B91D7E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F9420C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B95AF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1E28652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47EF8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4BCD706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7336F53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1365E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39D56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9BC422F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43CB49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A6A90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2657E54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E6B510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6110736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64E71E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A74186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D95327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5045E31" w14:textId="77777777" w:rsidR="003E4403" w:rsidRDefault="003E4403">
      <w:pPr>
        <w:pStyle w:val="T1"/>
        <w:spacing w:after="120"/>
        <w:rPr>
          <w:sz w:val="22"/>
        </w:rPr>
      </w:pPr>
    </w:p>
    <w:p w14:paraId="639E3F83" w14:textId="77777777" w:rsidR="003E4403" w:rsidRDefault="003E4403" w:rsidP="003E4403">
      <w:pPr>
        <w:pStyle w:val="T1"/>
        <w:spacing w:after="120"/>
      </w:pPr>
      <w:bookmarkStart w:id="0" w:name="_GoBack"/>
      <w:bookmarkEnd w:id="0"/>
      <w:r>
        <w:t>Abstract</w:t>
      </w:r>
    </w:p>
    <w:p w14:paraId="48F769E5" w14:textId="64ED819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text for </w:t>
      </w:r>
      <w:r w:rsidR="00F841EA">
        <w:rPr>
          <w:lang w:eastAsia="ko-KR"/>
        </w:rPr>
        <w:t>the</w:t>
      </w:r>
      <w:r w:rsidR="00765915">
        <w:rPr>
          <w:lang w:eastAsia="ko-KR"/>
        </w:rPr>
        <w:t xml:space="preserve"> ranging</w:t>
      </w:r>
      <w:r w:rsidR="00F841EA">
        <w:rPr>
          <w:lang w:eastAsia="ko-KR"/>
        </w:rPr>
        <w:t xml:space="preserve"> NPD-A format</w:t>
      </w:r>
      <w:r w:rsidR="00765915">
        <w:rPr>
          <w:lang w:eastAsia="ko-KR"/>
        </w:rPr>
        <w:t>.</w:t>
      </w:r>
    </w:p>
    <w:p w14:paraId="56A63FD8" w14:textId="77777777" w:rsidR="002D118A" w:rsidRDefault="002D118A" w:rsidP="002D118A">
      <w:pPr>
        <w:ind w:left="360"/>
        <w:jc w:val="both"/>
      </w:pPr>
    </w:p>
    <w:p w14:paraId="42EC3083" w14:textId="77777777" w:rsidR="003E4403" w:rsidRDefault="003E4403" w:rsidP="003E4403">
      <w:pPr>
        <w:jc w:val="both"/>
      </w:pPr>
      <w:r>
        <w:t>Revisions:</w:t>
      </w:r>
    </w:p>
    <w:p w14:paraId="7A0DF2C5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04275FF6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75992586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F41789F" w14:textId="77777777" w:rsidR="005E768D" w:rsidRPr="004D2D75" w:rsidRDefault="005E768D" w:rsidP="005E768D"/>
    <w:p w14:paraId="5DBD37D0" w14:textId="77777777" w:rsidR="005E768D" w:rsidRPr="004D2D75" w:rsidRDefault="005E768D"/>
    <w:p w14:paraId="3F130E6A" w14:textId="77777777" w:rsidR="00DC0CA2" w:rsidRDefault="005E768D" w:rsidP="00F2637D">
      <w:r w:rsidRPr="004D2D75">
        <w:br w:type="page"/>
      </w:r>
    </w:p>
    <w:p w14:paraId="591CC8E8" w14:textId="77777777" w:rsidR="00CE4BAA" w:rsidRPr="004F3AF6" w:rsidRDefault="00CE4BAA" w:rsidP="00CE4BAA">
      <w:r w:rsidRPr="004F3AF6">
        <w:lastRenderedPageBreak/>
        <w:t>Interpretation of a Motion to Adopt</w:t>
      </w:r>
    </w:p>
    <w:p w14:paraId="4054424D" w14:textId="77777777" w:rsidR="00CE4BAA" w:rsidRPr="004C0F0A" w:rsidRDefault="00CE4BAA" w:rsidP="00CE4BAA">
      <w:pPr>
        <w:rPr>
          <w:lang w:eastAsia="ko-KR"/>
        </w:rPr>
      </w:pPr>
    </w:p>
    <w:p w14:paraId="7B804B87" w14:textId="4C7EC140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F841EA">
        <w:rPr>
          <w:lang w:eastAsia="ko-KR"/>
        </w:rPr>
        <w:t>z</w:t>
      </w:r>
      <w:r w:rsidRPr="004F3AF6">
        <w:rPr>
          <w:lang w:eastAsia="ko-KR"/>
        </w:rPr>
        <w:t xml:space="preserve"> Draft.  This introduction is not part of the adopted material.</w:t>
      </w:r>
    </w:p>
    <w:p w14:paraId="03DE65CB" w14:textId="77777777" w:rsidR="00CE4BAA" w:rsidRPr="004F3AF6" w:rsidRDefault="00CE4BAA" w:rsidP="00CE4BAA">
      <w:pPr>
        <w:rPr>
          <w:lang w:eastAsia="ko-KR"/>
        </w:rPr>
      </w:pPr>
    </w:p>
    <w:p w14:paraId="05F3D805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6B2DEED" w14:textId="77777777" w:rsidR="00CE4BAA" w:rsidRPr="004F3AF6" w:rsidRDefault="00CE4BAA" w:rsidP="00CE4BAA">
      <w:pPr>
        <w:rPr>
          <w:lang w:eastAsia="ko-KR"/>
        </w:rPr>
      </w:pPr>
    </w:p>
    <w:p w14:paraId="471F2342" w14:textId="1A1C99C9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8351F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09869E1" w14:textId="77777777" w:rsidR="00D24A86" w:rsidRDefault="00D24A86" w:rsidP="00CE4BAA">
      <w:pPr>
        <w:rPr>
          <w:b/>
          <w:bCs/>
          <w:iCs/>
          <w:lang w:eastAsia="ko-KR"/>
        </w:rPr>
      </w:pPr>
    </w:p>
    <w:p w14:paraId="42229A7B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48D2DEF" w14:textId="77777777" w:rsidR="00AF726F" w:rsidRDefault="00AF726F" w:rsidP="00BC2A52">
      <w:pPr>
        <w:pStyle w:val="BodyText"/>
        <w:rPr>
          <w:sz w:val="20"/>
        </w:rPr>
      </w:pPr>
    </w:p>
    <w:p w14:paraId="77280E13" w14:textId="77777777" w:rsidR="00E26CBE" w:rsidRDefault="00E26CBE" w:rsidP="00BC2A52">
      <w:pPr>
        <w:pStyle w:val="BodyText"/>
        <w:rPr>
          <w:sz w:val="20"/>
        </w:rPr>
      </w:pPr>
    </w:p>
    <w:p w14:paraId="56B0F074" w14:textId="77777777" w:rsidR="00E26CBE" w:rsidRDefault="00E26CBE" w:rsidP="00BC2A52">
      <w:pPr>
        <w:pStyle w:val="BodyText"/>
        <w:rPr>
          <w:sz w:val="20"/>
        </w:rPr>
      </w:pPr>
    </w:p>
    <w:p w14:paraId="5D056E3A" w14:textId="77777777" w:rsidR="00E26CBE" w:rsidRDefault="00E26CBE" w:rsidP="00BC2A52">
      <w:pPr>
        <w:pStyle w:val="BodyText"/>
        <w:rPr>
          <w:sz w:val="20"/>
        </w:rPr>
      </w:pPr>
    </w:p>
    <w:p w14:paraId="346289FA" w14:textId="77777777" w:rsidR="00E26CBE" w:rsidRDefault="00E26CBE" w:rsidP="00BC2A52">
      <w:pPr>
        <w:pStyle w:val="BodyText"/>
        <w:rPr>
          <w:sz w:val="20"/>
        </w:rPr>
      </w:pPr>
    </w:p>
    <w:p w14:paraId="43540CAB" w14:textId="77777777" w:rsidR="00E26CBE" w:rsidRDefault="00E26CBE" w:rsidP="00BC2A52">
      <w:pPr>
        <w:pStyle w:val="BodyText"/>
        <w:rPr>
          <w:sz w:val="20"/>
        </w:rPr>
      </w:pPr>
    </w:p>
    <w:p w14:paraId="0A76D597" w14:textId="77777777" w:rsidR="00E26CBE" w:rsidRDefault="00E26CBE" w:rsidP="00BC2A52">
      <w:pPr>
        <w:pStyle w:val="BodyText"/>
        <w:rPr>
          <w:sz w:val="20"/>
        </w:rPr>
      </w:pPr>
    </w:p>
    <w:p w14:paraId="0BECB0B0" w14:textId="77777777" w:rsidR="00E26CBE" w:rsidRDefault="00E26CBE" w:rsidP="00BC2A52">
      <w:pPr>
        <w:pStyle w:val="BodyText"/>
        <w:rPr>
          <w:sz w:val="20"/>
        </w:rPr>
      </w:pPr>
    </w:p>
    <w:p w14:paraId="12431792" w14:textId="77777777" w:rsidR="00E26CBE" w:rsidRDefault="00E26CBE" w:rsidP="00BC2A52">
      <w:pPr>
        <w:pStyle w:val="BodyText"/>
        <w:rPr>
          <w:sz w:val="20"/>
        </w:rPr>
      </w:pPr>
    </w:p>
    <w:p w14:paraId="32EC0864" w14:textId="77777777" w:rsidR="00E26CBE" w:rsidRDefault="00E26CBE" w:rsidP="00BC2A52">
      <w:pPr>
        <w:pStyle w:val="BodyText"/>
        <w:rPr>
          <w:sz w:val="20"/>
        </w:rPr>
      </w:pPr>
    </w:p>
    <w:p w14:paraId="240AC1B1" w14:textId="77777777" w:rsidR="00E26CBE" w:rsidRDefault="00E26CBE" w:rsidP="00BC2A52">
      <w:pPr>
        <w:pStyle w:val="BodyText"/>
        <w:rPr>
          <w:sz w:val="20"/>
        </w:rPr>
      </w:pPr>
    </w:p>
    <w:p w14:paraId="4BB56337" w14:textId="77777777" w:rsidR="00E26CBE" w:rsidRDefault="00E26CBE" w:rsidP="00BC2A52">
      <w:pPr>
        <w:pStyle w:val="BodyText"/>
        <w:rPr>
          <w:sz w:val="20"/>
        </w:rPr>
      </w:pPr>
    </w:p>
    <w:p w14:paraId="08AC0C80" w14:textId="77777777" w:rsidR="00E26CBE" w:rsidRDefault="00E26CBE" w:rsidP="00BC2A52">
      <w:pPr>
        <w:pStyle w:val="BodyText"/>
        <w:rPr>
          <w:sz w:val="20"/>
        </w:rPr>
      </w:pPr>
    </w:p>
    <w:p w14:paraId="4B6843F8" w14:textId="77777777" w:rsidR="00E26CBE" w:rsidRDefault="00E26CBE" w:rsidP="00BC2A52">
      <w:pPr>
        <w:pStyle w:val="BodyText"/>
        <w:rPr>
          <w:sz w:val="20"/>
        </w:rPr>
      </w:pPr>
    </w:p>
    <w:p w14:paraId="7A046725" w14:textId="77777777" w:rsidR="00E26CBE" w:rsidRDefault="00E26CBE" w:rsidP="00BC2A52">
      <w:pPr>
        <w:pStyle w:val="BodyText"/>
        <w:rPr>
          <w:sz w:val="20"/>
        </w:rPr>
      </w:pPr>
    </w:p>
    <w:p w14:paraId="15F5DF6B" w14:textId="77777777" w:rsidR="00E26CBE" w:rsidRDefault="00E26CBE" w:rsidP="00BC2A52">
      <w:pPr>
        <w:pStyle w:val="BodyText"/>
        <w:rPr>
          <w:sz w:val="20"/>
        </w:rPr>
      </w:pPr>
    </w:p>
    <w:p w14:paraId="1488D1C8" w14:textId="77777777" w:rsidR="00E26CBE" w:rsidRDefault="00E26CBE" w:rsidP="00BC2A52">
      <w:pPr>
        <w:pStyle w:val="BodyText"/>
        <w:rPr>
          <w:sz w:val="20"/>
        </w:rPr>
      </w:pPr>
    </w:p>
    <w:p w14:paraId="5FE4AB30" w14:textId="77777777" w:rsidR="00E26CBE" w:rsidRDefault="00E26CBE" w:rsidP="00BC2A52">
      <w:pPr>
        <w:pStyle w:val="BodyText"/>
        <w:rPr>
          <w:sz w:val="20"/>
        </w:rPr>
      </w:pPr>
    </w:p>
    <w:p w14:paraId="62883FDB" w14:textId="77777777" w:rsidR="00E26CBE" w:rsidRDefault="00E26CBE" w:rsidP="00BC2A52">
      <w:pPr>
        <w:pStyle w:val="BodyText"/>
        <w:rPr>
          <w:sz w:val="20"/>
        </w:rPr>
      </w:pPr>
    </w:p>
    <w:p w14:paraId="20069239" w14:textId="77777777" w:rsidR="00E26CBE" w:rsidRDefault="00E26CBE" w:rsidP="00BC2A52">
      <w:pPr>
        <w:pStyle w:val="BodyText"/>
        <w:rPr>
          <w:sz w:val="20"/>
        </w:rPr>
      </w:pPr>
    </w:p>
    <w:p w14:paraId="37244A22" w14:textId="77777777" w:rsidR="00E26CBE" w:rsidRDefault="00E26CBE" w:rsidP="00BC2A52">
      <w:pPr>
        <w:pStyle w:val="BodyText"/>
        <w:rPr>
          <w:sz w:val="20"/>
        </w:rPr>
      </w:pPr>
    </w:p>
    <w:p w14:paraId="063CC163" w14:textId="77777777" w:rsidR="00E26CBE" w:rsidRDefault="00E26CBE" w:rsidP="00BC2A52">
      <w:pPr>
        <w:pStyle w:val="BodyText"/>
        <w:rPr>
          <w:sz w:val="20"/>
        </w:rPr>
      </w:pPr>
    </w:p>
    <w:p w14:paraId="63D3ADEE" w14:textId="77777777" w:rsidR="00E26CBE" w:rsidRDefault="00E26CBE" w:rsidP="00BC2A52">
      <w:pPr>
        <w:pStyle w:val="BodyText"/>
        <w:rPr>
          <w:sz w:val="20"/>
        </w:rPr>
      </w:pPr>
    </w:p>
    <w:p w14:paraId="4AC481CA" w14:textId="77777777" w:rsidR="00E26CBE" w:rsidRDefault="00E26CBE" w:rsidP="00BC2A52">
      <w:pPr>
        <w:pStyle w:val="BodyText"/>
        <w:rPr>
          <w:sz w:val="20"/>
        </w:rPr>
      </w:pPr>
    </w:p>
    <w:p w14:paraId="6FB405A9" w14:textId="77777777" w:rsidR="00E26CBE" w:rsidRDefault="00E26CBE" w:rsidP="00BC2A52">
      <w:pPr>
        <w:pStyle w:val="BodyText"/>
        <w:rPr>
          <w:sz w:val="20"/>
        </w:rPr>
      </w:pPr>
    </w:p>
    <w:p w14:paraId="684A1815" w14:textId="77777777" w:rsidR="00E26CBE" w:rsidRDefault="00E26CBE" w:rsidP="00BC2A52">
      <w:pPr>
        <w:pStyle w:val="BodyText"/>
        <w:rPr>
          <w:sz w:val="20"/>
        </w:rPr>
      </w:pPr>
    </w:p>
    <w:p w14:paraId="7D8AC8D9" w14:textId="77777777" w:rsidR="00E26CBE" w:rsidRDefault="00E26CBE" w:rsidP="00BC2A52">
      <w:pPr>
        <w:pStyle w:val="BodyText"/>
        <w:rPr>
          <w:sz w:val="20"/>
        </w:rPr>
      </w:pPr>
    </w:p>
    <w:p w14:paraId="50482A43" w14:textId="77777777" w:rsidR="00E26CBE" w:rsidRDefault="00E26CBE" w:rsidP="00BC2A52">
      <w:pPr>
        <w:pStyle w:val="BodyText"/>
        <w:rPr>
          <w:sz w:val="20"/>
        </w:rPr>
      </w:pPr>
    </w:p>
    <w:p w14:paraId="7B8A28DF" w14:textId="77777777" w:rsidR="00E26CBE" w:rsidRDefault="00E26CBE" w:rsidP="00BC2A52">
      <w:pPr>
        <w:pStyle w:val="BodyText"/>
        <w:rPr>
          <w:sz w:val="20"/>
        </w:rPr>
      </w:pPr>
    </w:p>
    <w:p w14:paraId="7E4EFFB9" w14:textId="77777777" w:rsidR="00E26CBE" w:rsidRDefault="00E26CBE" w:rsidP="00BC2A52">
      <w:pPr>
        <w:pStyle w:val="BodyText"/>
        <w:rPr>
          <w:sz w:val="20"/>
        </w:rPr>
      </w:pPr>
    </w:p>
    <w:p w14:paraId="37B56135" w14:textId="77777777" w:rsidR="00E26CBE" w:rsidRPr="00AF726F" w:rsidRDefault="00E26CBE" w:rsidP="00BC2A52">
      <w:pPr>
        <w:pStyle w:val="BodyText"/>
        <w:rPr>
          <w:sz w:val="20"/>
        </w:rPr>
      </w:pPr>
    </w:p>
    <w:p w14:paraId="4B39FEF9" w14:textId="77777777" w:rsidR="00604A0A" w:rsidRDefault="00604A0A" w:rsidP="00F841EA">
      <w:pPr>
        <w:pStyle w:val="IEEEStdsLevel4Header"/>
      </w:pPr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206B7454" w14:textId="5D852A21" w:rsidR="00604A0A" w:rsidRDefault="00604A0A" w:rsidP="00604A0A">
      <w:pPr>
        <w:pStyle w:val="EditiingInstruction"/>
        <w:rPr>
          <w:b w:val="0"/>
          <w:color w:val="auto"/>
          <w:w w:val="100"/>
          <w:sz w:val="22"/>
          <w:szCs w:val="22"/>
        </w:rPr>
      </w:pPr>
      <w:r w:rsidRPr="00604A0A">
        <w:rPr>
          <w:bCs w:val="0"/>
          <w:iCs w:val="0"/>
          <w:color w:val="auto"/>
          <w:sz w:val="22"/>
          <w:szCs w:val="22"/>
          <w:highlight w:val="yellow"/>
        </w:rPr>
        <w:t>TGaz Editor: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the title of 9.3.1.20 as follows:</w:t>
      </w:r>
    </w:p>
    <w:p w14:paraId="22EA83A9" w14:textId="4F46CC42" w:rsidR="00F841EA" w:rsidRDefault="00F841EA" w:rsidP="00F841EA">
      <w:pPr>
        <w:pStyle w:val="IEEEStdsLevel4Header"/>
      </w:pPr>
      <w:r>
        <w:t>9.3.1.20 VHT/HE</w:t>
      </w:r>
      <w:r w:rsidRPr="0088351F">
        <w:rPr>
          <w:u w:val="single"/>
        </w:rPr>
        <w:t>/</w:t>
      </w:r>
      <w:r w:rsidRPr="00604A0A">
        <w:rPr>
          <w:color w:val="000000"/>
          <w:szCs w:val="22"/>
          <w:u w:val="single"/>
        </w:rPr>
        <w:t>Ranging</w:t>
      </w:r>
      <w:r>
        <w:t xml:space="preserve"> NDP Announcement frame format</w:t>
      </w:r>
    </w:p>
    <w:p w14:paraId="19C9ABE2" w14:textId="77777777" w:rsidR="00F841EA" w:rsidRDefault="00F841EA" w:rsidP="00F841EA">
      <w:pPr>
        <w:pStyle w:val="EditiingInstruction"/>
        <w:rPr>
          <w:b w:val="0"/>
          <w:color w:val="auto"/>
          <w:w w:val="100"/>
          <w:sz w:val="22"/>
          <w:szCs w:val="22"/>
        </w:rPr>
      </w:pPr>
      <w:r w:rsidRPr="00604A0A">
        <w:rPr>
          <w:bCs w:val="0"/>
          <w:iCs w:val="0"/>
          <w:color w:val="auto"/>
          <w:sz w:val="22"/>
          <w:szCs w:val="22"/>
          <w:highlight w:val="yellow"/>
        </w:rPr>
        <w:t>TGaz Editor: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the following paragraph of 9.3.1.20:</w:t>
      </w:r>
    </w:p>
    <w:p w14:paraId="68D3CD7F" w14:textId="77777777" w:rsidR="00F841EA" w:rsidRDefault="00F841EA" w:rsidP="00F841EA">
      <w:pPr>
        <w:pStyle w:val="EditiingInstruction"/>
        <w:rPr>
          <w:b w:val="0"/>
          <w:color w:val="auto"/>
          <w:w w:val="100"/>
          <w:sz w:val="22"/>
          <w:szCs w:val="22"/>
        </w:rPr>
      </w:pPr>
    </w:p>
    <w:p w14:paraId="207F7D85" w14:textId="36ADFDCE" w:rsidR="00F841EA" w:rsidRDefault="00F841EA" w:rsidP="00F841EA">
      <w:pPr>
        <w:pStyle w:val="IEEEStdsParagraph"/>
      </w:pPr>
      <w:r>
        <w:t>The VHT/HE</w:t>
      </w:r>
      <w:r w:rsidRPr="0088351F">
        <w:rPr>
          <w:u w:val="single"/>
        </w:rPr>
        <w:t>/Ranging</w:t>
      </w:r>
      <w:r>
        <w:t xml:space="preserve"> NDP Announcement frame has </w:t>
      </w:r>
      <w:r>
        <w:rPr>
          <w:u w:val="single"/>
        </w:rPr>
        <w:t>three</w:t>
      </w:r>
      <w:r>
        <w:t xml:space="preserve"> variants, the VHT NDP Announcement frame</w:t>
      </w:r>
      <w:r w:rsidR="00331021">
        <w:t xml:space="preserve">, </w:t>
      </w:r>
      <w:r>
        <w:t xml:space="preserve">the HE NDP Announcement frame </w:t>
      </w:r>
      <w:r>
        <w:rPr>
          <w:u w:val="single"/>
        </w:rPr>
        <w:t xml:space="preserve">and the </w:t>
      </w:r>
      <w:r w:rsidRPr="0088351F">
        <w:rPr>
          <w:u w:val="single"/>
        </w:rPr>
        <w:t>Ranging</w:t>
      </w:r>
      <w:r>
        <w:rPr>
          <w:u w:val="single"/>
        </w:rPr>
        <w:t xml:space="preserve"> </w:t>
      </w:r>
      <w:r w:rsidR="0088351F">
        <w:rPr>
          <w:u w:val="single"/>
        </w:rPr>
        <w:t xml:space="preserve">NDP </w:t>
      </w:r>
      <w:r>
        <w:rPr>
          <w:u w:val="single"/>
        </w:rPr>
        <w:t>Announcement frame</w:t>
      </w:r>
      <w:r>
        <w:t xml:space="preserve">. The </w:t>
      </w:r>
      <w:r>
        <w:rPr>
          <w:u w:val="single"/>
        </w:rPr>
        <w:t>three</w:t>
      </w:r>
      <w:r>
        <w:t xml:space="preserve"> formats are distinguished by the setting of the HE subfield </w:t>
      </w:r>
      <w:r>
        <w:rPr>
          <w:u w:val="single"/>
        </w:rPr>
        <w:t xml:space="preserve">and the </w:t>
      </w:r>
      <w:r w:rsidRPr="0088351F">
        <w:rPr>
          <w:u w:val="single"/>
        </w:rPr>
        <w:t>Ranging</w:t>
      </w:r>
      <w:r>
        <w:t xml:space="preserve"> </w:t>
      </w:r>
      <w:r>
        <w:rPr>
          <w:u w:val="single"/>
        </w:rPr>
        <w:t xml:space="preserve">subfield </w:t>
      </w:r>
      <w:r>
        <w:t xml:space="preserve">in the Sounding Dialog Token field. </w:t>
      </w:r>
    </w:p>
    <w:p w14:paraId="55FF1EDF" w14:textId="76AB7EA2" w:rsidR="00F841EA" w:rsidRDefault="00F841EA" w:rsidP="00F841EA">
      <w:pPr>
        <w:pStyle w:val="EditiingInstruction"/>
        <w:rPr>
          <w:b w:val="0"/>
          <w:color w:val="auto"/>
          <w:w w:val="100"/>
          <w:sz w:val="22"/>
          <w:szCs w:val="22"/>
        </w:rPr>
      </w:pPr>
      <w:r w:rsidRPr="00604A0A">
        <w:rPr>
          <w:bCs w:val="0"/>
          <w:iCs w:val="0"/>
          <w:color w:val="auto"/>
          <w:sz w:val="22"/>
          <w:szCs w:val="22"/>
          <w:highlight w:val="yellow"/>
        </w:rPr>
        <w:t>TGaz Editor</w:t>
      </w:r>
      <w:r w:rsidR="00604A0A">
        <w:rPr>
          <w:bCs w:val="0"/>
          <w:iCs w:val="0"/>
          <w:color w:val="auto"/>
          <w:sz w:val="22"/>
          <w:szCs w:val="22"/>
          <w:highlight w:val="yellow"/>
        </w:rPr>
        <w:t>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Figure 9-50 as follows:</w:t>
      </w:r>
    </w:p>
    <w:p w14:paraId="37503CC2" w14:textId="77777777" w:rsidR="00F841EA" w:rsidRDefault="00F841EA" w:rsidP="00F841EA">
      <w:pPr>
        <w:pStyle w:val="T"/>
        <w:rPr>
          <w:w w:val="1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20"/>
        <w:gridCol w:w="880"/>
        <w:gridCol w:w="1440"/>
        <w:gridCol w:w="780"/>
      </w:tblGrid>
      <w:tr w:rsidR="00F841EA" w14:paraId="726E11DD" w14:textId="77777777" w:rsidTr="00F841EA">
        <w:trPr>
          <w:gridAfter w:val="1"/>
          <w:wAfter w:w="780" w:type="dxa"/>
          <w:trHeight w:val="400"/>
          <w:jc w:val="center"/>
        </w:trPr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C37BFF6" w14:textId="77777777" w:rsidR="00F841EA" w:rsidRDefault="00F841EA">
            <w:pPr>
              <w:pStyle w:val="IEEEStdsTableLineHead"/>
            </w:pPr>
            <w:r>
              <w:t>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1CBFFE9" w14:textId="77777777" w:rsidR="00F841EA" w:rsidRDefault="00F841EA">
            <w:pPr>
              <w:pStyle w:val="IEEEStdsTableLineHead"/>
              <w:rPr>
                <w:strike/>
              </w:rPr>
            </w:pPr>
            <w:r>
              <w:t>B1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A254252" w14:textId="77777777" w:rsidR="00F841EA" w:rsidRDefault="00F841EA">
            <w:pPr>
              <w:pStyle w:val="IEEEStdsTableLineHead"/>
            </w:pPr>
            <w:r>
              <w:t>B2          B7</w:t>
            </w:r>
          </w:p>
        </w:tc>
      </w:tr>
      <w:tr w:rsidR="00F841EA" w14:paraId="54689B19" w14:textId="77777777" w:rsidTr="00F841EA">
        <w:trPr>
          <w:gridAfter w:val="1"/>
          <w:wAfter w:w="780" w:type="dxa"/>
          <w:trHeight w:val="560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B02F78" w14:textId="77777777" w:rsidR="00F841EA" w:rsidRDefault="00F841EA">
            <w:pPr>
              <w:pStyle w:val="IEEEStdsTableData-Center"/>
            </w:pPr>
            <w:r>
              <w:rPr>
                <w:strike/>
              </w:rPr>
              <w:t>Reserved</w:t>
            </w:r>
            <w:r>
              <w:t xml:space="preserve"> Ranging 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919BC87" w14:textId="77777777" w:rsidR="00F841EA" w:rsidRDefault="00F841EA">
            <w:pPr>
              <w:pStyle w:val="IEEEStdsTableData-Center"/>
              <w:rPr>
                <w:strike/>
              </w:rPr>
            </w:pPr>
            <w:r>
              <w:t>HE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B6247C9" w14:textId="77777777" w:rsidR="00F841EA" w:rsidRDefault="00F841EA">
            <w:pPr>
              <w:pStyle w:val="IEEEStdsTableData-Center"/>
            </w:pPr>
            <w:r>
              <w:t>Sounding Dialog Token Number</w:t>
            </w:r>
          </w:p>
        </w:tc>
      </w:tr>
      <w:tr w:rsidR="00F841EA" w14:paraId="24601093" w14:textId="77777777" w:rsidTr="00F841EA">
        <w:trPr>
          <w:gridAfter w:val="1"/>
          <w:wAfter w:w="780" w:type="dxa"/>
          <w:trHeight w:val="400"/>
          <w:jc w:val="center"/>
        </w:trPr>
        <w:tc>
          <w:tcPr>
            <w:tcW w:w="13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C12E6F2" w14:textId="77777777" w:rsidR="00F841EA" w:rsidRDefault="00F841EA">
            <w:pPr>
              <w:pStyle w:val="IEEEStdsTableLineHead"/>
            </w:pPr>
            <w:r>
              <w:t>1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C32BC17" w14:textId="77777777" w:rsidR="00F841EA" w:rsidRDefault="00F841EA">
            <w:pPr>
              <w:pStyle w:val="IEEEStdsTableLineHead"/>
              <w:rPr>
                <w:strike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668098" w14:textId="77777777" w:rsidR="00F841EA" w:rsidRDefault="00F841EA">
            <w:pPr>
              <w:pStyle w:val="IEEEStdsTableLineHead"/>
            </w:pPr>
            <w:r>
              <w:t>6</w:t>
            </w:r>
          </w:p>
        </w:tc>
      </w:tr>
      <w:tr w:rsidR="00F841EA" w14:paraId="0E6494B5" w14:textId="77777777" w:rsidTr="00F841EA">
        <w:trPr>
          <w:jc w:val="center"/>
        </w:trPr>
        <w:tc>
          <w:tcPr>
            <w:tcW w:w="4420" w:type="dxa"/>
            <w:gridSpan w:val="4"/>
            <w:vAlign w:val="center"/>
            <w:hideMark/>
          </w:tcPr>
          <w:p w14:paraId="1468AA93" w14:textId="77777777" w:rsidR="00F841EA" w:rsidRDefault="00F841EA">
            <w:pPr>
              <w:pStyle w:val="IEEEStdsTableLineHead"/>
            </w:pPr>
            <w:r>
              <w:t>Sounding Dialog Token field</w:t>
            </w:r>
          </w:p>
        </w:tc>
      </w:tr>
    </w:tbl>
    <w:p w14:paraId="43A9AC49" w14:textId="77777777" w:rsidR="00F841EA" w:rsidRDefault="00F841EA" w:rsidP="00F841EA">
      <w:pPr>
        <w:pStyle w:val="EditiingInstruction"/>
        <w:rPr>
          <w:b w:val="0"/>
          <w:color w:val="auto"/>
          <w:w w:val="100"/>
          <w:sz w:val="22"/>
          <w:szCs w:val="22"/>
        </w:rPr>
      </w:pPr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TGaz Editor: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Insert the following after the 5th paragraph (“The format of the Sounding...”):</w:t>
      </w:r>
    </w:p>
    <w:p w14:paraId="5F433FC3" w14:textId="77777777" w:rsidR="00F841EA" w:rsidRDefault="00F841EA" w:rsidP="00F841E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TW"/>
        </w:rPr>
      </w:pPr>
    </w:p>
    <w:p w14:paraId="31F2147A" w14:textId="7A43F768" w:rsidR="00F841EA" w:rsidRDefault="00F841EA" w:rsidP="00F841EA">
      <w:pPr>
        <w:pStyle w:val="IEEEStdsParagraph"/>
      </w:pPr>
      <w:r>
        <w:t>The Ranging subfield in the Sounding Dialog Token field is set to 1 to identify the frame as a Ranging NDP Announcement frame. The Ranging NDP Announcement frame is used for a</w:t>
      </w:r>
      <w:r w:rsidR="00C767DB">
        <w:t>n</w:t>
      </w:r>
      <w:r>
        <w:t xml:space="preserve"> LTF measurement exchange mode of the </w:t>
      </w:r>
      <w:r w:rsidR="004A7360">
        <w:t xml:space="preserve">TB </w:t>
      </w:r>
      <w:r w:rsidR="00604A0A">
        <w:t xml:space="preserve">and </w:t>
      </w:r>
      <w:r w:rsidR="004A7360">
        <w:t>NTB R</w:t>
      </w:r>
      <w:r>
        <w:t>anging protocol (see 11.22.6.4</w:t>
      </w:r>
      <w:r w:rsidR="00604A0A">
        <w:t>.3 and 11.22.6.4.4 respectively</w:t>
      </w:r>
      <w:r>
        <w:t xml:space="preserve">). </w:t>
      </w:r>
    </w:p>
    <w:p w14:paraId="2F0850BB" w14:textId="02BAAE34" w:rsidR="00F841EA" w:rsidRDefault="00604A0A" w:rsidP="00F841EA">
      <w:pPr>
        <w:pStyle w:val="T"/>
        <w:rPr>
          <w:i/>
          <w:color w:val="auto"/>
          <w:sz w:val="22"/>
          <w:szCs w:val="22"/>
          <w:shd w:val="pct15" w:color="auto" w:fill="FFFFFF"/>
        </w:rPr>
      </w:pPr>
      <w:r w:rsidRPr="00604A0A">
        <w:rPr>
          <w:b/>
          <w:i/>
          <w:color w:val="auto"/>
          <w:sz w:val="22"/>
          <w:szCs w:val="22"/>
          <w:highlight w:val="yellow"/>
        </w:rPr>
        <w:t>TGaz Editor:</w:t>
      </w:r>
      <w:r w:rsidRPr="00604A0A">
        <w:rPr>
          <w:color w:val="auto"/>
          <w:sz w:val="22"/>
          <w:szCs w:val="22"/>
          <w:highlight w:val="yellow"/>
        </w:rPr>
        <w:t xml:space="preserve"> </w:t>
      </w:r>
      <w:r w:rsidR="00F841EA" w:rsidRPr="00604A0A">
        <w:rPr>
          <w:i/>
          <w:color w:val="auto"/>
          <w:sz w:val="22"/>
          <w:szCs w:val="22"/>
          <w:highlight w:val="yellow"/>
        </w:rPr>
        <w:t>Insert the following at the end of 9.3.1.20:</w:t>
      </w:r>
      <w:r w:rsidR="00F841EA">
        <w:rPr>
          <w:i/>
          <w:color w:val="auto"/>
          <w:sz w:val="22"/>
          <w:szCs w:val="22"/>
          <w:shd w:val="pct15" w:color="auto" w:fill="FFFFFF"/>
        </w:rPr>
        <w:t xml:space="preserve"> </w:t>
      </w:r>
    </w:p>
    <w:p w14:paraId="6D0DE98D" w14:textId="77777777" w:rsidR="00F841EA" w:rsidRDefault="00F841EA" w:rsidP="00F841EA">
      <w:pPr>
        <w:pStyle w:val="T"/>
        <w:rPr>
          <w:i/>
          <w:color w:val="auto"/>
          <w:sz w:val="22"/>
          <w:szCs w:val="22"/>
          <w:shd w:val="pct15" w:color="auto" w:fill="FFFFFF"/>
        </w:rPr>
      </w:pPr>
    </w:p>
    <w:p w14:paraId="49C5BB56" w14:textId="1195636E" w:rsidR="00F841EA" w:rsidRDefault="00F841EA" w:rsidP="00F841EA">
      <w:pPr>
        <w:pStyle w:val="IEEEStdsParagraph"/>
      </w:pPr>
      <w:r>
        <w:t>The Ranging NDP Announcement uses the same Frame Control subtype as the VHT NDP Announcement. T</w:t>
      </w:r>
      <w:r w:rsidR="00604A0A">
        <w:t xml:space="preserve">he frame format of the Ranging </w:t>
      </w:r>
      <w:r>
        <w:t>Announcement frame is shown in</w:t>
      </w:r>
      <w:r w:rsidR="001951D5">
        <w:t xml:space="preserve"> Figure 1-9-51d</w:t>
      </w:r>
      <w:r>
        <w:t>.</w:t>
      </w:r>
    </w:p>
    <w:p w14:paraId="2B142803" w14:textId="77777777" w:rsidR="001951D5" w:rsidRDefault="001951D5" w:rsidP="00F841EA">
      <w:pPr>
        <w:pStyle w:val="IEEEStdsParagraph"/>
      </w:pPr>
    </w:p>
    <w:p w14:paraId="3CC0E148" w14:textId="1AEBFFF5" w:rsidR="00C34C6A" w:rsidRDefault="00677CBD" w:rsidP="00C34C6A">
      <w:pPr>
        <w:pStyle w:val="IEEEStdsParagraph"/>
        <w:keepNext/>
        <w:jc w:val="center"/>
      </w:pPr>
      <w:r>
        <w:object w:dxaOrig="9656" w:dyaOrig="1174" w14:anchorId="39AF73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58.75pt" o:ole="">
            <v:imagedata r:id="rId8" o:title=""/>
          </v:shape>
          <o:OLEObject Type="Embed" ProgID="Visio.Drawing.11" ShapeID="_x0000_i1025" DrawAspect="Content" ObjectID="_1602413303" r:id="rId9"/>
        </w:object>
      </w:r>
    </w:p>
    <w:p w14:paraId="0BDFF560" w14:textId="2DB2A5EF" w:rsidR="00C34C6A" w:rsidRDefault="00C34C6A" w:rsidP="00C34C6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C330B">
        <w:rPr>
          <w:noProof/>
        </w:rPr>
        <w:t>1</w:t>
      </w:r>
      <w:r>
        <w:fldChar w:fldCharType="end"/>
      </w:r>
      <w:r>
        <w:t>-9-</w:t>
      </w:r>
      <w:r w:rsidR="001951D5">
        <w:t>51d</w:t>
      </w:r>
      <w:r>
        <w:rPr>
          <w:noProof/>
        </w:rPr>
        <w:t xml:space="preserve"> Ranging NDP Anouncement Frame</w:t>
      </w:r>
    </w:p>
    <w:p w14:paraId="29D51840" w14:textId="77777777" w:rsidR="00C34C6A" w:rsidRDefault="00C34C6A" w:rsidP="00F841EA">
      <w:pPr>
        <w:pStyle w:val="IEEEStdsParagraph"/>
      </w:pPr>
    </w:p>
    <w:p w14:paraId="34BB8E48" w14:textId="77777777" w:rsidR="00F841EA" w:rsidRDefault="00F841EA" w:rsidP="00F841EA">
      <w:pPr>
        <w:pStyle w:val="IEEEStdsParagraph"/>
      </w:pPr>
      <w:r>
        <w:t>The Duration, RA, and TA fields are set as in a VHT NDP Announcement frame.</w:t>
      </w:r>
    </w:p>
    <w:p w14:paraId="1A4E1F19" w14:textId="0B48C4EE" w:rsidR="00F841EA" w:rsidRDefault="00C34C6A" w:rsidP="00F841EA">
      <w:pPr>
        <w:pStyle w:val="IEEEStdsParagraph"/>
      </w:pPr>
      <w:r>
        <w:t xml:space="preserve">The Ranging </w:t>
      </w:r>
      <w:r w:rsidR="00F841EA">
        <w:t>subfield in the Sounding Dialog Token field is set to 1 to identify the frame as a Ranging NDP Announcement frame.</w:t>
      </w:r>
      <w:r w:rsidR="001951D5">
        <w:t xml:space="preserve"> The HE subfield in the Sounding Dialog Token field is set to 1 to identify a</w:t>
      </w:r>
      <w:r w:rsidR="00C767DB">
        <w:t xml:space="preserve"> TB Ranging</w:t>
      </w:r>
      <w:r w:rsidR="001951D5">
        <w:t xml:space="preserve"> measurement exchange and set to 0 to identify a</w:t>
      </w:r>
      <w:r w:rsidR="00C767DB">
        <w:t>n</w:t>
      </w:r>
      <w:r w:rsidR="001951D5">
        <w:t xml:space="preserve"> </w:t>
      </w:r>
      <w:r w:rsidR="00C767DB">
        <w:t xml:space="preserve">NTB Ranging </w:t>
      </w:r>
      <w:r w:rsidR="001951D5">
        <w:t>measurement exchange.</w:t>
      </w:r>
    </w:p>
    <w:p w14:paraId="5993DA57" w14:textId="317212F2" w:rsidR="00F841EA" w:rsidRDefault="00F841EA" w:rsidP="00F841EA">
      <w:pPr>
        <w:pStyle w:val="IEEEStdsParagraph"/>
      </w:pPr>
      <w:r>
        <w:lastRenderedPageBreak/>
        <w:t xml:space="preserve">The format of the STA Info field in a Ranging NDP Announcement Frame is defined in </w:t>
      </w:r>
      <w:r w:rsidR="00181B7D">
        <w:t>Figure 2-9-51e</w:t>
      </w:r>
      <w:r>
        <w:t>.</w:t>
      </w:r>
    </w:p>
    <w:p w14:paraId="182C1CCA" w14:textId="77777777" w:rsidR="00F841EA" w:rsidRDefault="00F841EA" w:rsidP="00F841EA"/>
    <w:p w14:paraId="4AE9F6F1" w14:textId="7B22AA48" w:rsidR="00181B7D" w:rsidRDefault="00E90947" w:rsidP="00181B7D">
      <w:pPr>
        <w:keepNext/>
      </w:pPr>
      <w:r>
        <w:object w:dxaOrig="10714" w:dyaOrig="1534" w14:anchorId="43084572">
          <v:shape id="_x0000_i1026" type="#_x0000_t75" style="width:493.05pt;height:70.25pt" o:ole="">
            <v:imagedata r:id="rId10" o:title=""/>
          </v:shape>
          <o:OLEObject Type="Embed" ProgID="Visio.Drawing.11" ShapeID="_x0000_i1026" DrawAspect="Content" ObjectID="_1602413304" r:id="rId11"/>
        </w:object>
      </w:r>
    </w:p>
    <w:p w14:paraId="6F593B69" w14:textId="73235F41" w:rsidR="00F841EA" w:rsidRDefault="00181B7D" w:rsidP="00181B7D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C330B">
        <w:rPr>
          <w:noProof/>
        </w:rPr>
        <w:t>2</w:t>
      </w:r>
      <w:r>
        <w:fldChar w:fldCharType="end"/>
      </w:r>
      <w:r>
        <w:t xml:space="preserve">-9-51e </w:t>
      </w:r>
      <w:r w:rsidRPr="00870722">
        <w:t>STA Info field format in a Ranging NDP Announcement frame</w:t>
      </w:r>
    </w:p>
    <w:p w14:paraId="07F76AC7" w14:textId="77777777" w:rsidR="00F841EA" w:rsidRDefault="00F841EA" w:rsidP="00F841EA">
      <w:pPr>
        <w:pStyle w:val="FigTitle"/>
        <w:rPr>
          <w:rFonts w:ascii="Times New Roman" w:hAnsi="Times New Roman" w:cs="Times New Roman"/>
          <w:sz w:val="22"/>
          <w:szCs w:val="22"/>
          <w:u w:val="single"/>
        </w:rPr>
      </w:pPr>
    </w:p>
    <w:p w14:paraId="39C800CD" w14:textId="1C775BA1" w:rsidR="00F841EA" w:rsidRDefault="00181B7D" w:rsidP="00F841EA">
      <w:pPr>
        <w:pStyle w:val="IEEEStdsParagraph"/>
      </w:pPr>
      <w:r>
        <w:t xml:space="preserve">A Ranging </w:t>
      </w:r>
      <w:r w:rsidR="00F841EA">
        <w:t>NDP Announcement frame contains a</w:t>
      </w:r>
      <w:r>
        <w:t xml:space="preserve">t most 1 STA Info field per STA, where in the </w:t>
      </w:r>
      <w:r w:rsidR="00C767DB">
        <w:t xml:space="preserve">NTB Ranging </w:t>
      </w:r>
      <w:r>
        <w:t>protocol there is always only one STA (see 11.22.6.4.4) but can have the optional STA Info SAC field present when operating in secure mode (see 11.22.6.4.6.1).</w:t>
      </w:r>
    </w:p>
    <w:p w14:paraId="48D38E44" w14:textId="67C2CD03" w:rsidR="00F841EA" w:rsidRDefault="00F841EA" w:rsidP="00F841EA">
      <w:pPr>
        <w:pStyle w:val="IEEEStdsParagraph"/>
      </w:pPr>
      <w:r>
        <w:t>The AID11</w:t>
      </w:r>
      <w:r w:rsidR="00181B7D">
        <w:t>/RID11</w:t>
      </w:r>
      <w:r>
        <w:t xml:space="preserve"> subfield contains the 11 least significant Bits of the </w:t>
      </w:r>
      <w:r w:rsidR="00181B7D">
        <w:t>A</w:t>
      </w:r>
      <w:r>
        <w:t xml:space="preserve">ID or </w:t>
      </w:r>
      <w:r w:rsidR="00181B7D">
        <w:t>R</w:t>
      </w:r>
      <w:r>
        <w:t>ID of a STA expected to process the following NDP</w:t>
      </w:r>
      <w:r w:rsidR="00181B7D">
        <w:t xml:space="preserve"> frame</w:t>
      </w:r>
      <w:r>
        <w:t xml:space="preserve">. </w:t>
      </w:r>
    </w:p>
    <w:p w14:paraId="6AC707EF" w14:textId="4E2BC2A7" w:rsidR="00677CBD" w:rsidRDefault="00677CBD" w:rsidP="00F841EA">
      <w:pPr>
        <w:pStyle w:val="IEEEStdsParagraph"/>
        <w:rPr>
          <w:bCs/>
          <w:lang w:bidi="he-IL"/>
        </w:rPr>
      </w:pPr>
      <w:r>
        <w:rPr>
          <w:bCs/>
          <w:lang w:bidi="he-IL"/>
        </w:rPr>
        <w:t xml:space="preserve">When used as part of the </w:t>
      </w:r>
      <w:r w:rsidR="00C767DB">
        <w:rPr>
          <w:bCs/>
          <w:lang w:bidi="he-IL"/>
        </w:rPr>
        <w:t xml:space="preserve">TB Ranging </w:t>
      </w:r>
      <w:proofErr w:type="spellStart"/>
      <w:r>
        <w:rPr>
          <w:bCs/>
          <w:lang w:bidi="he-IL"/>
        </w:rPr>
        <w:t>measeurement</w:t>
      </w:r>
      <w:proofErr w:type="spellEnd"/>
      <w:r>
        <w:rPr>
          <w:bCs/>
          <w:lang w:bidi="he-IL"/>
        </w:rPr>
        <w:t xml:space="preserve"> exchange, the Offset, DL N_STS and DL Rep </w:t>
      </w:r>
      <w:r w:rsidR="005575EB">
        <w:rPr>
          <w:bCs/>
          <w:lang w:bidi="he-IL"/>
        </w:rPr>
        <w:t>sub</w:t>
      </w:r>
      <w:r>
        <w:rPr>
          <w:bCs/>
          <w:lang w:bidi="he-IL"/>
        </w:rPr>
        <w:t xml:space="preserve">fields are used to indicate the following </w:t>
      </w:r>
      <w:r w:rsidR="00D87460">
        <w:rPr>
          <w:bCs/>
          <w:lang w:bidi="he-IL"/>
        </w:rPr>
        <w:t xml:space="preserve">DL </w:t>
      </w:r>
      <w:r>
        <w:rPr>
          <w:bCs/>
          <w:lang w:bidi="he-IL"/>
        </w:rPr>
        <w:t>NDP</w:t>
      </w:r>
      <w:r w:rsidR="00D87460">
        <w:rPr>
          <w:bCs/>
          <w:lang w:bidi="he-IL"/>
        </w:rPr>
        <w:t>’</w:t>
      </w:r>
      <w:r>
        <w:rPr>
          <w:bCs/>
          <w:lang w:bidi="he-IL"/>
        </w:rPr>
        <w:t xml:space="preserve">s LTF configuration, see </w:t>
      </w:r>
      <w:r w:rsidR="00D87460">
        <w:rPr>
          <w:bCs/>
          <w:lang w:bidi="he-IL"/>
        </w:rPr>
        <w:t>Section 28.3.17.</w:t>
      </w:r>
    </w:p>
    <w:p w14:paraId="584B698C" w14:textId="3E8E7514" w:rsidR="00D87460" w:rsidRDefault="00D87460" w:rsidP="00F841EA">
      <w:pPr>
        <w:pStyle w:val="IEEEStdsParagraph"/>
        <w:rPr>
          <w:bCs/>
          <w:lang w:bidi="he-IL"/>
        </w:rPr>
      </w:pPr>
      <w:r>
        <w:rPr>
          <w:bCs/>
          <w:lang w:bidi="he-IL"/>
        </w:rPr>
        <w:t xml:space="preserve">When used as part of the </w:t>
      </w:r>
      <w:r w:rsidR="00C767DB">
        <w:rPr>
          <w:bCs/>
          <w:lang w:bidi="he-IL"/>
        </w:rPr>
        <w:t xml:space="preserve">NTB Ranging </w:t>
      </w:r>
      <w:r>
        <w:rPr>
          <w:bCs/>
          <w:lang w:bidi="he-IL"/>
        </w:rPr>
        <w:t xml:space="preserve">measurement exchange, the UL N_STS and UL Rep </w:t>
      </w:r>
      <w:r w:rsidR="005575EB">
        <w:rPr>
          <w:bCs/>
          <w:lang w:bidi="he-IL"/>
        </w:rPr>
        <w:t>subfields</w:t>
      </w:r>
      <w:r>
        <w:rPr>
          <w:bCs/>
          <w:lang w:bidi="he-IL"/>
        </w:rPr>
        <w:t xml:space="preserve"> are used to indicate the following UL NDP’s </w:t>
      </w:r>
      <w:r w:rsidR="00E53C9F">
        <w:rPr>
          <w:bCs/>
          <w:lang w:bidi="he-IL"/>
        </w:rPr>
        <w:t>HE</w:t>
      </w:r>
      <w:r w:rsidR="00C767DB">
        <w:rPr>
          <w:bCs/>
          <w:lang w:bidi="he-IL"/>
        </w:rPr>
        <w:t>-</w:t>
      </w:r>
      <w:r>
        <w:rPr>
          <w:bCs/>
          <w:lang w:bidi="he-IL"/>
        </w:rPr>
        <w:t xml:space="preserve">LTF configuration, while the DL N_STS and DL Rep </w:t>
      </w:r>
      <w:r w:rsidR="005575EB">
        <w:rPr>
          <w:bCs/>
          <w:lang w:bidi="he-IL"/>
        </w:rPr>
        <w:t>sub</w:t>
      </w:r>
      <w:r>
        <w:rPr>
          <w:bCs/>
          <w:lang w:bidi="he-IL"/>
        </w:rPr>
        <w:t xml:space="preserve">fields indicate the </w:t>
      </w:r>
      <w:r w:rsidR="00E53C9F">
        <w:rPr>
          <w:bCs/>
          <w:lang w:bidi="he-IL"/>
        </w:rPr>
        <w:t>HE</w:t>
      </w:r>
      <w:r w:rsidR="00C767DB">
        <w:rPr>
          <w:bCs/>
          <w:lang w:bidi="he-IL"/>
        </w:rPr>
        <w:t>-</w:t>
      </w:r>
      <w:r>
        <w:rPr>
          <w:bCs/>
          <w:lang w:bidi="he-IL"/>
        </w:rPr>
        <w:t>LFT configuration of the DL NDP sent in response by the RSTA, see Section 11.22.6.4.4.</w:t>
      </w:r>
    </w:p>
    <w:p w14:paraId="34BB9A95" w14:textId="0E555307" w:rsidR="002A0259" w:rsidRDefault="002A0259" w:rsidP="00F841EA">
      <w:pPr>
        <w:pStyle w:val="IEEEStdsParagraph"/>
        <w:rPr>
          <w:bCs/>
          <w:lang w:bidi="he-IL"/>
        </w:rPr>
      </w:pPr>
      <w:r>
        <w:rPr>
          <w:bCs/>
          <w:lang w:bidi="he-IL"/>
        </w:rPr>
        <w:t xml:space="preserve">The Offset </w:t>
      </w:r>
      <w:r w:rsidR="005575EB">
        <w:rPr>
          <w:bCs/>
          <w:lang w:bidi="he-IL"/>
        </w:rPr>
        <w:t>sub</w:t>
      </w:r>
      <w:r>
        <w:rPr>
          <w:bCs/>
          <w:lang w:bidi="he-IL"/>
        </w:rPr>
        <w:t xml:space="preserve">field can take values between 0 and 63 and indicates the number of </w:t>
      </w:r>
      <w:r w:rsidR="00C767DB">
        <w:rPr>
          <w:bCs/>
          <w:lang w:bidi="he-IL"/>
        </w:rPr>
        <w:t>HE-</w:t>
      </w:r>
      <w:r>
        <w:rPr>
          <w:bCs/>
          <w:lang w:bidi="he-IL"/>
        </w:rPr>
        <w:t xml:space="preserve">LTF to skip when processing the following NDP and is set 0 in all cases except the secure variant of the </w:t>
      </w:r>
      <w:r w:rsidR="00C767DB">
        <w:rPr>
          <w:bCs/>
          <w:lang w:bidi="he-IL"/>
        </w:rPr>
        <w:t xml:space="preserve">TB Ranging </w:t>
      </w:r>
      <w:r>
        <w:rPr>
          <w:bCs/>
          <w:lang w:bidi="he-IL"/>
        </w:rPr>
        <w:t>measurement exchange.</w:t>
      </w:r>
    </w:p>
    <w:p w14:paraId="4EEA6C8C" w14:textId="0FA71030" w:rsidR="002A0259" w:rsidRDefault="002A0259" w:rsidP="00F841EA">
      <w:pPr>
        <w:pStyle w:val="IEEEStdsParagraph"/>
        <w:rPr>
          <w:bCs/>
          <w:lang w:bidi="he-IL"/>
        </w:rPr>
      </w:pPr>
      <w:r>
        <w:rPr>
          <w:bCs/>
          <w:lang w:bidi="he-IL"/>
        </w:rPr>
        <w:t xml:space="preserve">The DL N_STS and UL N_STS </w:t>
      </w:r>
      <w:r w:rsidR="005575EB">
        <w:rPr>
          <w:bCs/>
          <w:lang w:bidi="he-IL"/>
        </w:rPr>
        <w:t>sub</w:t>
      </w:r>
      <w:r>
        <w:rPr>
          <w:bCs/>
          <w:lang w:bidi="he-IL"/>
        </w:rPr>
        <w:t>fields indicate the number of space-time streams of the corresponding NDP and is set to the number of space-time streams minus 1.</w:t>
      </w:r>
    </w:p>
    <w:p w14:paraId="2C9ABFEB" w14:textId="3F19632D" w:rsidR="002A0259" w:rsidRDefault="002A0259" w:rsidP="00F841EA">
      <w:pPr>
        <w:pStyle w:val="IEEEStdsParagraph"/>
        <w:rPr>
          <w:bCs/>
          <w:lang w:bidi="he-IL"/>
        </w:rPr>
      </w:pPr>
      <w:r>
        <w:rPr>
          <w:bCs/>
          <w:lang w:bidi="he-IL"/>
        </w:rPr>
        <w:t xml:space="preserve">The DL Rep and UL Rep </w:t>
      </w:r>
      <w:r w:rsidR="005575EB">
        <w:rPr>
          <w:bCs/>
          <w:lang w:bidi="he-IL"/>
        </w:rPr>
        <w:t>sub</w:t>
      </w:r>
      <w:r>
        <w:rPr>
          <w:bCs/>
          <w:lang w:bidi="he-IL"/>
        </w:rPr>
        <w:t>fields indicate the number of repetitions</w:t>
      </w:r>
      <w:r w:rsidR="00E53C9F">
        <w:rPr>
          <w:bCs/>
          <w:lang w:bidi="he-IL"/>
        </w:rPr>
        <w:t xml:space="preserve"> N_REP</w:t>
      </w:r>
      <w:r>
        <w:rPr>
          <w:bCs/>
          <w:lang w:bidi="he-IL"/>
        </w:rPr>
        <w:t xml:space="preserve"> of </w:t>
      </w:r>
      <w:r w:rsidR="00E53C9F">
        <w:rPr>
          <w:bCs/>
          <w:lang w:bidi="he-IL"/>
        </w:rPr>
        <w:t>the HE</w:t>
      </w:r>
      <w:r w:rsidR="00C767DB">
        <w:rPr>
          <w:bCs/>
          <w:lang w:bidi="he-IL"/>
        </w:rPr>
        <w:t>-</w:t>
      </w:r>
      <w:r>
        <w:rPr>
          <w:bCs/>
          <w:lang w:bidi="he-IL"/>
        </w:rPr>
        <w:t xml:space="preserve">LTF symbols of the corresponding </w:t>
      </w:r>
      <w:r w:rsidR="00C767DB">
        <w:rPr>
          <w:bCs/>
          <w:lang w:bidi="he-IL"/>
        </w:rPr>
        <w:t xml:space="preserve">HE </w:t>
      </w:r>
      <w:r w:rsidR="00E53C9F">
        <w:rPr>
          <w:bCs/>
          <w:lang w:bidi="he-IL"/>
        </w:rPr>
        <w:t>Ran</w:t>
      </w:r>
      <w:r w:rsidR="00C767DB">
        <w:rPr>
          <w:bCs/>
          <w:lang w:bidi="he-IL"/>
        </w:rPr>
        <w:t>g</w:t>
      </w:r>
      <w:r w:rsidR="00E53C9F">
        <w:rPr>
          <w:bCs/>
          <w:lang w:bidi="he-IL"/>
        </w:rPr>
        <w:t xml:space="preserve">ing </w:t>
      </w:r>
      <w:r>
        <w:rPr>
          <w:bCs/>
          <w:lang w:bidi="he-IL"/>
        </w:rPr>
        <w:t xml:space="preserve">NDP </w:t>
      </w:r>
      <w:r w:rsidR="00E53C9F">
        <w:rPr>
          <w:bCs/>
          <w:lang w:bidi="he-IL"/>
        </w:rPr>
        <w:t xml:space="preserve">PDPU </w:t>
      </w:r>
      <w:r>
        <w:rPr>
          <w:bCs/>
          <w:lang w:bidi="he-IL"/>
        </w:rPr>
        <w:t xml:space="preserve">beyond the number of space-time streams, see Section 28.3.17. There can be </w:t>
      </w:r>
      <w:r w:rsidR="00E53C9F">
        <w:rPr>
          <w:bCs/>
          <w:lang w:bidi="he-IL"/>
        </w:rPr>
        <w:t xml:space="preserve">N_REP = </w:t>
      </w:r>
      <w:r>
        <w:rPr>
          <w:bCs/>
          <w:lang w:bidi="he-IL"/>
        </w:rPr>
        <w:t xml:space="preserve">1 to 8 repetitions and the DL Rep and UL Rep </w:t>
      </w:r>
      <w:r w:rsidR="005575EB">
        <w:rPr>
          <w:bCs/>
          <w:lang w:bidi="he-IL"/>
        </w:rPr>
        <w:t>sub</w:t>
      </w:r>
      <w:r>
        <w:rPr>
          <w:bCs/>
          <w:lang w:bidi="he-IL"/>
        </w:rPr>
        <w:t xml:space="preserve">fields are set </w:t>
      </w:r>
      <w:r w:rsidR="00E53C9F">
        <w:rPr>
          <w:bCs/>
          <w:lang w:bidi="he-IL"/>
        </w:rPr>
        <w:t>N_REP-</w:t>
      </w:r>
      <w:r>
        <w:rPr>
          <w:bCs/>
          <w:lang w:bidi="he-IL"/>
        </w:rPr>
        <w:t>1.</w:t>
      </w:r>
    </w:p>
    <w:p w14:paraId="59FF5379" w14:textId="6B2D77D5" w:rsidR="006C330B" w:rsidRDefault="006C330B" w:rsidP="006C330B">
      <w:pPr>
        <w:pStyle w:val="IEEEStdsParagraph"/>
      </w:pPr>
      <w:r>
        <w:t>The Disambiguation subfield is set to 1 to prevent a non-HE VHT STA from wrongly determining its AID in the NDP Announcement frame. The Disambiguation subfield coincides with the MSB of the AID12 subfield of an expected VHT NDP Announcement when</w:t>
      </w:r>
      <w:r w:rsidR="001D4FDC">
        <w:t xml:space="preserve"> the Ranging NDP Announcement frame</w:t>
      </w:r>
      <w:r>
        <w:t xml:space="preserve"> is parsed by a non-HE VHT STA. The MSB of the AID12 subfield is always 0 for a non-HE VHT STA due to the limitation of the AID to a maximum of 2007.</w:t>
      </w:r>
    </w:p>
    <w:p w14:paraId="77440C54" w14:textId="77777777" w:rsidR="006C330B" w:rsidRDefault="006C330B" w:rsidP="006C330B">
      <w:pPr>
        <w:keepNext/>
        <w:autoSpaceDE w:val="0"/>
        <w:autoSpaceDN w:val="0"/>
        <w:adjustRightInd w:val="0"/>
        <w:jc w:val="center"/>
      </w:pPr>
      <w:r>
        <w:object w:dxaOrig="6753" w:dyaOrig="1534" w14:anchorId="170A0A91">
          <v:shape id="_x0000_i1027" type="#_x0000_t75" style="width:337.55pt;height:76.6pt" o:ole="">
            <v:imagedata r:id="rId12" o:title=""/>
          </v:shape>
          <o:OLEObject Type="Embed" ProgID="Visio.Drawing.11" ShapeID="_x0000_i1027" DrawAspect="Content" ObjectID="_1602413305" r:id="rId13"/>
        </w:object>
      </w:r>
    </w:p>
    <w:p w14:paraId="0899EBF1" w14:textId="77777777" w:rsidR="006C330B" w:rsidRDefault="006C330B" w:rsidP="006C330B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-9-51f STA Info SAC Field</w:t>
      </w:r>
    </w:p>
    <w:p w14:paraId="7BEB89BC" w14:textId="77777777" w:rsidR="00E90947" w:rsidRPr="00E90947" w:rsidRDefault="00E90947" w:rsidP="00E90947"/>
    <w:p w14:paraId="2BA4DBCC" w14:textId="3A2477E8" w:rsidR="006C330B" w:rsidRDefault="006C330B" w:rsidP="00F841EA">
      <w:pPr>
        <w:pStyle w:val="IEEEStdsParagraph"/>
        <w:rPr>
          <w:bCs/>
          <w:lang w:bidi="he-IL"/>
        </w:rPr>
      </w:pPr>
      <w:r w:rsidRPr="006C330B">
        <w:rPr>
          <w:bCs/>
          <w:lang w:bidi="he-IL"/>
        </w:rPr>
        <w:t xml:space="preserve">The STA Info SAC field is used in the secure variant of the </w:t>
      </w:r>
      <w:r w:rsidR="00C767DB">
        <w:rPr>
          <w:bCs/>
          <w:lang w:bidi="he-IL"/>
        </w:rPr>
        <w:t xml:space="preserve">NTB Ranging </w:t>
      </w:r>
      <w:r w:rsidRPr="006C330B">
        <w:rPr>
          <w:bCs/>
          <w:lang w:bidi="he-IL"/>
        </w:rPr>
        <w:t xml:space="preserve">measurement exchange protocol to carry the secure authentication code (SAC), see Figure 9-51f. It is included in the Ranging NDP Announcement frame after the </w:t>
      </w:r>
      <w:r>
        <w:rPr>
          <w:bCs/>
          <w:lang w:bidi="he-IL"/>
        </w:rPr>
        <w:t xml:space="preserve">other </w:t>
      </w:r>
      <w:r w:rsidRPr="006C330B">
        <w:rPr>
          <w:bCs/>
          <w:lang w:bidi="he-IL"/>
        </w:rPr>
        <w:t>STA Info field(s), see Figure 9-51d.</w:t>
      </w:r>
      <w:r>
        <w:rPr>
          <w:bCs/>
          <w:lang w:bidi="he-IL"/>
        </w:rPr>
        <w:t xml:space="preserve"> </w:t>
      </w:r>
    </w:p>
    <w:p w14:paraId="2F65FDAE" w14:textId="51D127BF" w:rsidR="006C330B" w:rsidRDefault="006C330B" w:rsidP="00F841EA">
      <w:pPr>
        <w:pStyle w:val="IEEEStdsParagraph"/>
        <w:rPr>
          <w:bCs/>
          <w:lang w:bidi="he-IL"/>
        </w:rPr>
      </w:pPr>
      <w:r w:rsidRPr="005575EB">
        <w:rPr>
          <w:bCs/>
          <w:lang w:bidi="he-IL"/>
        </w:rPr>
        <w:t xml:space="preserve">The RSVD AID11 </w:t>
      </w:r>
      <w:r w:rsidR="005575EB">
        <w:rPr>
          <w:bCs/>
          <w:lang w:bidi="he-IL"/>
        </w:rPr>
        <w:t>sub</w:t>
      </w:r>
      <w:r w:rsidRPr="005575EB">
        <w:rPr>
          <w:bCs/>
          <w:lang w:bidi="he-IL"/>
        </w:rPr>
        <w:t xml:space="preserve">field is set to </w:t>
      </w:r>
      <w:r w:rsidR="005575EB">
        <w:rPr>
          <w:bCs/>
          <w:lang w:bidi="he-IL"/>
        </w:rPr>
        <w:t xml:space="preserve">2047, which is </w:t>
      </w:r>
      <w:r w:rsidRPr="005575EB">
        <w:rPr>
          <w:bCs/>
          <w:lang w:bidi="he-IL"/>
        </w:rPr>
        <w:t>a value above the maximum AID value of 2007</w:t>
      </w:r>
      <w:r w:rsidR="005575EB">
        <w:rPr>
          <w:bCs/>
          <w:lang w:bidi="he-IL"/>
        </w:rPr>
        <w:t>, and is used to identify the STA Info SAC field.</w:t>
      </w:r>
      <w:r>
        <w:rPr>
          <w:bCs/>
          <w:lang w:bidi="he-IL"/>
        </w:rPr>
        <w:t xml:space="preserve"> </w:t>
      </w:r>
      <w:r w:rsidR="005575EB">
        <w:rPr>
          <w:bCs/>
          <w:lang w:bidi="he-IL"/>
        </w:rPr>
        <w:t xml:space="preserve">The </w:t>
      </w:r>
      <w:r>
        <w:rPr>
          <w:bCs/>
          <w:lang w:bidi="he-IL"/>
        </w:rPr>
        <w:t xml:space="preserve">Disambiguation subfield is </w:t>
      </w:r>
      <w:r w:rsidR="005575EB">
        <w:rPr>
          <w:bCs/>
          <w:lang w:bidi="he-IL"/>
        </w:rPr>
        <w:t xml:space="preserve">also </w:t>
      </w:r>
      <w:r>
        <w:rPr>
          <w:bCs/>
          <w:lang w:bidi="he-IL"/>
        </w:rPr>
        <w:t xml:space="preserve">included in the STA Info </w:t>
      </w:r>
      <w:r w:rsidR="005575EB">
        <w:rPr>
          <w:bCs/>
          <w:lang w:bidi="he-IL"/>
        </w:rPr>
        <w:t xml:space="preserve">SAC </w:t>
      </w:r>
      <w:r w:rsidR="007377B3">
        <w:rPr>
          <w:bCs/>
          <w:lang w:bidi="he-IL"/>
        </w:rPr>
        <w:t>field</w:t>
      </w:r>
      <w:r w:rsidR="005575EB">
        <w:rPr>
          <w:bCs/>
          <w:lang w:bidi="he-IL"/>
        </w:rPr>
        <w:t xml:space="preserve"> such that together with </w:t>
      </w:r>
      <w:r w:rsidR="005575EB">
        <w:rPr>
          <w:bCs/>
          <w:lang w:bidi="he-IL"/>
        </w:rPr>
        <w:lastRenderedPageBreak/>
        <w:t>the RSVD AID11 subfield</w:t>
      </w:r>
      <w:r w:rsidR="007377B3">
        <w:rPr>
          <w:bCs/>
          <w:lang w:bidi="he-IL"/>
        </w:rPr>
        <w:t xml:space="preserve">, other STAs </w:t>
      </w:r>
      <w:r w:rsidR="005575EB">
        <w:rPr>
          <w:bCs/>
          <w:lang w:bidi="he-IL"/>
        </w:rPr>
        <w:t xml:space="preserve">can avoid </w:t>
      </w:r>
      <w:r w:rsidR="007377B3">
        <w:rPr>
          <w:bCs/>
          <w:lang w:bidi="he-IL"/>
        </w:rPr>
        <w:t>interpreting the STA Info SAC field as another STA Info field</w:t>
      </w:r>
      <w:r w:rsidR="005575EB">
        <w:rPr>
          <w:bCs/>
          <w:lang w:bidi="he-IL"/>
        </w:rPr>
        <w:t xml:space="preserve"> addressed to them</w:t>
      </w:r>
      <w:r w:rsidR="007377B3">
        <w:rPr>
          <w:bCs/>
          <w:lang w:bidi="he-IL"/>
        </w:rPr>
        <w:t>.</w:t>
      </w:r>
    </w:p>
    <w:p w14:paraId="4ED3E31B" w14:textId="3684449B" w:rsidR="006C330B" w:rsidRPr="00C767DB" w:rsidRDefault="007377B3" w:rsidP="00C767DB">
      <w:pPr>
        <w:pStyle w:val="IEEEStdsParagraph"/>
        <w:rPr>
          <w:bCs/>
          <w:lang w:bidi="he-IL"/>
        </w:rPr>
      </w:pPr>
      <w:r>
        <w:rPr>
          <w:bCs/>
          <w:lang w:bidi="he-IL"/>
        </w:rPr>
        <w:t xml:space="preserve">The SAC </w:t>
      </w:r>
      <w:r w:rsidR="005575EB">
        <w:rPr>
          <w:bCs/>
          <w:lang w:bidi="he-IL"/>
        </w:rPr>
        <w:t>sub</w:t>
      </w:r>
      <w:r>
        <w:rPr>
          <w:bCs/>
          <w:lang w:bidi="he-IL"/>
        </w:rPr>
        <w:t xml:space="preserve">field contains the 16bit SAC used in the secure variant of the </w:t>
      </w:r>
      <w:r w:rsidR="00C767DB">
        <w:rPr>
          <w:bCs/>
          <w:lang w:bidi="he-IL"/>
        </w:rPr>
        <w:t xml:space="preserve">NTB Ranging </w:t>
      </w:r>
      <w:r>
        <w:rPr>
          <w:bCs/>
          <w:lang w:bidi="he-IL"/>
        </w:rPr>
        <w:t>protocol, see Section 11.22.6.4.</w:t>
      </w:r>
    </w:p>
    <w:sectPr w:rsidR="006C330B" w:rsidRPr="00C767DB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88023" w14:textId="77777777" w:rsidR="00212B7C" w:rsidRDefault="00212B7C">
      <w:r>
        <w:separator/>
      </w:r>
    </w:p>
  </w:endnote>
  <w:endnote w:type="continuationSeparator" w:id="0">
    <w:p w14:paraId="412F343C" w14:textId="77777777" w:rsidR="00212B7C" w:rsidRDefault="0021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1500" w14:textId="71425B45" w:rsidR="00013EA7" w:rsidRDefault="0066279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13EA7">
        <w:t>Submission</w:t>
      </w:r>
    </w:fldSimple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1D4FDC">
      <w:rPr>
        <w:noProof/>
      </w:rPr>
      <w:t>4</w:t>
    </w:r>
    <w:r w:rsidR="00013EA7">
      <w:rPr>
        <w:noProof/>
      </w:rPr>
      <w:fldChar w:fldCharType="end"/>
    </w:r>
    <w:r w:rsidR="00013EA7">
      <w:tab/>
    </w:r>
    <w:r w:rsidR="00F841EA">
      <w:rPr>
        <w:lang w:eastAsia="ko-KR"/>
      </w:rPr>
      <w:t>Christian Berger</w:t>
    </w:r>
    <w:r w:rsidR="00013EA7">
      <w:rPr>
        <w:lang w:eastAsia="ko-KR"/>
      </w:rPr>
      <w:t xml:space="preserve"> (Marvell)</w:t>
    </w:r>
  </w:p>
  <w:p w14:paraId="240F7EAA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3F320" w14:textId="77777777" w:rsidR="00212B7C" w:rsidRDefault="00212B7C">
      <w:r>
        <w:separator/>
      </w:r>
    </w:p>
  </w:footnote>
  <w:footnote w:type="continuationSeparator" w:id="0">
    <w:p w14:paraId="47F2AFA2" w14:textId="77777777" w:rsidR="00212B7C" w:rsidRDefault="0021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AC44" w14:textId="7C62C93B" w:rsidR="00013EA7" w:rsidRDefault="00C31D6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</w:t>
    </w:r>
    <w:r w:rsidR="00013EA7">
      <w:rPr>
        <w:lang w:eastAsia="ko-KR"/>
      </w:rPr>
      <w:t xml:space="preserve"> 2018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fldSimple w:instr=" TITLE  \* MERGEFORMAT ">
      <w:r w:rsidR="00013EA7">
        <w:t>doc.: IEEE 802.11-18/</w:t>
      </w:r>
      <w:r w:rsidR="00F841EA">
        <w:rPr>
          <w:lang w:eastAsia="ko-KR"/>
        </w:rPr>
        <w:t>XXXX</w:t>
      </w:r>
      <w:r w:rsidR="00013EA7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35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553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38D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1B7D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51D5"/>
    <w:rsid w:val="00196691"/>
    <w:rsid w:val="00197B92"/>
    <w:rsid w:val="00197E8F"/>
    <w:rsid w:val="00197EE9"/>
    <w:rsid w:val="001A0CEC"/>
    <w:rsid w:val="001A0EDB"/>
    <w:rsid w:val="001A1456"/>
    <w:rsid w:val="001A16CE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4FDC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B7C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3EE"/>
    <w:rsid w:val="00255A8B"/>
    <w:rsid w:val="00255C26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0259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021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7D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5E6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176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4003"/>
    <w:rsid w:val="004A53B6"/>
    <w:rsid w:val="004A5537"/>
    <w:rsid w:val="004A7360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1443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2C37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0FC4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5EB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556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300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4A0A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E0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79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77CB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30B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06921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13F"/>
    <w:rsid w:val="00736C8F"/>
    <w:rsid w:val="007377B3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0D08"/>
    <w:rsid w:val="007E11C2"/>
    <w:rsid w:val="007E1B4A"/>
    <w:rsid w:val="007E21DF"/>
    <w:rsid w:val="007E2C84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2E63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1F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01A7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26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3F8B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1432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ABD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4C6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7DB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032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BDF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2C9A"/>
    <w:rsid w:val="00D3332E"/>
    <w:rsid w:val="00D3350B"/>
    <w:rsid w:val="00D337E1"/>
    <w:rsid w:val="00D33C85"/>
    <w:rsid w:val="00D3412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5327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460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B38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8C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4C85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C9F"/>
    <w:rsid w:val="00E544C1"/>
    <w:rsid w:val="00E54665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0947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746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41EA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F0C8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F841EA"/>
    <w:rPr>
      <w:lang w:eastAsia="ja-JP"/>
    </w:rPr>
  </w:style>
  <w:style w:type="paragraph" w:customStyle="1" w:styleId="IEEEStdsParagraph">
    <w:name w:val="IEEEStds Paragraph"/>
    <w:link w:val="IEEEStdsParagraphChar"/>
    <w:rsid w:val="00F841EA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F841EA"/>
    <w:pPr>
      <w:keepNext/>
      <w:keepLines/>
      <w:spacing w:after="0"/>
      <w:jc w:val="center"/>
    </w:pPr>
    <w:rPr>
      <w:sz w:val="18"/>
    </w:rPr>
  </w:style>
  <w:style w:type="character" w:customStyle="1" w:styleId="IEEEStdsLevel4HeaderChar">
    <w:name w:val="IEEEStds Level 4 Header Char"/>
    <w:basedOn w:val="DefaultParagraphFont"/>
    <w:locked/>
    <w:rsid w:val="00F841EA"/>
    <w:rPr>
      <w:rFonts w:ascii="Arial" w:hAnsi="Arial" w:cs="Arial"/>
      <w:b/>
      <w:lang w:eastAsia="ja-JP"/>
    </w:rPr>
  </w:style>
  <w:style w:type="paragraph" w:customStyle="1" w:styleId="IEEEStdsTableLineHead">
    <w:name w:val="IEEEStds Table Line Head"/>
    <w:basedOn w:val="IEEEStdsParagraph"/>
    <w:rsid w:val="00F841EA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034B-1431-4586-BA42-1153590C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5880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16</cp:revision>
  <cp:lastPrinted>2010-05-04T03:47:00Z</cp:lastPrinted>
  <dcterms:created xsi:type="dcterms:W3CDTF">2018-09-11T21:08:00Z</dcterms:created>
  <dcterms:modified xsi:type="dcterms:W3CDTF">2018-10-30T21:01:00Z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