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1F32F4E8" w:rsidR="00CA09B2" w:rsidRPr="007735CF" w:rsidRDefault="00CA09B2">
      <w:pPr>
        <w:pStyle w:val="T1"/>
        <w:pBdr>
          <w:bottom w:val="single" w:sz="6" w:space="0" w:color="auto"/>
        </w:pBdr>
        <w:spacing w:after="240"/>
        <w:rPr>
          <w:sz w:val="24"/>
        </w:rPr>
      </w:pPr>
      <w:r w:rsidRPr="007735CF">
        <w:rPr>
          <w:sz w:val="24"/>
        </w:rPr>
        <w:t>IEEE P802.11</w:t>
      </w:r>
      <w:r w:rsidRPr="007735CF">
        <w:rPr>
          <w:sz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7735CF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23A83B24" w:rsidR="00CA09B2" w:rsidRPr="007735CF" w:rsidRDefault="00734543" w:rsidP="00F33644">
            <w:pPr>
              <w:pStyle w:val="T2"/>
              <w:rPr>
                <w:sz w:val="22"/>
              </w:rPr>
            </w:pPr>
            <w:r>
              <w:rPr>
                <w:rFonts w:hint="eastAsia"/>
                <w:sz w:val="22"/>
                <w:lang w:eastAsia="ko-KR"/>
              </w:rPr>
              <w:t>C</w:t>
            </w:r>
            <w:r>
              <w:rPr>
                <w:sz w:val="22"/>
                <w:lang w:eastAsia="ko-KR"/>
              </w:rPr>
              <w:t xml:space="preserve">R on </w:t>
            </w:r>
            <w:r w:rsidR="00E95367">
              <w:rPr>
                <w:sz w:val="22"/>
              </w:rPr>
              <w:t>PHY Intro</w:t>
            </w:r>
          </w:p>
        </w:tc>
      </w:tr>
      <w:tr w:rsidR="00CA09B2" w:rsidRPr="007735CF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796BF5FF" w:rsidR="00CA09B2" w:rsidRPr="007735CF" w:rsidRDefault="00CA09B2" w:rsidP="00F33644">
            <w:pPr>
              <w:pStyle w:val="T2"/>
              <w:ind w:left="0"/>
              <w:rPr>
                <w:sz w:val="22"/>
              </w:rPr>
            </w:pPr>
            <w:r w:rsidRPr="007735CF">
              <w:rPr>
                <w:sz w:val="22"/>
              </w:rPr>
              <w:t>Date:</w:t>
            </w:r>
            <w:r w:rsidRPr="007735CF">
              <w:rPr>
                <w:b w:val="0"/>
                <w:sz w:val="22"/>
              </w:rPr>
              <w:t xml:space="preserve">  </w:t>
            </w:r>
            <w:r w:rsidR="00FD7C52" w:rsidRPr="007735CF">
              <w:rPr>
                <w:b w:val="0"/>
                <w:sz w:val="22"/>
              </w:rPr>
              <w:t>201</w:t>
            </w:r>
            <w:r w:rsidR="002F40BD" w:rsidRPr="007735CF">
              <w:rPr>
                <w:b w:val="0"/>
                <w:sz w:val="22"/>
              </w:rPr>
              <w:t>8</w:t>
            </w:r>
            <w:r w:rsidRPr="007735CF">
              <w:rPr>
                <w:b w:val="0"/>
                <w:sz w:val="22"/>
              </w:rPr>
              <w:t>-</w:t>
            </w:r>
            <w:r w:rsidR="00E95367">
              <w:rPr>
                <w:b w:val="0"/>
                <w:sz w:val="22"/>
              </w:rPr>
              <w:t>11</w:t>
            </w:r>
            <w:r w:rsidRPr="007735CF">
              <w:rPr>
                <w:b w:val="0"/>
                <w:sz w:val="22"/>
              </w:rPr>
              <w:t>-</w:t>
            </w:r>
            <w:r w:rsidR="00E95367">
              <w:rPr>
                <w:b w:val="0"/>
                <w:sz w:val="22"/>
              </w:rPr>
              <w:t>11</w:t>
            </w:r>
          </w:p>
        </w:tc>
      </w:tr>
      <w:tr w:rsidR="00CA09B2" w:rsidRPr="007735CF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7735CF" w:rsidRDefault="00CA09B2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Author(s):</w:t>
            </w:r>
          </w:p>
        </w:tc>
      </w:tr>
      <w:tr w:rsidR="00CA09B2" w:rsidRPr="007735CF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7735CF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7735CF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7735CF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7735CF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7735CF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</w:rPr>
            </w:pPr>
            <w:r w:rsidRPr="007735CF">
              <w:rPr>
                <w:sz w:val="22"/>
              </w:rPr>
              <w:t>email</w:t>
            </w:r>
          </w:p>
        </w:tc>
      </w:tr>
      <w:tr w:rsidR="0074761F" w:rsidRPr="007735CF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7735CF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  <w:r w:rsidRPr="007735CF">
              <w:rPr>
                <w:kern w:val="24"/>
                <w:sz w:val="22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7735CF" w:rsidRDefault="0074761F" w:rsidP="00CB10AD">
            <w:pPr>
              <w:pStyle w:val="NormalWeb"/>
              <w:spacing w:before="0" w:beforeAutospacing="0" w:after="0" w:afterAutospacing="0"/>
              <w:rPr>
                <w:sz w:val="22"/>
                <w:szCs w:val="20"/>
              </w:rPr>
            </w:pPr>
            <w:r w:rsidRPr="007735CF">
              <w:rPr>
                <w:kern w:val="24"/>
                <w:sz w:val="22"/>
                <w:szCs w:val="20"/>
              </w:rPr>
              <w:t>Newracom</w:t>
            </w:r>
          </w:p>
        </w:tc>
        <w:tc>
          <w:tcPr>
            <w:tcW w:w="2340" w:type="dxa"/>
            <w:vAlign w:val="center"/>
          </w:tcPr>
          <w:p w14:paraId="5542636F" w14:textId="0C5E315F" w:rsidR="0074761F" w:rsidRPr="007735CF" w:rsidRDefault="0074761F" w:rsidP="00CB10AD">
            <w:pPr>
              <w:pStyle w:val="NormalWeb"/>
              <w:spacing w:before="0" w:beforeAutospacing="0" w:after="0" w:afterAutospacing="0"/>
              <w:rPr>
                <w:sz w:val="22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7735CF" w:rsidRDefault="0074761F" w:rsidP="00CB10AD"/>
        </w:tc>
        <w:tc>
          <w:tcPr>
            <w:tcW w:w="2921" w:type="dxa"/>
            <w:vAlign w:val="center"/>
          </w:tcPr>
          <w:p w14:paraId="29AF3E2B" w14:textId="74F75765" w:rsidR="0074761F" w:rsidRPr="007735CF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  <w:r w:rsidRPr="007735CF">
              <w:rPr>
                <w:kern w:val="24"/>
                <w:sz w:val="22"/>
                <w:szCs w:val="20"/>
              </w:rPr>
              <w:t>yujin.noh</w:t>
            </w:r>
            <w:r w:rsidR="001C6661" w:rsidRPr="007735CF">
              <w:rPr>
                <w:kern w:val="24"/>
                <w:sz w:val="22"/>
                <w:szCs w:val="20"/>
              </w:rPr>
              <w:t xml:space="preserve"> at </w:t>
            </w:r>
            <w:r w:rsidRPr="007735CF">
              <w:rPr>
                <w:kern w:val="24"/>
                <w:sz w:val="22"/>
                <w:szCs w:val="20"/>
              </w:rPr>
              <w:t>newracom.com</w:t>
            </w:r>
          </w:p>
        </w:tc>
      </w:tr>
      <w:tr w:rsidR="00E703C4" w:rsidRPr="007735CF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2FB2A0CF" w:rsidR="00E703C4" w:rsidRPr="00FF7F75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1260" w:type="dxa"/>
          </w:tcPr>
          <w:p w14:paraId="078E5431" w14:textId="126B0BDC" w:rsidR="00E703C4" w:rsidRPr="00E703C4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</w:p>
        </w:tc>
        <w:tc>
          <w:tcPr>
            <w:tcW w:w="2340" w:type="dxa"/>
          </w:tcPr>
          <w:p w14:paraId="7A4084EF" w14:textId="4453B795" w:rsidR="00E703C4" w:rsidRPr="00E703C4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E703C4" w:rsidRDefault="00E703C4" w:rsidP="00E703C4"/>
        </w:tc>
        <w:tc>
          <w:tcPr>
            <w:tcW w:w="2921" w:type="dxa"/>
          </w:tcPr>
          <w:p w14:paraId="535061B5" w14:textId="6D668E39" w:rsidR="00E703C4" w:rsidRPr="00E703C4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0"/>
              </w:rPr>
            </w:pPr>
          </w:p>
        </w:tc>
      </w:tr>
    </w:tbl>
    <w:p w14:paraId="29A0C31A" w14:textId="77777777" w:rsidR="00CA09B2" w:rsidRPr="007735CF" w:rsidRDefault="008927F6">
      <w:pPr>
        <w:pStyle w:val="T1"/>
        <w:spacing w:after="120"/>
        <w:rPr>
          <w:sz w:val="20"/>
        </w:rPr>
      </w:pPr>
      <w:r w:rsidRPr="007735CF">
        <w:rPr>
          <w:noProof/>
          <w:sz w:val="20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C64097" w:rsidRDefault="00C6409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2637931F" w:rsidR="00C64097" w:rsidRDefault="00C64097" w:rsidP="005149CB">
                            <w:r>
                              <w:t>Thi</w:t>
                            </w:r>
                            <w:r w:rsidR="00D23A18">
                              <w:t>s</w:t>
                            </w:r>
                            <w:r>
                              <w:t xml:space="preserve"> submission shows </w:t>
                            </w:r>
                          </w:p>
                          <w:p w14:paraId="504AB403" w14:textId="27547996" w:rsidR="00C64097" w:rsidRDefault="00C64097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Resolution </w:t>
                            </w:r>
                            <w:r>
                              <w:rPr>
                                <w:rFonts w:hint="eastAsia"/>
                              </w:rPr>
                              <w:t xml:space="preserve">for a comment received from TGax </w:t>
                            </w:r>
                            <w:r>
                              <w:t>comment collection (TGax Draft D</w:t>
                            </w:r>
                            <w:r w:rsidR="003727F1">
                              <w:t>3</w:t>
                            </w:r>
                            <w:r>
                              <w:t>.0)</w:t>
                            </w:r>
                          </w:p>
                          <w:p w14:paraId="5CE8C861" w14:textId="6A4DB1FD" w:rsidR="00C64097" w:rsidRDefault="00C64097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proposed changes are based on </w:t>
                            </w:r>
                            <w:r w:rsidRPr="00E46828">
                              <w:rPr>
                                <w:highlight w:val="yellow"/>
                              </w:rPr>
                              <w:t>11ax D</w:t>
                            </w:r>
                            <w:r w:rsidR="003727F1">
                              <w:rPr>
                                <w:highlight w:val="yellow"/>
                              </w:rPr>
                              <w:t>3</w:t>
                            </w:r>
                            <w:r w:rsidRPr="00E46828">
                              <w:rPr>
                                <w:highlight w:val="yellow"/>
                              </w:rPr>
                              <w:t>.</w:t>
                            </w:r>
                            <w:r w:rsidR="00E95367">
                              <w:rPr>
                                <w:highlight w:val="yellow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  <w:p w14:paraId="12795FB2" w14:textId="77777777" w:rsidR="00C64097" w:rsidRPr="003727F1" w:rsidRDefault="00C64097" w:rsidP="009A08AB">
                            <w:pPr>
                              <w:ind w:left="360"/>
                            </w:pPr>
                          </w:p>
                          <w:p w14:paraId="18E3D580" w14:textId="5BC99090" w:rsidR="00C64097" w:rsidRPr="00B505BE" w:rsidRDefault="00C64097" w:rsidP="005149CB">
                            <w:pPr>
                              <w:jc w:val="both"/>
                            </w:pPr>
                            <w:r w:rsidRPr="00B505BE">
                              <w:t>The submission provides resolutions to comment</w:t>
                            </w:r>
                            <w:r w:rsidR="00526A53">
                              <w:t>s</w:t>
                            </w:r>
                            <w:r w:rsidRPr="00B505BE">
                              <w:t xml:space="preserve"> related to </w:t>
                            </w:r>
                            <w:r w:rsidR="00A27E72">
                              <w:t>PHY Introduction</w:t>
                            </w:r>
                            <w:r w:rsidRPr="00B505BE">
                              <w:t>.</w:t>
                            </w:r>
                          </w:p>
                          <w:p w14:paraId="6F847C36" w14:textId="381D2866" w:rsidR="00C64097" w:rsidRPr="00595232" w:rsidRDefault="00C64097" w:rsidP="004714F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 w:rsidRPr="00B505BE">
                              <w:t xml:space="preserve">The submission provides </w:t>
                            </w:r>
                            <w:r w:rsidR="006F6F4F">
                              <w:t>re</w:t>
                            </w:r>
                            <w:r w:rsidRPr="00B505BE">
                              <w:t>solutions to</w:t>
                            </w:r>
                            <w:r w:rsidR="00E95367">
                              <w:t xml:space="preserve"> </w:t>
                            </w:r>
                            <w:r w:rsidR="003D6074">
                              <w:rPr>
                                <w:highlight w:val="yellow"/>
                              </w:rPr>
                              <w:t>11</w:t>
                            </w:r>
                            <w:r w:rsidR="003A2C84" w:rsidRPr="00C96B9B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Pr="00C96B9B">
                              <w:rPr>
                                <w:highlight w:val="yellow"/>
                              </w:rPr>
                              <w:t>CIDs</w:t>
                            </w:r>
                            <w:r w:rsidR="00FE5027">
                              <w:t xml:space="preserve">: </w:t>
                            </w:r>
                            <w:r>
                              <w:br/>
                            </w:r>
                            <w:r w:rsidR="00C96B9B">
                              <w:t>16773, 16572, 15917, 16553, 16554, 16550, 16552</w:t>
                            </w:r>
                            <w:r w:rsidR="00085AE0">
                              <w:t xml:space="preserve">, </w:t>
                            </w:r>
                            <w:r w:rsidR="00085AE0" w:rsidRPr="00297CCF">
                              <w:t>16724</w:t>
                            </w:r>
                            <w:r w:rsidR="003D6074" w:rsidRPr="00297CCF">
                              <w:t>, 16520, 16705</w:t>
                            </w:r>
                            <w:r w:rsidR="00C96B9B">
                              <w:t xml:space="preserve"> </w:t>
                            </w:r>
                            <w:r w:rsidR="003D6074">
                              <w:br/>
                            </w:r>
                            <w:r w:rsidR="00C96B9B">
                              <w:rPr>
                                <w:rFonts w:hint="eastAsia"/>
                                <w:lang w:eastAsia="ko-KR"/>
                              </w:rPr>
                              <w:t>a</w:t>
                            </w:r>
                            <w:r w:rsidR="00C96B9B">
                              <w:rPr>
                                <w:lang w:eastAsia="ko-KR"/>
                              </w:rPr>
                              <w:t xml:space="preserve">nd </w:t>
                            </w:r>
                            <w:r w:rsidR="00C96B9B">
                              <w:t>16555</w:t>
                            </w:r>
                          </w:p>
                          <w:p w14:paraId="49472D22" w14:textId="77777777" w:rsidR="00C64097" w:rsidRPr="003D6074" w:rsidRDefault="00C64097" w:rsidP="00D87430"/>
                          <w:p w14:paraId="5A82A590" w14:textId="7375CDD4" w:rsidR="00C64097" w:rsidRDefault="00C64097" w:rsidP="00D87430">
                            <w:r>
                              <w:t>Revisions:</w:t>
                            </w:r>
                          </w:p>
                          <w:p w14:paraId="2D56AFC4" w14:textId="3DE0CEDE" w:rsidR="00C64097" w:rsidRDefault="00C64097" w:rsidP="009959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794B83B0" w14:textId="77777777" w:rsidR="00C64097" w:rsidRDefault="00C64097" w:rsidP="00917E0B"/>
                          <w:p w14:paraId="52CC84CD" w14:textId="77777777" w:rsidR="00C64097" w:rsidRDefault="00C64097" w:rsidP="00861EF6"/>
                          <w:p w14:paraId="0B0F92C1" w14:textId="77777777" w:rsidR="00C64097" w:rsidRDefault="00C64097" w:rsidP="00861EF6"/>
                          <w:p w14:paraId="6F7DA744" w14:textId="77777777" w:rsidR="00C64097" w:rsidRDefault="00C64097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C64097" w:rsidRDefault="00C6409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2637931F" w:rsidR="00C64097" w:rsidRDefault="00C64097" w:rsidP="005149CB">
                      <w:r>
                        <w:t>Thi</w:t>
                      </w:r>
                      <w:r w:rsidR="00D23A18">
                        <w:t>s</w:t>
                      </w:r>
                      <w:r>
                        <w:t xml:space="preserve"> submission shows </w:t>
                      </w:r>
                    </w:p>
                    <w:p w14:paraId="504AB403" w14:textId="27547996" w:rsidR="00C64097" w:rsidRDefault="00C64097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Resolution </w:t>
                      </w:r>
                      <w:r>
                        <w:rPr>
                          <w:rFonts w:hint="eastAsia"/>
                        </w:rPr>
                        <w:t xml:space="preserve">for a comment received from </w:t>
                      </w:r>
                      <w:proofErr w:type="spellStart"/>
                      <w:r>
                        <w:rPr>
                          <w:rFonts w:hint="eastAsia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comment collection (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Draft D</w:t>
                      </w:r>
                      <w:r w:rsidR="003727F1">
                        <w:t>3</w:t>
                      </w:r>
                      <w:r>
                        <w:t>.0)</w:t>
                      </w:r>
                    </w:p>
                    <w:p w14:paraId="5CE8C861" w14:textId="6A4DB1FD" w:rsidR="00C64097" w:rsidRDefault="00C64097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The proposed changes are based on </w:t>
                      </w:r>
                      <w:r w:rsidRPr="00E46828">
                        <w:rPr>
                          <w:highlight w:val="yellow"/>
                        </w:rPr>
                        <w:t>11ax D</w:t>
                      </w:r>
                      <w:r w:rsidR="003727F1">
                        <w:rPr>
                          <w:highlight w:val="yellow"/>
                        </w:rPr>
                        <w:t>3</w:t>
                      </w:r>
                      <w:r w:rsidRPr="00E46828">
                        <w:rPr>
                          <w:highlight w:val="yellow"/>
                        </w:rPr>
                        <w:t>.</w:t>
                      </w:r>
                      <w:r w:rsidR="00E95367">
                        <w:rPr>
                          <w:highlight w:val="yellow"/>
                        </w:rPr>
                        <w:t>1</w:t>
                      </w:r>
                      <w:r>
                        <w:t>.</w:t>
                      </w:r>
                    </w:p>
                    <w:p w14:paraId="12795FB2" w14:textId="77777777" w:rsidR="00C64097" w:rsidRPr="003727F1" w:rsidRDefault="00C64097" w:rsidP="009A08AB">
                      <w:pPr>
                        <w:ind w:left="360"/>
                      </w:pPr>
                    </w:p>
                    <w:p w14:paraId="18E3D580" w14:textId="5BC99090" w:rsidR="00C64097" w:rsidRPr="00B505BE" w:rsidRDefault="00C64097" w:rsidP="005149CB">
                      <w:pPr>
                        <w:jc w:val="both"/>
                      </w:pPr>
                      <w:r w:rsidRPr="00B505BE">
                        <w:t>The submission provides resolutions to comment</w:t>
                      </w:r>
                      <w:r w:rsidR="00526A53">
                        <w:t>s</w:t>
                      </w:r>
                      <w:r w:rsidRPr="00B505BE">
                        <w:t xml:space="preserve"> related to </w:t>
                      </w:r>
                      <w:r w:rsidR="00A27E72">
                        <w:t>PHY Introduction</w:t>
                      </w:r>
                      <w:r w:rsidRPr="00B505BE">
                        <w:t>.</w:t>
                      </w:r>
                    </w:p>
                    <w:p w14:paraId="6F847C36" w14:textId="381D2866" w:rsidR="00C64097" w:rsidRPr="00595232" w:rsidRDefault="00C64097" w:rsidP="004714F1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 w:rsidRPr="00B505BE">
                        <w:t xml:space="preserve">The submission provides </w:t>
                      </w:r>
                      <w:r w:rsidR="006F6F4F">
                        <w:t>re</w:t>
                      </w:r>
                      <w:r w:rsidRPr="00B505BE">
                        <w:t>solutions to</w:t>
                      </w:r>
                      <w:r w:rsidR="00E95367">
                        <w:t xml:space="preserve"> </w:t>
                      </w:r>
                      <w:r w:rsidR="003D6074">
                        <w:rPr>
                          <w:highlight w:val="yellow"/>
                        </w:rPr>
                        <w:t>11</w:t>
                      </w:r>
                      <w:r w:rsidR="003A2C84" w:rsidRPr="00C96B9B">
                        <w:rPr>
                          <w:highlight w:val="yellow"/>
                        </w:rPr>
                        <w:t xml:space="preserve"> </w:t>
                      </w:r>
                      <w:r w:rsidRPr="00C96B9B">
                        <w:rPr>
                          <w:highlight w:val="yellow"/>
                        </w:rPr>
                        <w:t>CIDs</w:t>
                      </w:r>
                      <w:r w:rsidR="00FE5027">
                        <w:t xml:space="preserve">: </w:t>
                      </w:r>
                      <w:r>
                        <w:br/>
                      </w:r>
                      <w:r w:rsidR="00C96B9B">
                        <w:t>16773, 16572, 15917, 16553, 16554, 16550, 16552</w:t>
                      </w:r>
                      <w:r w:rsidR="00085AE0">
                        <w:t xml:space="preserve">, </w:t>
                      </w:r>
                      <w:r w:rsidR="00085AE0" w:rsidRPr="00297CCF">
                        <w:t>16724</w:t>
                      </w:r>
                      <w:r w:rsidR="003D6074" w:rsidRPr="00297CCF">
                        <w:t xml:space="preserve">, </w:t>
                      </w:r>
                      <w:r w:rsidR="003D6074" w:rsidRPr="00297CCF">
                        <w:t>16520</w:t>
                      </w:r>
                      <w:r w:rsidR="003D6074" w:rsidRPr="00297CCF">
                        <w:t xml:space="preserve">, </w:t>
                      </w:r>
                      <w:r w:rsidR="003D6074" w:rsidRPr="00297CCF">
                        <w:t>16705</w:t>
                      </w:r>
                      <w:bookmarkStart w:id="1" w:name="_GoBack"/>
                      <w:bookmarkEnd w:id="1"/>
                      <w:r w:rsidR="00C96B9B">
                        <w:t xml:space="preserve"> </w:t>
                      </w:r>
                      <w:r w:rsidR="003D6074">
                        <w:br/>
                      </w:r>
                      <w:r w:rsidR="00C96B9B">
                        <w:rPr>
                          <w:rFonts w:hint="eastAsia"/>
                          <w:lang w:eastAsia="ko-KR"/>
                        </w:rPr>
                        <w:t>a</w:t>
                      </w:r>
                      <w:r w:rsidR="00C96B9B">
                        <w:rPr>
                          <w:lang w:eastAsia="ko-KR"/>
                        </w:rPr>
                        <w:t xml:space="preserve">nd </w:t>
                      </w:r>
                      <w:r w:rsidR="00C96B9B">
                        <w:t>16555</w:t>
                      </w:r>
                    </w:p>
                    <w:p w14:paraId="49472D22" w14:textId="77777777" w:rsidR="00C64097" w:rsidRPr="003D6074" w:rsidRDefault="00C64097" w:rsidP="00D87430"/>
                    <w:p w14:paraId="5A82A590" w14:textId="7375CDD4" w:rsidR="00C64097" w:rsidRDefault="00C64097" w:rsidP="00D87430">
                      <w:r>
                        <w:t>Revisions:</w:t>
                      </w:r>
                    </w:p>
                    <w:p w14:paraId="2D56AFC4" w14:textId="3DE0CEDE" w:rsidR="00C64097" w:rsidRDefault="00C64097" w:rsidP="0099595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794B83B0" w14:textId="77777777" w:rsidR="00C64097" w:rsidRDefault="00C64097" w:rsidP="00917E0B"/>
                    <w:p w14:paraId="52CC84CD" w14:textId="77777777" w:rsidR="00C64097" w:rsidRDefault="00C64097" w:rsidP="00861EF6"/>
                    <w:p w14:paraId="0B0F92C1" w14:textId="77777777" w:rsidR="00C64097" w:rsidRDefault="00C64097" w:rsidP="00861EF6"/>
                    <w:p w14:paraId="6F7DA744" w14:textId="77777777" w:rsidR="00C64097" w:rsidRDefault="00C64097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7735CF" w:rsidRDefault="00CA09B2">
      <w:pPr>
        <w:rPr>
          <w:b/>
          <w:sz w:val="20"/>
          <w:u w:val="single"/>
        </w:rPr>
      </w:pPr>
      <w:r w:rsidRPr="007735CF">
        <w:rPr>
          <w:sz w:val="20"/>
        </w:rPr>
        <w:br w:type="page"/>
      </w:r>
    </w:p>
    <w:p w14:paraId="1F57A947" w14:textId="77777777" w:rsidR="006F1717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516"/>
        <w:gridCol w:w="2268"/>
        <w:gridCol w:w="3946"/>
      </w:tblGrid>
      <w:tr w:rsidR="002C4F58" w:rsidRPr="005278AD" w14:paraId="02AE2D9B" w14:textId="77777777" w:rsidTr="007C0AC1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5278AD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278AD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A697F6" w14:textId="77777777" w:rsidR="002C4F58" w:rsidRPr="005278AD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278AD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5278AD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278AD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5278AD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278AD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946" w:type="dxa"/>
            <w:shd w:val="clear" w:color="auto" w:fill="auto"/>
            <w:vAlign w:val="center"/>
            <w:hideMark/>
          </w:tcPr>
          <w:p w14:paraId="6FC8BAAB" w14:textId="77777777" w:rsidR="002C4F58" w:rsidRPr="005278AD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278AD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5278AD" w:rsidRPr="005278AD" w14:paraId="27FA2B0A" w14:textId="77777777" w:rsidTr="007C0AC1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6F1853F8" w14:textId="327B9AE8" w:rsidR="005278AD" w:rsidRPr="005278AD" w:rsidRDefault="005278AD" w:rsidP="005278AD">
            <w:pPr>
              <w:jc w:val="center"/>
              <w:rPr>
                <w:sz w:val="20"/>
              </w:rPr>
            </w:pPr>
            <w:r w:rsidRPr="005278AD">
              <w:rPr>
                <w:sz w:val="20"/>
              </w:rPr>
              <w:t>16773</w:t>
            </w:r>
          </w:p>
        </w:tc>
        <w:tc>
          <w:tcPr>
            <w:tcW w:w="630" w:type="dxa"/>
            <w:shd w:val="clear" w:color="auto" w:fill="auto"/>
            <w:noWrap/>
          </w:tcPr>
          <w:p w14:paraId="135A47EF" w14:textId="5507659F" w:rsidR="005278AD" w:rsidRPr="005278AD" w:rsidRDefault="005278AD" w:rsidP="005278AD">
            <w:pPr>
              <w:jc w:val="center"/>
              <w:rPr>
                <w:sz w:val="20"/>
              </w:rPr>
            </w:pPr>
            <w:r w:rsidRPr="005278AD">
              <w:rPr>
                <w:sz w:val="20"/>
              </w:rPr>
              <w:t>377.36</w:t>
            </w:r>
          </w:p>
        </w:tc>
        <w:tc>
          <w:tcPr>
            <w:tcW w:w="2516" w:type="dxa"/>
            <w:shd w:val="clear" w:color="auto" w:fill="auto"/>
            <w:noWrap/>
          </w:tcPr>
          <w:p w14:paraId="09866987" w14:textId="17D261AD" w:rsidR="005278AD" w:rsidRPr="005278AD" w:rsidRDefault="005278AD" w:rsidP="005278AD">
            <w:pPr>
              <w:rPr>
                <w:sz w:val="20"/>
              </w:rPr>
            </w:pPr>
            <w:r w:rsidRPr="005278AD">
              <w:rPr>
                <w:sz w:val="20"/>
              </w:rPr>
              <w:t>"the maximum number of users supported for DL MU-MIMO transmissions to eight per RU". RU is used before the acronym is defined. Note that on line 38, the term "resource unit" is used instead.</w:t>
            </w:r>
          </w:p>
        </w:tc>
        <w:tc>
          <w:tcPr>
            <w:tcW w:w="2268" w:type="dxa"/>
            <w:shd w:val="clear" w:color="auto" w:fill="auto"/>
            <w:noWrap/>
          </w:tcPr>
          <w:p w14:paraId="048B2162" w14:textId="7CF9E650" w:rsidR="005278AD" w:rsidRPr="005278AD" w:rsidRDefault="005278AD" w:rsidP="005278AD">
            <w:pPr>
              <w:rPr>
                <w:sz w:val="20"/>
              </w:rPr>
            </w:pPr>
            <w:r w:rsidRPr="005278AD">
              <w:rPr>
                <w:sz w:val="20"/>
              </w:rPr>
              <w:t xml:space="preserve">　</w:t>
            </w:r>
          </w:p>
        </w:tc>
        <w:tc>
          <w:tcPr>
            <w:tcW w:w="3946" w:type="dxa"/>
            <w:shd w:val="clear" w:color="auto" w:fill="auto"/>
          </w:tcPr>
          <w:p w14:paraId="757F194A" w14:textId="2EA3F2DA" w:rsidR="005278AD" w:rsidRPr="005278AD" w:rsidRDefault="005278AD" w:rsidP="005278AD">
            <w:pPr>
              <w:rPr>
                <w:sz w:val="20"/>
              </w:rPr>
            </w:pPr>
            <w:r w:rsidRPr="005278AD">
              <w:rPr>
                <w:sz w:val="20"/>
              </w:rPr>
              <w:t>Revised</w:t>
            </w:r>
            <w:r w:rsidRPr="005278AD">
              <w:rPr>
                <w:sz w:val="20"/>
              </w:rPr>
              <w:br/>
            </w:r>
            <w:r w:rsidRPr="005278AD">
              <w:rPr>
                <w:sz w:val="20"/>
              </w:rPr>
              <w:br/>
              <w:t>RU is replaced with resource unit.</w:t>
            </w:r>
            <w:r w:rsidRPr="005278AD">
              <w:rPr>
                <w:sz w:val="20"/>
              </w:rPr>
              <w:br/>
            </w:r>
            <w:r w:rsidRPr="005278AD">
              <w:rPr>
                <w:sz w:val="20"/>
              </w:rPr>
              <w:br/>
              <w:t>TGax Editor: make changes according to this document 11-18-</w:t>
            </w:r>
            <w:r w:rsidR="009D75C7">
              <w:rPr>
                <w:sz w:val="20"/>
              </w:rPr>
              <w:t>1735</w:t>
            </w:r>
            <w:r w:rsidRPr="005278AD">
              <w:rPr>
                <w:sz w:val="20"/>
              </w:rPr>
              <w:t>-00-00ax CR on PHY Intro</w:t>
            </w:r>
          </w:p>
        </w:tc>
      </w:tr>
      <w:tr w:rsidR="005278AD" w:rsidRPr="005278AD" w14:paraId="20353040" w14:textId="77777777" w:rsidTr="007C0AC1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4351DB8D" w14:textId="4AF28DDF" w:rsidR="005278AD" w:rsidRPr="005278AD" w:rsidRDefault="005278AD" w:rsidP="005278AD">
            <w:pPr>
              <w:jc w:val="center"/>
              <w:rPr>
                <w:sz w:val="20"/>
              </w:rPr>
            </w:pPr>
            <w:r w:rsidRPr="005278AD">
              <w:rPr>
                <w:sz w:val="20"/>
              </w:rPr>
              <w:t>16572</w:t>
            </w:r>
          </w:p>
        </w:tc>
        <w:tc>
          <w:tcPr>
            <w:tcW w:w="630" w:type="dxa"/>
            <w:shd w:val="clear" w:color="auto" w:fill="auto"/>
            <w:noWrap/>
          </w:tcPr>
          <w:p w14:paraId="36607D8D" w14:textId="5F583D12" w:rsidR="005278AD" w:rsidRPr="005278AD" w:rsidRDefault="005278AD" w:rsidP="005278AD">
            <w:pPr>
              <w:jc w:val="center"/>
              <w:rPr>
                <w:sz w:val="20"/>
              </w:rPr>
            </w:pPr>
            <w:r w:rsidRPr="005278AD">
              <w:rPr>
                <w:sz w:val="20"/>
              </w:rPr>
              <w:t>377.36</w:t>
            </w:r>
          </w:p>
        </w:tc>
        <w:tc>
          <w:tcPr>
            <w:tcW w:w="2516" w:type="dxa"/>
            <w:shd w:val="clear" w:color="auto" w:fill="auto"/>
            <w:noWrap/>
          </w:tcPr>
          <w:p w14:paraId="2EBD4F15" w14:textId="572BBE4B" w:rsidR="005278AD" w:rsidRPr="005278AD" w:rsidRDefault="005278AD" w:rsidP="005278AD">
            <w:pPr>
              <w:rPr>
                <w:sz w:val="20"/>
              </w:rPr>
            </w:pPr>
            <w:r w:rsidRPr="005278AD">
              <w:rPr>
                <w:sz w:val="20"/>
              </w:rPr>
              <w:t>The HE PHY can not possibly support 8 users per RU in the DL MU-MIMO transmissions. This must be a typo.</w:t>
            </w:r>
          </w:p>
        </w:tc>
        <w:tc>
          <w:tcPr>
            <w:tcW w:w="2268" w:type="dxa"/>
            <w:shd w:val="clear" w:color="auto" w:fill="auto"/>
            <w:noWrap/>
          </w:tcPr>
          <w:p w14:paraId="2F8FAFB2" w14:textId="44302C85" w:rsidR="005278AD" w:rsidRPr="005278AD" w:rsidRDefault="005278AD" w:rsidP="005278AD">
            <w:pPr>
              <w:rPr>
                <w:sz w:val="20"/>
              </w:rPr>
            </w:pPr>
            <w:r w:rsidRPr="005278AD">
              <w:rPr>
                <w:sz w:val="20"/>
              </w:rPr>
              <w:t>Remove "per RU" from line 36 of this paragraph.</w:t>
            </w:r>
          </w:p>
        </w:tc>
        <w:tc>
          <w:tcPr>
            <w:tcW w:w="3946" w:type="dxa"/>
            <w:shd w:val="clear" w:color="auto" w:fill="auto"/>
          </w:tcPr>
          <w:p w14:paraId="6486E7F7" w14:textId="0F7420EC" w:rsidR="005278AD" w:rsidRDefault="005278AD" w:rsidP="005278AD">
            <w:pPr>
              <w:rPr>
                <w:sz w:val="20"/>
              </w:rPr>
            </w:pPr>
            <w:r w:rsidRPr="005278AD">
              <w:rPr>
                <w:sz w:val="20"/>
              </w:rPr>
              <w:t>Revised.</w:t>
            </w:r>
            <w:r w:rsidRPr="005278AD">
              <w:rPr>
                <w:sz w:val="20"/>
              </w:rPr>
              <w:br/>
            </w:r>
            <w:r w:rsidRPr="005278AD">
              <w:rPr>
                <w:sz w:val="20"/>
              </w:rPr>
              <w:br/>
              <w:t>To make it clear, "The HE PHY extends the maximum number of users supported for DL MU-MIMO transmissions to eight" is replaced with "The HE PHY extends the maximum number of users supported for DL MU-MIMO transmissions up to eight"</w:t>
            </w:r>
            <w:r w:rsidRPr="005278AD">
              <w:rPr>
                <w:sz w:val="20"/>
              </w:rPr>
              <w:br/>
            </w:r>
            <w:r w:rsidRPr="005278AD">
              <w:rPr>
                <w:sz w:val="20"/>
              </w:rPr>
              <w:br/>
              <w:t>TGax Editor: make changes according to this document 11-18-</w:t>
            </w:r>
            <w:r w:rsidR="009D75C7">
              <w:rPr>
                <w:sz w:val="20"/>
              </w:rPr>
              <w:t>1735</w:t>
            </w:r>
            <w:r w:rsidRPr="005278AD">
              <w:rPr>
                <w:sz w:val="20"/>
              </w:rPr>
              <w:t>-00-00ax CR on PHY Intro</w:t>
            </w:r>
          </w:p>
          <w:p w14:paraId="3B3CA290" w14:textId="0EEAE604" w:rsidR="003A6A0C" w:rsidRPr="005278AD" w:rsidRDefault="003A6A0C" w:rsidP="005278AD">
            <w:pPr>
              <w:rPr>
                <w:sz w:val="20"/>
              </w:rPr>
            </w:pPr>
          </w:p>
        </w:tc>
      </w:tr>
    </w:tbl>
    <w:p w14:paraId="62548FEA" w14:textId="690DE830" w:rsidR="005F4D3F" w:rsidRPr="007735CF" w:rsidRDefault="005F4D3F" w:rsidP="00DE739D">
      <w:pPr>
        <w:pStyle w:val="T"/>
        <w:jc w:val="left"/>
        <w:rPr>
          <w:b/>
          <w:i/>
        </w:rPr>
      </w:pPr>
      <w:r w:rsidRPr="007735CF">
        <w:rPr>
          <w:b/>
          <w:i/>
        </w:rPr>
        <w:t xml:space="preserve">To TGax editor: </w:t>
      </w:r>
      <w:r w:rsidRPr="007735CF">
        <w:rPr>
          <w:i/>
        </w:rPr>
        <w:t xml:space="preserve"> </w:t>
      </w:r>
      <w:r w:rsidRPr="007735CF">
        <w:rPr>
          <w:b/>
          <w:i/>
          <w:highlight w:val="yellow"/>
        </w:rPr>
        <w:t>P</w:t>
      </w:r>
      <w:r w:rsidR="005278AD">
        <w:rPr>
          <w:b/>
          <w:i/>
          <w:highlight w:val="yellow"/>
        </w:rPr>
        <w:t>381</w:t>
      </w:r>
      <w:r w:rsidR="00EE63E4">
        <w:rPr>
          <w:rFonts w:hint="eastAsia"/>
          <w:b/>
          <w:i/>
          <w:highlight w:val="yellow"/>
        </w:rPr>
        <w:t>L</w:t>
      </w:r>
      <w:r w:rsidR="005278AD">
        <w:rPr>
          <w:b/>
          <w:i/>
          <w:highlight w:val="yellow"/>
        </w:rPr>
        <w:t>34</w:t>
      </w:r>
      <w:r w:rsidRPr="007735CF">
        <w:rPr>
          <w:i/>
        </w:rPr>
        <w:t xml:space="preserve"> replace the current text with the proposed changes below.</w:t>
      </w:r>
      <w:r w:rsidR="00D23A18" w:rsidRPr="00D23A18">
        <w:rPr>
          <w:w w:val="100"/>
        </w:rPr>
        <w:t xml:space="preserve"> </w:t>
      </w:r>
      <w:r w:rsidR="00D23A18" w:rsidRPr="005278AD">
        <w:rPr>
          <w:w w:val="100"/>
          <w:highlight w:val="yellow"/>
        </w:rPr>
        <w:t>(#</w:t>
      </w:r>
      <w:r w:rsidR="005278AD" w:rsidRPr="005278AD">
        <w:rPr>
          <w:highlight w:val="yellow"/>
        </w:rPr>
        <w:t>16773 and 16572</w:t>
      </w:r>
      <w:r w:rsidR="00D23A18" w:rsidRPr="00D23A18">
        <w:rPr>
          <w:highlight w:val="yellow"/>
        </w:rPr>
        <w:t>)</w:t>
      </w:r>
      <w:r w:rsidRPr="007735CF">
        <w:rPr>
          <w:i/>
        </w:rPr>
        <w:br/>
      </w:r>
      <w:r w:rsidRPr="007735CF">
        <w:rPr>
          <w:b/>
          <w:i/>
        </w:rPr>
        <w:t>------------- Begin Text Changes ---------------</w:t>
      </w:r>
    </w:p>
    <w:p w14:paraId="74325885" w14:textId="4DCFF70A" w:rsidR="005278AD" w:rsidRPr="005278AD" w:rsidRDefault="005278AD" w:rsidP="005278AD">
      <w:pPr>
        <w:pStyle w:val="T"/>
      </w:pPr>
      <w:r w:rsidRPr="005278AD">
        <w:t xml:space="preserve">The HE PHY extends the maximum number of users supported for DL MU-MIMO transmissions </w:t>
      </w:r>
      <w:r w:rsidRPr="005278AD">
        <w:rPr>
          <w:color w:val="FF0000"/>
          <w:u w:val="single"/>
        </w:rPr>
        <w:t>up</w:t>
      </w:r>
      <w:r>
        <w:t xml:space="preserve"> </w:t>
      </w:r>
      <w:r w:rsidRPr="005278AD">
        <w:t>to 8</w:t>
      </w:r>
      <w:r>
        <w:t xml:space="preserve"> </w:t>
      </w:r>
      <w:r w:rsidRPr="005278AD">
        <w:t>users</w:t>
      </w:r>
      <w:r>
        <w:t xml:space="preserve"> </w:t>
      </w:r>
      <w:r w:rsidRPr="005278AD">
        <w:t>per</w:t>
      </w:r>
      <w:r>
        <w:t xml:space="preserve"> </w:t>
      </w:r>
      <w:r w:rsidRPr="005278AD">
        <w:rPr>
          <w:color w:val="FF0000"/>
          <w:u w:val="single"/>
        </w:rPr>
        <w:t>resource unit</w:t>
      </w:r>
      <w:r w:rsidRPr="005278AD">
        <w:t xml:space="preserve"> </w:t>
      </w:r>
      <w:r w:rsidRPr="005278AD">
        <w:rPr>
          <w:strike/>
          <w:color w:val="FF0000"/>
        </w:rPr>
        <w:t>RU</w:t>
      </w:r>
      <w:r w:rsidRPr="005278AD">
        <w:t xml:space="preserve"> and provides support for DL and UL orthogonal frequency division multiple access</w:t>
      </w:r>
      <w:r>
        <w:t xml:space="preserve"> </w:t>
      </w:r>
      <w:r w:rsidRPr="005278AD">
        <w:t>(OFDMA) as well as for UL MU-MIMO. Both DL and UL MU-MIMO transmissions are supported on portions</w:t>
      </w:r>
      <w:r>
        <w:t xml:space="preserve"> </w:t>
      </w:r>
      <w:r w:rsidRPr="005278AD">
        <w:t>of the PPDU bandwidth (on resource units greater than or equal to 106 tones). In an MU-MIMO</w:t>
      </w:r>
      <w:r>
        <w:t xml:space="preserve"> </w:t>
      </w:r>
      <w:r w:rsidRPr="005278AD">
        <w:t>resource unit, there is support for up to 8 users with up to 4 space-time streams per user with the total not</w:t>
      </w:r>
      <w:r>
        <w:t xml:space="preserve"> </w:t>
      </w:r>
      <w:r w:rsidRPr="005278AD">
        <w:t>exceeding 8 space-time streams.</w:t>
      </w:r>
    </w:p>
    <w:p w14:paraId="3041303A" w14:textId="460CB8CA" w:rsidR="00AA1DAE" w:rsidRDefault="00AA1DAE" w:rsidP="00BF3C55">
      <w:pPr>
        <w:pStyle w:val="T"/>
        <w:rPr>
          <w:b/>
          <w:i/>
        </w:rPr>
      </w:pPr>
      <w:r w:rsidRPr="007735CF">
        <w:rPr>
          <w:b/>
          <w:i/>
        </w:rPr>
        <w:t>------------- End Text Changes ---------------</w:t>
      </w:r>
    </w:p>
    <w:p w14:paraId="17F7143F" w14:textId="77777777" w:rsidR="00A81CA6" w:rsidRDefault="00A81CA6" w:rsidP="00A81CA6">
      <w:pPr>
        <w:rPr>
          <w:b/>
          <w:i/>
          <w:sz w:val="20"/>
        </w:rPr>
      </w:pPr>
    </w:p>
    <w:tbl>
      <w:tblPr>
        <w:tblW w:w="10847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540"/>
        <w:gridCol w:w="2835"/>
        <w:gridCol w:w="3911"/>
        <w:gridCol w:w="2697"/>
      </w:tblGrid>
      <w:tr w:rsidR="00A81CA6" w:rsidRPr="00186D53" w14:paraId="290FDFEB" w14:textId="77777777" w:rsidTr="003847BD">
        <w:trPr>
          <w:trHeight w:val="192"/>
        </w:trPr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CD0825C" w14:textId="77777777" w:rsidR="00A81CA6" w:rsidRPr="00186D53" w:rsidRDefault="00A81CA6" w:rsidP="00C646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86D5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625FC94" w14:textId="77777777" w:rsidR="00A81CA6" w:rsidRPr="00186D53" w:rsidRDefault="00A81CA6" w:rsidP="00C646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86D5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A57AF07" w14:textId="77777777" w:rsidR="00A81CA6" w:rsidRPr="00186D53" w:rsidRDefault="00A81CA6" w:rsidP="00C646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86D5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3911" w:type="dxa"/>
            <w:shd w:val="clear" w:color="auto" w:fill="auto"/>
            <w:noWrap/>
            <w:vAlign w:val="bottom"/>
            <w:hideMark/>
          </w:tcPr>
          <w:p w14:paraId="70E283A5" w14:textId="77777777" w:rsidR="00A81CA6" w:rsidRPr="00186D53" w:rsidRDefault="00A81CA6" w:rsidP="00C646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86D5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14:paraId="3CE1448E" w14:textId="77777777" w:rsidR="00A81CA6" w:rsidRPr="00186D53" w:rsidRDefault="00A81CA6" w:rsidP="00C6460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186D5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186D53" w:rsidRPr="00186D53" w14:paraId="18C18584" w14:textId="77777777" w:rsidTr="003847BD">
        <w:trPr>
          <w:trHeight w:val="192"/>
        </w:trPr>
        <w:tc>
          <w:tcPr>
            <w:tcW w:w="864" w:type="dxa"/>
            <w:shd w:val="clear" w:color="auto" w:fill="auto"/>
            <w:noWrap/>
          </w:tcPr>
          <w:p w14:paraId="610DF62A" w14:textId="00FD3B32" w:rsidR="00186D53" w:rsidRPr="00186D53" w:rsidRDefault="00186D53" w:rsidP="00186D53">
            <w:pPr>
              <w:jc w:val="center"/>
              <w:rPr>
                <w:sz w:val="20"/>
              </w:rPr>
            </w:pPr>
            <w:r w:rsidRPr="00186D53">
              <w:rPr>
                <w:sz w:val="20"/>
              </w:rPr>
              <w:t>15917</w:t>
            </w:r>
          </w:p>
        </w:tc>
        <w:tc>
          <w:tcPr>
            <w:tcW w:w="540" w:type="dxa"/>
            <w:shd w:val="clear" w:color="auto" w:fill="auto"/>
            <w:noWrap/>
          </w:tcPr>
          <w:p w14:paraId="6FA98125" w14:textId="35FB4142" w:rsidR="00186D53" w:rsidRPr="00186D53" w:rsidRDefault="00186D53" w:rsidP="00186D53">
            <w:pPr>
              <w:jc w:val="center"/>
              <w:rPr>
                <w:sz w:val="20"/>
              </w:rPr>
            </w:pPr>
            <w:r w:rsidRPr="00186D53">
              <w:rPr>
                <w:sz w:val="20"/>
              </w:rPr>
              <w:t>378.05</w:t>
            </w:r>
          </w:p>
        </w:tc>
        <w:tc>
          <w:tcPr>
            <w:tcW w:w="2835" w:type="dxa"/>
            <w:shd w:val="clear" w:color="auto" w:fill="auto"/>
            <w:noWrap/>
          </w:tcPr>
          <w:p w14:paraId="54CC6B1E" w14:textId="0303453E" w:rsidR="00186D53" w:rsidRPr="00186D53" w:rsidRDefault="00186D53" w:rsidP="00186D53">
            <w:pPr>
              <w:rPr>
                <w:sz w:val="20"/>
              </w:rPr>
            </w:pPr>
            <w:r w:rsidRPr="00186D53">
              <w:rPr>
                <w:sz w:val="20"/>
              </w:rPr>
              <w:t>Delete 'HE PHY supports the regulatory requirements in 21.3.13'. There is already an explicit section 28.3.23 for it</w:t>
            </w:r>
          </w:p>
        </w:tc>
        <w:tc>
          <w:tcPr>
            <w:tcW w:w="3911" w:type="dxa"/>
            <w:shd w:val="clear" w:color="auto" w:fill="auto"/>
            <w:noWrap/>
          </w:tcPr>
          <w:p w14:paraId="41362F59" w14:textId="2F83FAD8" w:rsidR="00186D53" w:rsidRPr="00186D53" w:rsidRDefault="00186D53" w:rsidP="00186D53">
            <w:pPr>
              <w:rPr>
                <w:sz w:val="20"/>
              </w:rPr>
            </w:pPr>
            <w:r w:rsidRPr="00186D53">
              <w:rPr>
                <w:sz w:val="20"/>
              </w:rPr>
              <w:t>Delete 'HE PHY supports the regulatory requirements in 21.3.13 (Regulatory requirments)'</w:t>
            </w:r>
          </w:p>
        </w:tc>
        <w:tc>
          <w:tcPr>
            <w:tcW w:w="2697" w:type="dxa"/>
            <w:shd w:val="clear" w:color="auto" w:fill="auto"/>
          </w:tcPr>
          <w:p w14:paraId="56C32DD1" w14:textId="753B0776" w:rsidR="00186D53" w:rsidRPr="00186D53" w:rsidRDefault="00186D53" w:rsidP="00186D53">
            <w:pPr>
              <w:rPr>
                <w:sz w:val="20"/>
              </w:rPr>
            </w:pPr>
            <w:r w:rsidRPr="00186D53">
              <w:rPr>
                <w:sz w:val="20"/>
              </w:rPr>
              <w:t>Accepted</w:t>
            </w:r>
          </w:p>
        </w:tc>
      </w:tr>
      <w:tr w:rsidR="00186D53" w:rsidRPr="00186D53" w14:paraId="4B3BC0EE" w14:textId="77777777" w:rsidTr="003847BD">
        <w:trPr>
          <w:trHeight w:val="192"/>
        </w:trPr>
        <w:tc>
          <w:tcPr>
            <w:tcW w:w="864" w:type="dxa"/>
            <w:shd w:val="clear" w:color="auto" w:fill="auto"/>
            <w:noWrap/>
          </w:tcPr>
          <w:p w14:paraId="532BE395" w14:textId="0DD4A67D" w:rsidR="00186D53" w:rsidRPr="00186D53" w:rsidRDefault="00186D53" w:rsidP="00186D53">
            <w:pPr>
              <w:jc w:val="center"/>
              <w:rPr>
                <w:sz w:val="20"/>
              </w:rPr>
            </w:pPr>
            <w:r w:rsidRPr="00186D53">
              <w:rPr>
                <w:sz w:val="20"/>
              </w:rPr>
              <w:t>16553</w:t>
            </w:r>
          </w:p>
        </w:tc>
        <w:tc>
          <w:tcPr>
            <w:tcW w:w="540" w:type="dxa"/>
            <w:shd w:val="clear" w:color="auto" w:fill="auto"/>
            <w:noWrap/>
          </w:tcPr>
          <w:p w14:paraId="55C6A1AC" w14:textId="749A2649" w:rsidR="00186D53" w:rsidRPr="00186D53" w:rsidRDefault="00186D53" w:rsidP="00186D53">
            <w:pPr>
              <w:jc w:val="center"/>
              <w:rPr>
                <w:sz w:val="20"/>
              </w:rPr>
            </w:pPr>
            <w:r w:rsidRPr="00186D53">
              <w:rPr>
                <w:sz w:val="20"/>
              </w:rPr>
              <w:t>378.05</w:t>
            </w:r>
          </w:p>
        </w:tc>
        <w:tc>
          <w:tcPr>
            <w:tcW w:w="2835" w:type="dxa"/>
            <w:shd w:val="clear" w:color="auto" w:fill="auto"/>
            <w:noWrap/>
          </w:tcPr>
          <w:p w14:paraId="40351575" w14:textId="58BBB86D" w:rsidR="00186D53" w:rsidRPr="00186D53" w:rsidRDefault="00186D53" w:rsidP="00186D53">
            <w:pPr>
              <w:rPr>
                <w:sz w:val="20"/>
              </w:rPr>
            </w:pPr>
            <w:r w:rsidRPr="00186D53">
              <w:rPr>
                <w:sz w:val="20"/>
              </w:rPr>
              <w:t>Incorrect reference to the "Regulatory Requirements"</w:t>
            </w:r>
          </w:p>
        </w:tc>
        <w:tc>
          <w:tcPr>
            <w:tcW w:w="3911" w:type="dxa"/>
            <w:shd w:val="clear" w:color="auto" w:fill="auto"/>
            <w:noWrap/>
          </w:tcPr>
          <w:p w14:paraId="4F84F867" w14:textId="349F1BD1" w:rsidR="00186D53" w:rsidRPr="00186D53" w:rsidRDefault="00186D53" w:rsidP="00186D53">
            <w:pPr>
              <w:rPr>
                <w:sz w:val="20"/>
              </w:rPr>
            </w:pPr>
            <w:r w:rsidRPr="00186D53">
              <w:rPr>
                <w:sz w:val="20"/>
              </w:rPr>
              <w:t>Change the statement as follows: The HE PHY supports the regulatory requirements in 28.3.23 (Regulatory requirements).</w:t>
            </w:r>
          </w:p>
        </w:tc>
        <w:tc>
          <w:tcPr>
            <w:tcW w:w="2697" w:type="dxa"/>
            <w:shd w:val="clear" w:color="auto" w:fill="auto"/>
          </w:tcPr>
          <w:p w14:paraId="6916E133" w14:textId="77777777" w:rsidR="00186D53" w:rsidRDefault="00186D53" w:rsidP="00186D53">
            <w:pPr>
              <w:rPr>
                <w:sz w:val="20"/>
              </w:rPr>
            </w:pPr>
            <w:r w:rsidRPr="00186D53">
              <w:rPr>
                <w:sz w:val="20"/>
              </w:rPr>
              <w:t>Revised.</w:t>
            </w:r>
            <w:r w:rsidRPr="00186D53">
              <w:rPr>
                <w:sz w:val="20"/>
              </w:rPr>
              <w:br/>
            </w:r>
            <w:r w:rsidRPr="00186D53">
              <w:rPr>
                <w:sz w:val="20"/>
              </w:rPr>
              <w:br/>
              <w:t>Same resolution to CID15917</w:t>
            </w:r>
          </w:p>
          <w:p w14:paraId="0AA5064A" w14:textId="77777777" w:rsidR="009D75C7" w:rsidRDefault="009D75C7" w:rsidP="00186D53">
            <w:pPr>
              <w:rPr>
                <w:sz w:val="20"/>
              </w:rPr>
            </w:pPr>
          </w:p>
          <w:p w14:paraId="3B3A6B86" w14:textId="462B6A97" w:rsidR="009D75C7" w:rsidRPr="00186D53" w:rsidRDefault="009D75C7" w:rsidP="00186D53">
            <w:pPr>
              <w:rPr>
                <w:sz w:val="20"/>
              </w:rPr>
            </w:pPr>
            <w:r w:rsidRPr="005278AD">
              <w:rPr>
                <w:sz w:val="20"/>
              </w:rPr>
              <w:t>TGax Editor: make changes according to this document 11-18-</w:t>
            </w:r>
            <w:r>
              <w:rPr>
                <w:sz w:val="20"/>
              </w:rPr>
              <w:t>1735</w:t>
            </w:r>
            <w:r w:rsidRPr="005278AD">
              <w:rPr>
                <w:sz w:val="20"/>
              </w:rPr>
              <w:t>-00-00ax CR on PHY Intro</w:t>
            </w:r>
          </w:p>
        </w:tc>
      </w:tr>
      <w:tr w:rsidR="00186D53" w:rsidRPr="00186D53" w14:paraId="1823F029" w14:textId="77777777" w:rsidTr="003847BD">
        <w:trPr>
          <w:trHeight w:val="192"/>
        </w:trPr>
        <w:tc>
          <w:tcPr>
            <w:tcW w:w="864" w:type="dxa"/>
            <w:shd w:val="clear" w:color="auto" w:fill="auto"/>
            <w:noWrap/>
          </w:tcPr>
          <w:p w14:paraId="4E654EB7" w14:textId="3203C6AA" w:rsidR="00186D53" w:rsidRPr="00186D53" w:rsidRDefault="00186D53" w:rsidP="00186D53">
            <w:pPr>
              <w:jc w:val="center"/>
              <w:rPr>
                <w:color w:val="000000"/>
                <w:sz w:val="20"/>
              </w:rPr>
            </w:pPr>
            <w:r w:rsidRPr="00186D53">
              <w:rPr>
                <w:sz w:val="20"/>
              </w:rPr>
              <w:t>16554</w:t>
            </w:r>
          </w:p>
        </w:tc>
        <w:tc>
          <w:tcPr>
            <w:tcW w:w="540" w:type="dxa"/>
            <w:shd w:val="clear" w:color="auto" w:fill="auto"/>
            <w:noWrap/>
          </w:tcPr>
          <w:p w14:paraId="1F899DAC" w14:textId="768F9612" w:rsidR="00186D53" w:rsidRPr="00186D53" w:rsidRDefault="00186D53" w:rsidP="00186D53">
            <w:pPr>
              <w:jc w:val="center"/>
              <w:rPr>
                <w:color w:val="000000"/>
                <w:sz w:val="20"/>
              </w:rPr>
            </w:pPr>
            <w:r w:rsidRPr="00186D53">
              <w:rPr>
                <w:sz w:val="20"/>
              </w:rPr>
              <w:t>378.05</w:t>
            </w:r>
          </w:p>
        </w:tc>
        <w:tc>
          <w:tcPr>
            <w:tcW w:w="2835" w:type="dxa"/>
            <w:shd w:val="clear" w:color="auto" w:fill="auto"/>
            <w:noWrap/>
          </w:tcPr>
          <w:p w14:paraId="7D728521" w14:textId="7D7D17F0" w:rsidR="00186D53" w:rsidRPr="00186D53" w:rsidRDefault="00186D53" w:rsidP="00186D53">
            <w:pPr>
              <w:rPr>
                <w:color w:val="000000"/>
                <w:sz w:val="20"/>
              </w:rPr>
            </w:pPr>
            <w:r w:rsidRPr="00186D53">
              <w:rPr>
                <w:sz w:val="20"/>
              </w:rPr>
              <w:t>Need additional  reference for "Regulatory Requirements" for 6-7 GHz band</w:t>
            </w:r>
          </w:p>
        </w:tc>
        <w:tc>
          <w:tcPr>
            <w:tcW w:w="3911" w:type="dxa"/>
            <w:shd w:val="clear" w:color="auto" w:fill="auto"/>
            <w:noWrap/>
          </w:tcPr>
          <w:p w14:paraId="2D6A454A" w14:textId="430C4581" w:rsidR="00186D53" w:rsidRPr="00186D53" w:rsidRDefault="00186D53" w:rsidP="00186D53">
            <w:pPr>
              <w:rPr>
                <w:color w:val="000000"/>
                <w:sz w:val="20"/>
              </w:rPr>
            </w:pPr>
            <w:r w:rsidRPr="00186D53">
              <w:rPr>
                <w:sz w:val="20"/>
              </w:rPr>
              <w:t>The HE PHY is intended to operate in frequency bands between 1 GHz and 7.125 GHz. It may need to reference additional requirements for frequency band from 6 - 7.1 GHz when it is formulated. One solution is to add a TBD sub clause under the 28.3.23 sub clause.</w:t>
            </w:r>
          </w:p>
        </w:tc>
        <w:tc>
          <w:tcPr>
            <w:tcW w:w="2697" w:type="dxa"/>
            <w:shd w:val="clear" w:color="auto" w:fill="auto"/>
          </w:tcPr>
          <w:p w14:paraId="422FD90D" w14:textId="4FDF2124" w:rsidR="003E6598" w:rsidRDefault="00186D53" w:rsidP="00186D53">
            <w:pPr>
              <w:rPr>
                <w:sz w:val="20"/>
              </w:rPr>
            </w:pPr>
            <w:r w:rsidRPr="00186D53">
              <w:rPr>
                <w:sz w:val="20"/>
              </w:rPr>
              <w:t>Revised.</w:t>
            </w:r>
            <w:r w:rsidRPr="00186D53">
              <w:rPr>
                <w:sz w:val="20"/>
              </w:rPr>
              <w:br/>
            </w:r>
            <w:r w:rsidRPr="00186D53">
              <w:rPr>
                <w:sz w:val="20"/>
              </w:rPr>
              <w:br/>
            </w:r>
            <w:r w:rsidR="003E6598">
              <w:rPr>
                <w:sz w:val="20"/>
              </w:rPr>
              <w:t>I don’t think it is the proper stage to add TBD in the spec.</w:t>
            </w:r>
          </w:p>
          <w:p w14:paraId="3E074CC7" w14:textId="77777777" w:rsidR="005C1803" w:rsidRDefault="005C1803" w:rsidP="00186D53">
            <w:pPr>
              <w:rPr>
                <w:sz w:val="20"/>
              </w:rPr>
            </w:pPr>
          </w:p>
          <w:p w14:paraId="25F150A3" w14:textId="0FF08BDF" w:rsidR="00186D53" w:rsidRDefault="00186D53" w:rsidP="00186D53">
            <w:pPr>
              <w:rPr>
                <w:sz w:val="20"/>
              </w:rPr>
            </w:pPr>
            <w:r w:rsidRPr="00186D53">
              <w:rPr>
                <w:sz w:val="20"/>
              </w:rPr>
              <w:t>Same resolution to CID15917</w:t>
            </w:r>
            <w:r w:rsidR="003E6598">
              <w:rPr>
                <w:sz w:val="20"/>
              </w:rPr>
              <w:t xml:space="preserve"> and leave </w:t>
            </w:r>
            <w:r w:rsidR="005C1803" w:rsidRPr="00186D53">
              <w:rPr>
                <w:sz w:val="20"/>
              </w:rPr>
              <w:t>28.3.23</w:t>
            </w:r>
            <w:r w:rsidR="00DA384A">
              <w:rPr>
                <w:sz w:val="20"/>
              </w:rPr>
              <w:t xml:space="preserve"> add its own </w:t>
            </w:r>
            <w:r w:rsidR="005C1803">
              <w:rPr>
                <w:sz w:val="20"/>
              </w:rPr>
              <w:t>text on 6 GHz band</w:t>
            </w:r>
            <w:r w:rsidR="00DA384A">
              <w:rPr>
                <w:sz w:val="20"/>
              </w:rPr>
              <w:t xml:space="preserve"> as of now.</w:t>
            </w:r>
          </w:p>
          <w:p w14:paraId="2260C91F" w14:textId="77777777" w:rsidR="009D75C7" w:rsidRDefault="009D75C7" w:rsidP="00186D53">
            <w:pPr>
              <w:rPr>
                <w:sz w:val="20"/>
              </w:rPr>
            </w:pPr>
          </w:p>
          <w:p w14:paraId="60F0FCED" w14:textId="76107BB5" w:rsidR="009D75C7" w:rsidRPr="00186D53" w:rsidRDefault="009D75C7" w:rsidP="00186D53">
            <w:pPr>
              <w:rPr>
                <w:sz w:val="20"/>
              </w:rPr>
            </w:pPr>
            <w:r w:rsidRPr="005278AD">
              <w:rPr>
                <w:sz w:val="20"/>
              </w:rPr>
              <w:lastRenderedPageBreak/>
              <w:t>TGax Editor: make changes according to this document 11-18-</w:t>
            </w:r>
            <w:r>
              <w:rPr>
                <w:sz w:val="20"/>
              </w:rPr>
              <w:t>1735</w:t>
            </w:r>
            <w:r w:rsidRPr="005278AD">
              <w:rPr>
                <w:sz w:val="20"/>
              </w:rPr>
              <w:t>-00-00ax CR on PHY Intro</w:t>
            </w:r>
          </w:p>
        </w:tc>
      </w:tr>
    </w:tbl>
    <w:p w14:paraId="66D23BE3" w14:textId="4CAFDF8E" w:rsidR="00A81CA6" w:rsidRPr="007735CF" w:rsidRDefault="00A81CA6" w:rsidP="00A81CA6">
      <w:pPr>
        <w:pStyle w:val="T"/>
        <w:jc w:val="left"/>
        <w:rPr>
          <w:b/>
          <w:i/>
        </w:rPr>
      </w:pPr>
      <w:r w:rsidRPr="007735CF">
        <w:rPr>
          <w:b/>
          <w:i/>
        </w:rPr>
        <w:lastRenderedPageBreak/>
        <w:t xml:space="preserve">To TGax editor: </w:t>
      </w:r>
      <w:r w:rsidRPr="007735CF">
        <w:rPr>
          <w:i/>
        </w:rPr>
        <w:t xml:space="preserve"> </w:t>
      </w:r>
      <w:r w:rsidRPr="007735CF">
        <w:rPr>
          <w:b/>
          <w:i/>
          <w:highlight w:val="yellow"/>
        </w:rPr>
        <w:t>P</w:t>
      </w:r>
      <w:r w:rsidR="00186D53">
        <w:rPr>
          <w:b/>
          <w:i/>
          <w:highlight w:val="yellow"/>
        </w:rPr>
        <w:t>382</w:t>
      </w:r>
      <w:r>
        <w:rPr>
          <w:rFonts w:hint="eastAsia"/>
          <w:b/>
          <w:i/>
          <w:highlight w:val="yellow"/>
        </w:rPr>
        <w:t>L</w:t>
      </w:r>
      <w:r w:rsidR="00186D53">
        <w:rPr>
          <w:b/>
          <w:i/>
          <w:highlight w:val="yellow"/>
        </w:rPr>
        <w:t>01</w:t>
      </w:r>
      <w:r w:rsidRPr="007735CF">
        <w:rPr>
          <w:i/>
        </w:rPr>
        <w:t xml:space="preserve"> </w:t>
      </w:r>
      <w:r w:rsidR="00186D53">
        <w:rPr>
          <w:i/>
        </w:rPr>
        <w:t>delete</w:t>
      </w:r>
      <w:r w:rsidRPr="007735CF">
        <w:rPr>
          <w:i/>
        </w:rPr>
        <w:t xml:space="preserve"> the current text </w:t>
      </w:r>
      <w:r w:rsidR="00186D53">
        <w:rPr>
          <w:i/>
        </w:rPr>
        <w:t xml:space="preserve">as </w:t>
      </w:r>
      <w:r w:rsidRPr="007735CF">
        <w:rPr>
          <w:i/>
        </w:rPr>
        <w:t>below.</w:t>
      </w:r>
      <w:r w:rsidRPr="00D23A18">
        <w:rPr>
          <w:w w:val="100"/>
        </w:rPr>
        <w:t xml:space="preserve"> </w:t>
      </w:r>
      <w:r w:rsidRPr="003847BD">
        <w:rPr>
          <w:w w:val="100"/>
          <w:highlight w:val="yellow"/>
        </w:rPr>
        <w:t>(#</w:t>
      </w:r>
      <w:r w:rsidR="003847BD" w:rsidRPr="003847BD">
        <w:rPr>
          <w:highlight w:val="yellow"/>
        </w:rPr>
        <w:t xml:space="preserve">15917, 16553 and 16554 </w:t>
      </w:r>
      <w:r w:rsidRPr="003847BD">
        <w:rPr>
          <w:highlight w:val="yellow"/>
        </w:rPr>
        <w:t>)</w:t>
      </w:r>
      <w:r w:rsidRPr="007735CF">
        <w:rPr>
          <w:i/>
        </w:rPr>
        <w:br/>
      </w:r>
      <w:r w:rsidRPr="007735CF">
        <w:rPr>
          <w:b/>
          <w:i/>
        </w:rPr>
        <w:t>------------- Begin Text Changes ---------------</w:t>
      </w:r>
    </w:p>
    <w:p w14:paraId="00C21777" w14:textId="77777777" w:rsidR="00186D53" w:rsidRDefault="00186D53" w:rsidP="00A81CA6">
      <w:pPr>
        <w:pStyle w:val="T"/>
      </w:pPr>
      <w:r>
        <w:t xml:space="preserve">The HE PHY provides support for midambles, which facilitate the updating of the channel estimate during HE PPDU reception, for example, in fast varying channels. </w:t>
      </w:r>
    </w:p>
    <w:p w14:paraId="08DCF34B" w14:textId="77777777" w:rsidR="00186D53" w:rsidRPr="00186D53" w:rsidRDefault="00186D53" w:rsidP="00A81CA6">
      <w:pPr>
        <w:pStyle w:val="T"/>
        <w:rPr>
          <w:strike/>
          <w:color w:val="FF0000"/>
        </w:rPr>
      </w:pPr>
      <w:r w:rsidRPr="00186D53">
        <w:rPr>
          <w:strike/>
          <w:color w:val="FF0000"/>
        </w:rPr>
        <w:t xml:space="preserve">The HE PHY supports the regulatory requirements in 21.3.13 (Regulatory requirements). </w:t>
      </w:r>
    </w:p>
    <w:p w14:paraId="2A5065E2" w14:textId="310ADD6A" w:rsidR="00A81CA6" w:rsidRPr="00186D53" w:rsidRDefault="00186D53" w:rsidP="00A81CA6">
      <w:pPr>
        <w:pStyle w:val="T"/>
        <w:rPr>
          <w:b/>
          <w:i/>
        </w:rPr>
      </w:pPr>
      <w:r>
        <w:t>An HE STA shall support the following features:</w:t>
      </w:r>
    </w:p>
    <w:p w14:paraId="6749B9E6" w14:textId="77777777" w:rsidR="00A81CA6" w:rsidRDefault="00A81CA6" w:rsidP="00A81CA6">
      <w:pPr>
        <w:pStyle w:val="T"/>
        <w:rPr>
          <w:b/>
          <w:i/>
        </w:rPr>
      </w:pPr>
      <w:r w:rsidRPr="007735CF">
        <w:rPr>
          <w:b/>
          <w:i/>
        </w:rPr>
        <w:t>------------- End Text Changes ---------------</w:t>
      </w:r>
    </w:p>
    <w:p w14:paraId="03D8B4EF" w14:textId="77777777" w:rsidR="00182248" w:rsidRDefault="00182248" w:rsidP="003B423B">
      <w:pPr>
        <w:rPr>
          <w:b/>
          <w:i/>
          <w:sz w:val="20"/>
        </w:rPr>
      </w:pPr>
    </w:p>
    <w:tbl>
      <w:tblPr>
        <w:tblW w:w="1029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584"/>
        <w:gridCol w:w="2268"/>
        <w:gridCol w:w="1985"/>
        <w:gridCol w:w="4642"/>
      </w:tblGrid>
      <w:tr w:rsidR="003B423B" w:rsidRPr="005A4780" w14:paraId="08C899CA" w14:textId="77777777" w:rsidTr="001B314B">
        <w:trPr>
          <w:trHeight w:val="187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1F3D3A9" w14:textId="77777777" w:rsidR="003B423B" w:rsidRPr="005A4780" w:rsidRDefault="003B423B" w:rsidP="009D6C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A478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584" w:type="dxa"/>
            <w:shd w:val="clear" w:color="auto" w:fill="auto"/>
            <w:noWrap/>
            <w:vAlign w:val="center"/>
          </w:tcPr>
          <w:p w14:paraId="520BB86F" w14:textId="77777777" w:rsidR="003B423B" w:rsidRPr="005A4780" w:rsidRDefault="003B423B" w:rsidP="009D6C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A478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6AF6373" w14:textId="77777777" w:rsidR="003B423B" w:rsidRPr="005A4780" w:rsidRDefault="003B423B" w:rsidP="009D6C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A478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87068C" w14:textId="77777777" w:rsidR="003B423B" w:rsidRPr="005A4780" w:rsidRDefault="003B423B" w:rsidP="009D6C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A478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2413058C" w14:textId="77777777" w:rsidR="003B423B" w:rsidRPr="005A4780" w:rsidRDefault="003B423B" w:rsidP="009D6C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5A4780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3B423B" w:rsidRPr="005A4780" w14:paraId="446EB80F" w14:textId="77777777" w:rsidTr="001B314B">
        <w:trPr>
          <w:trHeight w:val="187"/>
        </w:trPr>
        <w:tc>
          <w:tcPr>
            <w:tcW w:w="820" w:type="dxa"/>
            <w:shd w:val="clear" w:color="auto" w:fill="auto"/>
            <w:noWrap/>
          </w:tcPr>
          <w:p w14:paraId="12C08A44" w14:textId="2C2FB7B4" w:rsidR="003B423B" w:rsidRPr="005A4780" w:rsidRDefault="003B423B" w:rsidP="003B423B">
            <w:pPr>
              <w:jc w:val="center"/>
              <w:rPr>
                <w:sz w:val="20"/>
              </w:rPr>
            </w:pPr>
            <w:r w:rsidRPr="005A4780">
              <w:rPr>
                <w:sz w:val="20"/>
              </w:rPr>
              <w:t>16550</w:t>
            </w:r>
          </w:p>
        </w:tc>
        <w:tc>
          <w:tcPr>
            <w:tcW w:w="584" w:type="dxa"/>
            <w:shd w:val="clear" w:color="auto" w:fill="auto"/>
            <w:noWrap/>
          </w:tcPr>
          <w:p w14:paraId="7F8508CC" w14:textId="027B2B67" w:rsidR="003B423B" w:rsidRPr="005A4780" w:rsidRDefault="003B423B" w:rsidP="003B423B">
            <w:pPr>
              <w:jc w:val="center"/>
              <w:rPr>
                <w:sz w:val="20"/>
              </w:rPr>
            </w:pPr>
            <w:r w:rsidRPr="005A4780">
              <w:rPr>
                <w:sz w:val="20"/>
              </w:rPr>
              <w:t>378.14</w:t>
            </w:r>
          </w:p>
        </w:tc>
        <w:tc>
          <w:tcPr>
            <w:tcW w:w="2268" w:type="dxa"/>
            <w:shd w:val="clear" w:color="auto" w:fill="auto"/>
            <w:noWrap/>
          </w:tcPr>
          <w:p w14:paraId="2DAF7FDC" w14:textId="6D178343" w:rsidR="003B423B" w:rsidRPr="005A4780" w:rsidRDefault="003B423B" w:rsidP="003B423B">
            <w:pPr>
              <w:rPr>
                <w:sz w:val="20"/>
              </w:rPr>
            </w:pPr>
            <w:r w:rsidRPr="005A4780">
              <w:rPr>
                <w:sz w:val="20"/>
              </w:rPr>
              <w:t>Incomplete requirements on the type of coding to be used for HE SU PPDUs that occupy bandwidth larger than 20 MHz.</w:t>
            </w:r>
          </w:p>
        </w:tc>
        <w:tc>
          <w:tcPr>
            <w:tcW w:w="1985" w:type="dxa"/>
            <w:shd w:val="clear" w:color="auto" w:fill="auto"/>
            <w:noWrap/>
          </w:tcPr>
          <w:p w14:paraId="40C8D73D" w14:textId="3A138FDC" w:rsidR="003B423B" w:rsidRPr="005A4780" w:rsidRDefault="003B423B" w:rsidP="003B423B">
            <w:pPr>
              <w:rPr>
                <w:sz w:val="20"/>
              </w:rPr>
            </w:pPr>
            <w:r w:rsidRPr="005A4780">
              <w:rPr>
                <w:sz w:val="20"/>
              </w:rPr>
              <w:t>Remove the last sentence "Binary convolutional coding is not used in the following cases:" and the following 6 sub-bullets.</w:t>
            </w:r>
          </w:p>
        </w:tc>
        <w:tc>
          <w:tcPr>
            <w:tcW w:w="4642" w:type="dxa"/>
            <w:shd w:val="clear" w:color="auto" w:fill="auto"/>
          </w:tcPr>
          <w:p w14:paraId="1A08C2DE" w14:textId="2A96CFB2" w:rsidR="008071FA" w:rsidRPr="005A4780" w:rsidRDefault="006E66A1" w:rsidP="008071FA">
            <w:pPr>
              <w:rPr>
                <w:sz w:val="20"/>
              </w:rPr>
            </w:pPr>
            <w:r>
              <w:rPr>
                <w:sz w:val="20"/>
              </w:rPr>
              <w:t>Rejected</w:t>
            </w:r>
            <w:r w:rsidR="003B423B" w:rsidRPr="005A4780">
              <w:rPr>
                <w:sz w:val="20"/>
              </w:rPr>
              <w:t>.</w:t>
            </w:r>
            <w:r w:rsidR="003B423B" w:rsidRPr="005A4780">
              <w:rPr>
                <w:sz w:val="20"/>
              </w:rPr>
              <w:br/>
            </w:r>
          </w:p>
          <w:p w14:paraId="5AB3799D" w14:textId="626C611D" w:rsidR="005D3E16" w:rsidRDefault="005D3E16" w:rsidP="008071FA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There is nothing wrong with the description contents-wise when BCC is not used.</w:t>
            </w:r>
          </w:p>
          <w:p w14:paraId="54D3D111" w14:textId="1C57481F" w:rsidR="005D3E16" w:rsidRDefault="005D3E16" w:rsidP="008071FA">
            <w:pPr>
              <w:rPr>
                <w:sz w:val="20"/>
                <w:lang w:eastAsia="ko-KR"/>
              </w:rPr>
            </w:pPr>
          </w:p>
          <w:p w14:paraId="6D0A5AC2" w14:textId="69A110C4" w:rsidR="005D3E16" w:rsidRDefault="005D3E16" w:rsidP="005D3E16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There had been a long discussion that “shall support A feature (e.g. LDPC)” does not mean “shall not support B feature (e.g. BCC)” before.</w:t>
            </w:r>
          </w:p>
          <w:p w14:paraId="4148C62D" w14:textId="77777777" w:rsidR="005D3E16" w:rsidRPr="005D3E16" w:rsidRDefault="005D3E16" w:rsidP="005D3E16">
            <w:pPr>
              <w:rPr>
                <w:sz w:val="20"/>
                <w:lang w:eastAsia="ko-KR"/>
              </w:rPr>
            </w:pPr>
          </w:p>
          <w:p w14:paraId="1FE79660" w14:textId="12D33554" w:rsidR="005D3E16" w:rsidRDefault="005D3E16" w:rsidP="005D3E1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F</w:t>
            </w:r>
            <w:r>
              <w:rPr>
                <w:sz w:val="20"/>
                <w:lang w:eastAsia="ko-KR"/>
              </w:rPr>
              <w:t>or example. “</w:t>
            </w:r>
            <w:r w:rsidRPr="0076555C">
              <w:rPr>
                <w:sz w:val="20"/>
                <w:lang w:eastAsia="ko-KR"/>
              </w:rPr>
              <w:t xml:space="preserve">LDPC coding (transmit and receive) </w:t>
            </w:r>
            <w:r w:rsidR="003607D2">
              <w:rPr>
                <w:sz w:val="20"/>
                <w:lang w:eastAsia="ko-KR"/>
              </w:rPr>
              <w:t xml:space="preserve">shall support </w:t>
            </w:r>
            <w:r w:rsidRPr="0076555C">
              <w:rPr>
                <w:sz w:val="20"/>
                <w:lang w:eastAsia="ko-KR"/>
              </w:rPr>
              <w:t>in all supported HE PPDU types, RU sizes, and number of spatial streams if the STA supports transmitting and receiving in channel bandwidths greater than 20 MHz</w:t>
            </w:r>
            <w:r>
              <w:rPr>
                <w:sz w:val="20"/>
                <w:lang w:eastAsia="ko-KR"/>
              </w:rPr>
              <w:t>” does not mean “BCC</w:t>
            </w:r>
            <w:r w:rsidRPr="0076555C">
              <w:rPr>
                <w:sz w:val="20"/>
                <w:lang w:eastAsia="ko-KR"/>
              </w:rPr>
              <w:t xml:space="preserve"> is not used in the following cases:</w:t>
            </w:r>
            <w:r>
              <w:rPr>
                <w:sz w:val="20"/>
                <w:lang w:eastAsia="ko-KR"/>
              </w:rPr>
              <w:t xml:space="preserve"> 1) </w:t>
            </w:r>
            <w:r w:rsidRPr="0076555C">
              <w:rPr>
                <w:sz w:val="20"/>
                <w:lang w:eastAsia="ko-KR"/>
              </w:rPr>
              <w:t>An HE SU PPDU with a bandwidth greater than 20 MHz</w:t>
            </w:r>
            <w:r>
              <w:rPr>
                <w:sz w:val="20"/>
                <w:lang w:eastAsia="ko-KR"/>
              </w:rPr>
              <w:t xml:space="preserve"> and 2) </w:t>
            </w:r>
            <w:r w:rsidRPr="0076555C">
              <w:rPr>
                <w:sz w:val="20"/>
                <w:lang w:eastAsia="ko-KR"/>
              </w:rPr>
              <w:t>An RU of size greater than 242 subcarriers in an HE MU PPDU or an HE TB PPDU</w:t>
            </w:r>
            <w:r>
              <w:rPr>
                <w:sz w:val="20"/>
                <w:lang w:eastAsia="ko-KR"/>
              </w:rPr>
              <w:t>)</w:t>
            </w:r>
          </w:p>
          <w:p w14:paraId="1280952E" w14:textId="77777777" w:rsidR="005D3E16" w:rsidRDefault="005D3E16" w:rsidP="005D3E16">
            <w:pPr>
              <w:rPr>
                <w:sz w:val="20"/>
                <w:lang w:eastAsia="ko-KR"/>
              </w:rPr>
            </w:pPr>
          </w:p>
          <w:p w14:paraId="5B768648" w14:textId="388EB6CA" w:rsidR="005D3E16" w:rsidRDefault="005D3E16" w:rsidP="005D3E16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It would be better to keep it as of now</w:t>
            </w:r>
          </w:p>
          <w:p w14:paraId="73F62177" w14:textId="634A1AE2" w:rsidR="008071FA" w:rsidRPr="005A4780" w:rsidRDefault="008071FA" w:rsidP="008071FA">
            <w:pPr>
              <w:rPr>
                <w:sz w:val="20"/>
              </w:rPr>
            </w:pPr>
          </w:p>
        </w:tc>
      </w:tr>
      <w:tr w:rsidR="003B423B" w:rsidRPr="005A4780" w14:paraId="276F3B84" w14:textId="77777777" w:rsidTr="001B314B">
        <w:trPr>
          <w:trHeight w:val="187"/>
        </w:trPr>
        <w:tc>
          <w:tcPr>
            <w:tcW w:w="820" w:type="dxa"/>
            <w:shd w:val="clear" w:color="auto" w:fill="auto"/>
            <w:noWrap/>
          </w:tcPr>
          <w:p w14:paraId="6697EB97" w14:textId="3DA751C0" w:rsidR="003B423B" w:rsidRPr="005A4780" w:rsidRDefault="003B423B" w:rsidP="003B423B">
            <w:pPr>
              <w:jc w:val="center"/>
              <w:rPr>
                <w:sz w:val="20"/>
              </w:rPr>
            </w:pPr>
            <w:r w:rsidRPr="005A4780">
              <w:rPr>
                <w:sz w:val="20"/>
              </w:rPr>
              <w:t>16552</w:t>
            </w:r>
          </w:p>
        </w:tc>
        <w:tc>
          <w:tcPr>
            <w:tcW w:w="584" w:type="dxa"/>
            <w:shd w:val="clear" w:color="auto" w:fill="auto"/>
            <w:noWrap/>
          </w:tcPr>
          <w:p w14:paraId="6D35FF62" w14:textId="4A3CACEA" w:rsidR="003B423B" w:rsidRPr="005A4780" w:rsidRDefault="003B423B" w:rsidP="003B423B">
            <w:pPr>
              <w:jc w:val="center"/>
              <w:rPr>
                <w:sz w:val="20"/>
              </w:rPr>
            </w:pPr>
            <w:r w:rsidRPr="005A4780">
              <w:rPr>
                <w:sz w:val="20"/>
              </w:rPr>
              <w:t>378.14</w:t>
            </w:r>
          </w:p>
        </w:tc>
        <w:tc>
          <w:tcPr>
            <w:tcW w:w="2268" w:type="dxa"/>
            <w:shd w:val="clear" w:color="auto" w:fill="auto"/>
            <w:noWrap/>
          </w:tcPr>
          <w:p w14:paraId="4B933249" w14:textId="025043B0" w:rsidR="003B423B" w:rsidRPr="005A4780" w:rsidRDefault="003B423B" w:rsidP="003B423B">
            <w:pPr>
              <w:rPr>
                <w:sz w:val="20"/>
              </w:rPr>
            </w:pPr>
            <w:r w:rsidRPr="005A4780">
              <w:rPr>
                <w:sz w:val="20"/>
              </w:rPr>
              <w:t>Incomplete requirements on the type of coding coding to be used for HE SU PPDUs or an RU in an HE MU PPDU or HE TB PPDU using HE-MCSs 10 or 11</w:t>
            </w:r>
          </w:p>
        </w:tc>
        <w:tc>
          <w:tcPr>
            <w:tcW w:w="1985" w:type="dxa"/>
            <w:shd w:val="clear" w:color="auto" w:fill="auto"/>
            <w:noWrap/>
          </w:tcPr>
          <w:p w14:paraId="68FCF2B5" w14:textId="5C41755A" w:rsidR="003B423B" w:rsidRPr="005A4780" w:rsidRDefault="003B423B" w:rsidP="003B423B">
            <w:pPr>
              <w:rPr>
                <w:sz w:val="20"/>
              </w:rPr>
            </w:pPr>
            <w:r w:rsidRPr="005A4780">
              <w:rPr>
                <w:sz w:val="20"/>
              </w:rPr>
              <w:t>Remove the last sentence "Binary convolutional coding is not used in the following cases:" and the following 6 sub-bullets.</w:t>
            </w:r>
          </w:p>
        </w:tc>
        <w:tc>
          <w:tcPr>
            <w:tcW w:w="4642" w:type="dxa"/>
            <w:shd w:val="clear" w:color="auto" w:fill="auto"/>
          </w:tcPr>
          <w:p w14:paraId="3DAD61CF" w14:textId="15276969" w:rsidR="003B423B" w:rsidRPr="005A4780" w:rsidRDefault="008071FA" w:rsidP="003B423B">
            <w:pPr>
              <w:rPr>
                <w:sz w:val="20"/>
              </w:rPr>
            </w:pPr>
            <w:r w:rsidRPr="005A4780">
              <w:rPr>
                <w:sz w:val="20"/>
              </w:rPr>
              <w:t>Re</w:t>
            </w:r>
            <w:r w:rsidR="005D3E16">
              <w:rPr>
                <w:sz w:val="20"/>
              </w:rPr>
              <w:t>jected</w:t>
            </w:r>
          </w:p>
          <w:p w14:paraId="4BADE818" w14:textId="77777777" w:rsidR="008071FA" w:rsidRPr="005A4780" w:rsidRDefault="008071FA" w:rsidP="003B423B">
            <w:pPr>
              <w:rPr>
                <w:sz w:val="20"/>
              </w:rPr>
            </w:pPr>
          </w:p>
          <w:p w14:paraId="4AF801F0" w14:textId="6933F517" w:rsidR="008071FA" w:rsidRPr="005A4780" w:rsidRDefault="008071FA" w:rsidP="003B423B">
            <w:pPr>
              <w:rPr>
                <w:sz w:val="20"/>
                <w:lang w:eastAsia="ko-KR"/>
              </w:rPr>
            </w:pPr>
            <w:r w:rsidRPr="005A4780">
              <w:rPr>
                <w:sz w:val="20"/>
                <w:lang w:eastAsia="ko-KR"/>
              </w:rPr>
              <w:t>Same resolution to 16550</w:t>
            </w:r>
          </w:p>
        </w:tc>
      </w:tr>
      <w:tr w:rsidR="005A4780" w:rsidRPr="005A4780" w14:paraId="2111C3DD" w14:textId="77777777" w:rsidTr="001B314B">
        <w:trPr>
          <w:trHeight w:val="187"/>
        </w:trPr>
        <w:tc>
          <w:tcPr>
            <w:tcW w:w="820" w:type="dxa"/>
            <w:shd w:val="clear" w:color="auto" w:fill="auto"/>
            <w:noWrap/>
          </w:tcPr>
          <w:p w14:paraId="49DFF71A" w14:textId="04356BE2" w:rsidR="005A4780" w:rsidRPr="005A4780" w:rsidRDefault="005A4780" w:rsidP="005A4780">
            <w:pPr>
              <w:jc w:val="center"/>
              <w:rPr>
                <w:sz w:val="20"/>
              </w:rPr>
            </w:pPr>
            <w:r w:rsidRPr="005A4780">
              <w:rPr>
                <w:sz w:val="20"/>
              </w:rPr>
              <w:t>16724</w:t>
            </w:r>
          </w:p>
        </w:tc>
        <w:tc>
          <w:tcPr>
            <w:tcW w:w="584" w:type="dxa"/>
            <w:shd w:val="clear" w:color="auto" w:fill="auto"/>
            <w:noWrap/>
          </w:tcPr>
          <w:p w14:paraId="301771AB" w14:textId="102E2791" w:rsidR="005A4780" w:rsidRPr="005A4780" w:rsidRDefault="005A4780" w:rsidP="005A4780">
            <w:pPr>
              <w:jc w:val="center"/>
              <w:rPr>
                <w:sz w:val="20"/>
              </w:rPr>
            </w:pPr>
            <w:r w:rsidRPr="005A4780">
              <w:rPr>
                <w:sz w:val="20"/>
              </w:rPr>
              <w:t>378.00</w:t>
            </w:r>
          </w:p>
        </w:tc>
        <w:tc>
          <w:tcPr>
            <w:tcW w:w="2268" w:type="dxa"/>
            <w:shd w:val="clear" w:color="auto" w:fill="auto"/>
            <w:noWrap/>
          </w:tcPr>
          <w:p w14:paraId="0E708311" w14:textId="034BCE54" w:rsidR="005A4780" w:rsidRPr="005A4780" w:rsidRDefault="005A4780" w:rsidP="005A4780">
            <w:pPr>
              <w:rPr>
                <w:sz w:val="20"/>
              </w:rPr>
            </w:pPr>
            <w:r w:rsidRPr="005A4780">
              <w:rPr>
                <w:sz w:val="20"/>
              </w:rPr>
              <w:t>It looks very strange to have this "not used" cases under "An HE STA shall support the following features".</w:t>
            </w:r>
          </w:p>
        </w:tc>
        <w:tc>
          <w:tcPr>
            <w:tcW w:w="1985" w:type="dxa"/>
            <w:shd w:val="clear" w:color="auto" w:fill="auto"/>
            <w:noWrap/>
          </w:tcPr>
          <w:p w14:paraId="0D60E3C4" w14:textId="0E37144E" w:rsidR="005A4780" w:rsidRPr="005A4780" w:rsidRDefault="005A4780" w:rsidP="005A4780">
            <w:pPr>
              <w:rPr>
                <w:sz w:val="20"/>
              </w:rPr>
            </w:pPr>
            <w:r w:rsidRPr="005A4780">
              <w:rPr>
                <w:sz w:val="20"/>
              </w:rPr>
              <w:t>It is better to create a paragraph to include all "not supported" cases</w:t>
            </w:r>
          </w:p>
        </w:tc>
        <w:tc>
          <w:tcPr>
            <w:tcW w:w="4642" w:type="dxa"/>
            <w:shd w:val="clear" w:color="auto" w:fill="auto"/>
          </w:tcPr>
          <w:p w14:paraId="3775146D" w14:textId="19BCCB3D" w:rsidR="005D3E16" w:rsidRDefault="005D3E16" w:rsidP="005D3E1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R</w:t>
            </w:r>
            <w:r>
              <w:rPr>
                <w:sz w:val="20"/>
                <w:lang w:eastAsia="ko-KR"/>
              </w:rPr>
              <w:t>ejected</w:t>
            </w:r>
          </w:p>
          <w:p w14:paraId="3111B979" w14:textId="77777777" w:rsidR="005D3E16" w:rsidRDefault="005D3E16" w:rsidP="005D3E16">
            <w:pPr>
              <w:rPr>
                <w:sz w:val="20"/>
                <w:lang w:eastAsia="ko-KR"/>
              </w:rPr>
            </w:pPr>
          </w:p>
          <w:p w14:paraId="69ED4FF7" w14:textId="77777777" w:rsidR="005D3E16" w:rsidRDefault="005D3E16" w:rsidP="005D3E16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There had been a long discussion that “shall support A feature (e.g. LDPC)” does not mean “shall not support B feature (e.g. BCC)” before.</w:t>
            </w:r>
          </w:p>
          <w:p w14:paraId="60F6BCF0" w14:textId="77777777" w:rsidR="005D3E16" w:rsidRPr="005D3E16" w:rsidRDefault="005D3E16" w:rsidP="005D3E16">
            <w:pPr>
              <w:rPr>
                <w:sz w:val="20"/>
                <w:lang w:eastAsia="ko-KR"/>
              </w:rPr>
            </w:pPr>
          </w:p>
          <w:p w14:paraId="74BB3932" w14:textId="13E1A3F0" w:rsidR="005D3E16" w:rsidRDefault="005D3E16" w:rsidP="005D3E1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F</w:t>
            </w:r>
            <w:r>
              <w:rPr>
                <w:sz w:val="20"/>
                <w:lang w:eastAsia="ko-KR"/>
              </w:rPr>
              <w:t>or example. “</w:t>
            </w:r>
            <w:r w:rsidRPr="0076555C">
              <w:rPr>
                <w:sz w:val="20"/>
                <w:lang w:eastAsia="ko-KR"/>
              </w:rPr>
              <w:t xml:space="preserve">LDPC coding (transmit and receive) </w:t>
            </w:r>
            <w:r w:rsidR="00415DDD">
              <w:rPr>
                <w:sz w:val="20"/>
                <w:lang w:eastAsia="ko-KR"/>
              </w:rPr>
              <w:t xml:space="preserve">shall support </w:t>
            </w:r>
            <w:r w:rsidRPr="0076555C">
              <w:rPr>
                <w:sz w:val="20"/>
                <w:lang w:eastAsia="ko-KR"/>
              </w:rPr>
              <w:t>in all supported HE PPDU types, RU sizes, and number of spatial streams if the STA supports transmitting and receiving in channel bandwidths greater than 20 MHz</w:t>
            </w:r>
            <w:r>
              <w:rPr>
                <w:sz w:val="20"/>
                <w:lang w:eastAsia="ko-KR"/>
              </w:rPr>
              <w:t>” does not mean “BCC</w:t>
            </w:r>
            <w:r w:rsidRPr="0076555C">
              <w:rPr>
                <w:sz w:val="20"/>
                <w:lang w:eastAsia="ko-KR"/>
              </w:rPr>
              <w:t xml:space="preserve"> is not used in the following cases:</w:t>
            </w:r>
            <w:r>
              <w:rPr>
                <w:sz w:val="20"/>
                <w:lang w:eastAsia="ko-KR"/>
              </w:rPr>
              <w:t xml:space="preserve"> 1) </w:t>
            </w:r>
            <w:r w:rsidRPr="0076555C">
              <w:rPr>
                <w:sz w:val="20"/>
                <w:lang w:eastAsia="ko-KR"/>
              </w:rPr>
              <w:t xml:space="preserve">An HE SU </w:t>
            </w:r>
            <w:r w:rsidRPr="0076555C">
              <w:rPr>
                <w:sz w:val="20"/>
                <w:lang w:eastAsia="ko-KR"/>
              </w:rPr>
              <w:lastRenderedPageBreak/>
              <w:t>PPDU with a bandwidth greater than 20 MHz</w:t>
            </w:r>
            <w:r>
              <w:rPr>
                <w:sz w:val="20"/>
                <w:lang w:eastAsia="ko-KR"/>
              </w:rPr>
              <w:t xml:space="preserve"> and 2) </w:t>
            </w:r>
            <w:r w:rsidRPr="0076555C">
              <w:rPr>
                <w:sz w:val="20"/>
                <w:lang w:eastAsia="ko-KR"/>
              </w:rPr>
              <w:t>An RU of size greater than 242 subcarriers in an HE MU PPDU or an HE TB PPDU</w:t>
            </w:r>
            <w:r>
              <w:rPr>
                <w:sz w:val="20"/>
                <w:lang w:eastAsia="ko-KR"/>
              </w:rPr>
              <w:t>)</w:t>
            </w:r>
          </w:p>
          <w:p w14:paraId="4D8E3696" w14:textId="77777777" w:rsidR="005D3E16" w:rsidRDefault="005D3E16" w:rsidP="005D3E16">
            <w:pPr>
              <w:rPr>
                <w:sz w:val="20"/>
                <w:lang w:eastAsia="ko-KR"/>
              </w:rPr>
            </w:pPr>
          </w:p>
          <w:p w14:paraId="63D10968" w14:textId="77777777" w:rsidR="005D3E16" w:rsidRDefault="005D3E16" w:rsidP="005D3E16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Even though it seems not to be nature between “shall” and “not used”, it would be better to keep it as of now.</w:t>
            </w:r>
          </w:p>
          <w:p w14:paraId="590E9FB5" w14:textId="34D62A24" w:rsidR="005A4780" w:rsidRPr="005D3E16" w:rsidRDefault="005A4780" w:rsidP="005D3E16">
            <w:pPr>
              <w:rPr>
                <w:sz w:val="20"/>
                <w:lang w:eastAsia="ko-KR"/>
              </w:rPr>
            </w:pPr>
          </w:p>
        </w:tc>
      </w:tr>
      <w:tr w:rsidR="005A4780" w:rsidRPr="005A4780" w14:paraId="5DE4ED18" w14:textId="77777777" w:rsidTr="001B314B">
        <w:trPr>
          <w:trHeight w:val="187"/>
        </w:trPr>
        <w:tc>
          <w:tcPr>
            <w:tcW w:w="820" w:type="dxa"/>
            <w:shd w:val="clear" w:color="auto" w:fill="auto"/>
            <w:noWrap/>
          </w:tcPr>
          <w:p w14:paraId="0D9EC213" w14:textId="1078753A" w:rsidR="005A4780" w:rsidRPr="005A4780" w:rsidRDefault="005A4780" w:rsidP="005A4780">
            <w:pPr>
              <w:jc w:val="center"/>
              <w:rPr>
                <w:sz w:val="20"/>
              </w:rPr>
            </w:pPr>
            <w:r w:rsidRPr="005A4780">
              <w:rPr>
                <w:sz w:val="20"/>
              </w:rPr>
              <w:lastRenderedPageBreak/>
              <w:t>16520</w:t>
            </w:r>
          </w:p>
        </w:tc>
        <w:tc>
          <w:tcPr>
            <w:tcW w:w="584" w:type="dxa"/>
            <w:shd w:val="clear" w:color="auto" w:fill="auto"/>
            <w:noWrap/>
          </w:tcPr>
          <w:p w14:paraId="1E88136B" w14:textId="736EB926" w:rsidR="005A4780" w:rsidRPr="005A4780" w:rsidRDefault="005A4780" w:rsidP="005A4780">
            <w:pPr>
              <w:jc w:val="center"/>
              <w:rPr>
                <w:sz w:val="20"/>
              </w:rPr>
            </w:pPr>
            <w:r w:rsidRPr="005A4780">
              <w:rPr>
                <w:sz w:val="20"/>
              </w:rPr>
              <w:t>378.20</w:t>
            </w:r>
          </w:p>
        </w:tc>
        <w:tc>
          <w:tcPr>
            <w:tcW w:w="2268" w:type="dxa"/>
            <w:shd w:val="clear" w:color="auto" w:fill="auto"/>
            <w:noWrap/>
          </w:tcPr>
          <w:p w14:paraId="655DB268" w14:textId="4179E75D" w:rsidR="005A4780" w:rsidRPr="005A4780" w:rsidRDefault="005A4780" w:rsidP="005A4780">
            <w:pPr>
              <w:rPr>
                <w:sz w:val="20"/>
              </w:rPr>
            </w:pPr>
            <w:r w:rsidRPr="005A4780">
              <w:rPr>
                <w:sz w:val="20"/>
              </w:rPr>
              <w:t>"* An RU allocated to a single user in an HE MU PPDU or for an HE TB PPDU with a number of spatial streams greater than 4". Material may be organized as frequency information then spatial information.</w:t>
            </w:r>
          </w:p>
        </w:tc>
        <w:tc>
          <w:tcPr>
            <w:tcW w:w="1985" w:type="dxa"/>
            <w:shd w:val="clear" w:color="auto" w:fill="auto"/>
            <w:noWrap/>
          </w:tcPr>
          <w:p w14:paraId="56922502" w14:textId="1003D6A6" w:rsidR="005A4780" w:rsidRPr="005A4780" w:rsidRDefault="005A4780" w:rsidP="005A4780">
            <w:pPr>
              <w:rPr>
                <w:sz w:val="20"/>
              </w:rPr>
            </w:pPr>
            <w:r w:rsidRPr="005A4780">
              <w:rPr>
                <w:sz w:val="20"/>
              </w:rPr>
              <w:t>bullet point three: "An RU allocated to a single user in an HE MU PPDU""bullet point five: "An RU allocated for an HE TB PPDU with a number of</w:t>
            </w:r>
            <w:r>
              <w:rPr>
                <w:sz w:val="20"/>
              </w:rPr>
              <w:t xml:space="preserve"> </w:t>
            </w:r>
            <w:r w:rsidRPr="005A4780">
              <w:rPr>
                <w:sz w:val="20"/>
              </w:rPr>
              <w:t>spatial streams greater than 4</w:t>
            </w:r>
          </w:p>
        </w:tc>
        <w:tc>
          <w:tcPr>
            <w:tcW w:w="4642" w:type="dxa"/>
            <w:shd w:val="clear" w:color="auto" w:fill="auto"/>
          </w:tcPr>
          <w:p w14:paraId="3C7C074C" w14:textId="77777777" w:rsidR="005A4780" w:rsidRDefault="00C06560" w:rsidP="005A4780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Rejected.</w:t>
            </w:r>
          </w:p>
          <w:p w14:paraId="554CE104" w14:textId="77777777" w:rsidR="00C06560" w:rsidRDefault="00C06560" w:rsidP="005A4780">
            <w:pPr>
              <w:rPr>
                <w:sz w:val="20"/>
              </w:rPr>
            </w:pPr>
          </w:p>
          <w:p w14:paraId="615F0736" w14:textId="77777777" w:rsidR="00C06560" w:rsidRDefault="00C06560" w:rsidP="005A4780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N</w:t>
            </w:r>
            <w:r>
              <w:rPr>
                <w:sz w:val="20"/>
                <w:lang w:eastAsia="ko-KR"/>
              </w:rPr>
              <w:t>othing wrong with contents when BCC is not used.</w:t>
            </w:r>
          </w:p>
          <w:p w14:paraId="0D66C193" w14:textId="5C3ADABF" w:rsidR="00C06560" w:rsidRDefault="00C06560" w:rsidP="005A4780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I</w:t>
            </w:r>
            <w:r>
              <w:rPr>
                <w:sz w:val="20"/>
                <w:lang w:eastAsia="ko-KR"/>
              </w:rPr>
              <w:t xml:space="preserve">n two bullets with </w:t>
            </w:r>
            <w:r>
              <w:rPr>
                <w:sz w:val="20"/>
              </w:rPr>
              <w:t xml:space="preserve">1) An HE SU PPDU with number of spatial streams greater than 4 and 2) An RU allocated to a single user in an HE MU PPDU or for an HE TB PPDU with a number of spatial streams greater than 4, </w:t>
            </w:r>
            <w:r>
              <w:rPr>
                <w:sz w:val="20"/>
                <w:lang w:eastAsia="ko-KR"/>
              </w:rPr>
              <w:t xml:space="preserve">the point is </w:t>
            </w:r>
            <w:r w:rsidR="00721609">
              <w:rPr>
                <w:sz w:val="20"/>
                <w:lang w:eastAsia="ko-KR"/>
              </w:rPr>
              <w:t>“all</w:t>
            </w:r>
            <w:r>
              <w:rPr>
                <w:sz w:val="20"/>
                <w:lang w:eastAsia="ko-KR"/>
              </w:rPr>
              <w:t xml:space="preserve"> </w:t>
            </w:r>
            <w:r w:rsidR="00651BFC">
              <w:rPr>
                <w:sz w:val="20"/>
                <w:lang w:eastAsia="ko-KR"/>
              </w:rPr>
              <w:t xml:space="preserve">supported HE PPDU types with </w:t>
            </w:r>
            <w:r>
              <w:rPr>
                <w:sz w:val="20"/>
                <w:lang w:eastAsia="ko-KR"/>
              </w:rPr>
              <w:t>number of spatial streams greater than 4</w:t>
            </w:r>
            <w:r w:rsidR="00721609">
              <w:rPr>
                <w:sz w:val="20"/>
                <w:lang w:eastAsia="ko-KR"/>
              </w:rPr>
              <w:t>”</w:t>
            </w:r>
            <w:r>
              <w:rPr>
                <w:sz w:val="20"/>
                <w:lang w:eastAsia="ko-KR"/>
              </w:rPr>
              <w:t>.</w:t>
            </w:r>
          </w:p>
          <w:p w14:paraId="3FA2A6C7" w14:textId="6FAE5103" w:rsidR="00C06560" w:rsidRPr="005A4780" w:rsidRDefault="00C06560" w:rsidP="005A4780">
            <w:pPr>
              <w:rPr>
                <w:sz w:val="20"/>
                <w:lang w:eastAsia="ko-KR"/>
              </w:rPr>
            </w:pPr>
          </w:p>
        </w:tc>
      </w:tr>
      <w:tr w:rsidR="00182248" w:rsidRPr="005A4780" w14:paraId="04A49348" w14:textId="77777777" w:rsidTr="001B314B">
        <w:trPr>
          <w:trHeight w:val="187"/>
        </w:trPr>
        <w:tc>
          <w:tcPr>
            <w:tcW w:w="820" w:type="dxa"/>
            <w:shd w:val="clear" w:color="auto" w:fill="auto"/>
            <w:noWrap/>
          </w:tcPr>
          <w:p w14:paraId="5762439E" w14:textId="40961331" w:rsidR="00182248" w:rsidRPr="005A4780" w:rsidRDefault="00182248" w:rsidP="00182248">
            <w:pPr>
              <w:jc w:val="center"/>
              <w:rPr>
                <w:sz w:val="20"/>
                <w:lang w:val="en-US" w:eastAsia="ko-KR"/>
              </w:rPr>
            </w:pPr>
            <w:r w:rsidRPr="005A4780">
              <w:rPr>
                <w:sz w:val="20"/>
              </w:rPr>
              <w:t>16555</w:t>
            </w:r>
          </w:p>
        </w:tc>
        <w:tc>
          <w:tcPr>
            <w:tcW w:w="584" w:type="dxa"/>
            <w:shd w:val="clear" w:color="auto" w:fill="auto"/>
            <w:noWrap/>
          </w:tcPr>
          <w:p w14:paraId="6FC8EA60" w14:textId="300FBC8D" w:rsidR="00182248" w:rsidRPr="005A4780" w:rsidRDefault="00182248" w:rsidP="00182248">
            <w:pPr>
              <w:jc w:val="center"/>
              <w:rPr>
                <w:sz w:val="20"/>
              </w:rPr>
            </w:pPr>
            <w:r w:rsidRPr="005A4780">
              <w:rPr>
                <w:sz w:val="20"/>
              </w:rPr>
              <w:t>379.28</w:t>
            </w:r>
          </w:p>
        </w:tc>
        <w:tc>
          <w:tcPr>
            <w:tcW w:w="2268" w:type="dxa"/>
            <w:shd w:val="clear" w:color="auto" w:fill="auto"/>
            <w:noWrap/>
          </w:tcPr>
          <w:p w14:paraId="09D446E3" w14:textId="66C14CAE" w:rsidR="00182248" w:rsidRPr="005A4780" w:rsidRDefault="00182248" w:rsidP="00182248">
            <w:pPr>
              <w:rPr>
                <w:sz w:val="20"/>
              </w:rPr>
            </w:pPr>
            <w:r w:rsidRPr="005A4780">
              <w:rPr>
                <w:sz w:val="20"/>
              </w:rPr>
              <w:t>Should emphasize that HE AP only uses MCS 0 -5 to transmit HE-SIG-B.</w:t>
            </w:r>
          </w:p>
        </w:tc>
        <w:tc>
          <w:tcPr>
            <w:tcW w:w="1985" w:type="dxa"/>
            <w:shd w:val="clear" w:color="auto" w:fill="auto"/>
            <w:noWrap/>
          </w:tcPr>
          <w:p w14:paraId="2FB0160F" w14:textId="20A798CA" w:rsidR="00182248" w:rsidRPr="005A4780" w:rsidRDefault="00182248" w:rsidP="00182248">
            <w:pPr>
              <w:rPr>
                <w:sz w:val="20"/>
              </w:rPr>
            </w:pPr>
            <w:r w:rsidRPr="005A4780">
              <w:rPr>
                <w:sz w:val="20"/>
              </w:rPr>
              <w:t>Change the paragraph to: "Transmission of the HE-SIG-B field in an HE MU PPDU using only HE-MCSs 0 to 5."</w:t>
            </w:r>
          </w:p>
        </w:tc>
        <w:tc>
          <w:tcPr>
            <w:tcW w:w="4642" w:type="dxa"/>
            <w:shd w:val="clear" w:color="auto" w:fill="auto"/>
          </w:tcPr>
          <w:p w14:paraId="55102913" w14:textId="3B241C88" w:rsidR="00182248" w:rsidRPr="005A4780" w:rsidRDefault="00182248" w:rsidP="00182248">
            <w:pPr>
              <w:rPr>
                <w:sz w:val="20"/>
              </w:rPr>
            </w:pPr>
            <w:r w:rsidRPr="005A4780">
              <w:rPr>
                <w:sz w:val="20"/>
              </w:rPr>
              <w:t>Rejected.</w:t>
            </w:r>
            <w:r w:rsidRPr="005A4780">
              <w:rPr>
                <w:sz w:val="20"/>
              </w:rPr>
              <w:br/>
            </w:r>
            <w:r w:rsidRPr="005A4780">
              <w:rPr>
                <w:sz w:val="20"/>
              </w:rPr>
              <w:br/>
              <w:t>Looking at Table 28-19</w:t>
            </w:r>
            <w:r w:rsidR="00013248" w:rsidRPr="005A4780">
              <w:rPr>
                <w:sz w:val="20"/>
              </w:rPr>
              <w:t xml:space="preserve"> (</w:t>
            </w:r>
            <w:r w:rsidRPr="005A4780">
              <w:rPr>
                <w:sz w:val="20"/>
              </w:rPr>
              <w:t>HE-SIG-A field of an HE MU PPDU</w:t>
            </w:r>
            <w:r w:rsidR="00013248" w:rsidRPr="005A4780">
              <w:rPr>
                <w:sz w:val="20"/>
              </w:rPr>
              <w:t>)</w:t>
            </w:r>
            <w:r w:rsidRPr="005A4780">
              <w:rPr>
                <w:rFonts w:eastAsia="맑은 고딕"/>
                <w:sz w:val="20"/>
              </w:rPr>
              <w:t>, SIGB MCS field indicates MCS 0 to 5 such that there is no way to use beyond MCS 5. The o</w:t>
            </w:r>
            <w:r w:rsidRPr="005A4780">
              <w:rPr>
                <w:sz w:val="20"/>
              </w:rPr>
              <w:t>riginal text is clear enough as of now.</w:t>
            </w:r>
          </w:p>
          <w:p w14:paraId="114AFBA5" w14:textId="426C6FF7" w:rsidR="00157B58" w:rsidRPr="005A4780" w:rsidRDefault="00157B58" w:rsidP="00182248">
            <w:pPr>
              <w:rPr>
                <w:sz w:val="20"/>
              </w:rPr>
            </w:pPr>
          </w:p>
        </w:tc>
      </w:tr>
      <w:tr w:rsidR="00C06560" w:rsidRPr="005A4780" w14:paraId="502AD205" w14:textId="77777777" w:rsidTr="00C06560">
        <w:trPr>
          <w:trHeight w:val="18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1D297" w14:textId="77777777" w:rsidR="00C06560" w:rsidRPr="005A4780" w:rsidRDefault="00C06560" w:rsidP="001435A1">
            <w:pPr>
              <w:jc w:val="center"/>
              <w:rPr>
                <w:sz w:val="20"/>
              </w:rPr>
            </w:pPr>
            <w:r w:rsidRPr="00B845E1">
              <w:rPr>
                <w:sz w:val="20"/>
              </w:rPr>
              <w:t>16705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8B064" w14:textId="77777777" w:rsidR="00C06560" w:rsidRPr="005A4780" w:rsidRDefault="00C06560" w:rsidP="001435A1">
            <w:pPr>
              <w:jc w:val="center"/>
              <w:rPr>
                <w:sz w:val="20"/>
              </w:rPr>
            </w:pPr>
            <w:r w:rsidRPr="00B845E1">
              <w:rPr>
                <w:sz w:val="20"/>
              </w:rPr>
              <w:t>378.50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3B562" w14:textId="77777777" w:rsidR="00C06560" w:rsidRPr="005A4780" w:rsidRDefault="00C06560" w:rsidP="001435A1">
            <w:pPr>
              <w:rPr>
                <w:sz w:val="20"/>
              </w:rPr>
            </w:pPr>
            <w:r w:rsidRPr="00C06560">
              <w:rPr>
                <w:sz w:val="20"/>
              </w:rPr>
              <w:t>"HE ER SU PPDU is not used" is not an item the HE STA shall support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24E42" w14:textId="77777777" w:rsidR="00C06560" w:rsidRPr="005A4780" w:rsidRDefault="00C06560" w:rsidP="001435A1">
            <w:pPr>
              <w:rPr>
                <w:sz w:val="20"/>
              </w:rPr>
            </w:pPr>
            <w:r w:rsidRPr="00C06560">
              <w:rPr>
                <w:sz w:val="20"/>
              </w:rPr>
              <w:t>Move it to a sub-item to the previous line "Single spatial stream HE-MCS ..." similar to the BCC requirement at line 15 of the same page.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0129" w14:textId="77777777" w:rsidR="00CB58C2" w:rsidRDefault="00CB58C2" w:rsidP="00CB58C2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R</w:t>
            </w:r>
            <w:r>
              <w:rPr>
                <w:sz w:val="20"/>
                <w:lang w:eastAsia="ko-KR"/>
              </w:rPr>
              <w:t>ejected</w:t>
            </w:r>
          </w:p>
          <w:p w14:paraId="1FE26DB8" w14:textId="77777777" w:rsidR="00CB58C2" w:rsidRDefault="00CB58C2" w:rsidP="00CB58C2">
            <w:pPr>
              <w:rPr>
                <w:sz w:val="20"/>
                <w:lang w:eastAsia="ko-KR"/>
              </w:rPr>
            </w:pPr>
          </w:p>
          <w:p w14:paraId="4C97EDEE" w14:textId="6452B7C2" w:rsidR="00CB58C2" w:rsidRDefault="00CB58C2" w:rsidP="00CB58C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There had been a long discussion that “shall support A feature” does not mean “shall not support B feature before.</w:t>
            </w:r>
          </w:p>
          <w:p w14:paraId="7B8FA53D" w14:textId="77777777" w:rsidR="00CB58C2" w:rsidRPr="005D3E16" w:rsidRDefault="00CB58C2" w:rsidP="00CB58C2">
            <w:pPr>
              <w:rPr>
                <w:sz w:val="20"/>
                <w:lang w:eastAsia="ko-KR"/>
              </w:rPr>
            </w:pPr>
          </w:p>
          <w:p w14:paraId="50C316EF" w14:textId="0A0CB49D" w:rsidR="00CB58C2" w:rsidRDefault="00CB58C2" w:rsidP="00CB58C2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F</w:t>
            </w:r>
            <w:r>
              <w:rPr>
                <w:sz w:val="20"/>
                <w:lang w:eastAsia="ko-KR"/>
              </w:rPr>
              <w:t xml:space="preserve">or example. </w:t>
            </w:r>
            <w:r w:rsidR="00EA076F">
              <w:rPr>
                <w:sz w:val="20"/>
                <w:lang w:eastAsia="ko-KR"/>
              </w:rPr>
              <w:t xml:space="preserve">Supporting </w:t>
            </w:r>
            <w:r w:rsidR="00D62FB3">
              <w:rPr>
                <w:sz w:val="20"/>
                <w:lang w:eastAsia="ko-KR"/>
              </w:rPr>
              <w:t xml:space="preserve">mandatorily </w:t>
            </w:r>
            <w:r>
              <w:rPr>
                <w:sz w:val="20"/>
                <w:lang w:eastAsia="ko-KR"/>
              </w:rPr>
              <w:t>“</w:t>
            </w:r>
            <w:r w:rsidRPr="00CB58C2">
              <w:rPr>
                <w:sz w:val="20"/>
                <w:lang w:eastAsia="ko-KR"/>
              </w:rPr>
              <w:t>Sin</w:t>
            </w:r>
            <w:r w:rsidR="00EA076F">
              <w:rPr>
                <w:sz w:val="20"/>
                <w:lang w:eastAsia="ko-KR"/>
              </w:rPr>
              <w:t>g</w:t>
            </w:r>
            <w:r w:rsidRPr="00CB58C2">
              <w:rPr>
                <w:sz w:val="20"/>
                <w:lang w:eastAsia="ko-KR"/>
              </w:rPr>
              <w:t>le spatial stream HE-MCSs 0 to 2 in primary 20 MHz channel for HE ER SU PPDUs.</w:t>
            </w:r>
            <w:r>
              <w:rPr>
                <w:sz w:val="20"/>
                <w:lang w:eastAsia="ko-KR"/>
              </w:rPr>
              <w:t>” does not mean “</w:t>
            </w:r>
            <w:r w:rsidRPr="00CB58C2">
              <w:rPr>
                <w:sz w:val="20"/>
                <w:lang w:eastAsia="ko-KR"/>
              </w:rPr>
              <w:t xml:space="preserve">HE-MCS greater than 2 when 242 subcarriers are </w:t>
            </w:r>
            <w:r>
              <w:rPr>
                <w:sz w:val="20"/>
                <w:lang w:eastAsia="ko-KR"/>
              </w:rPr>
              <w:t xml:space="preserve">not </w:t>
            </w:r>
            <w:r w:rsidRPr="00CB58C2">
              <w:rPr>
                <w:sz w:val="20"/>
                <w:lang w:eastAsia="ko-KR"/>
              </w:rPr>
              <w:t>used in the Data field OFDM symbols</w:t>
            </w:r>
            <w:r>
              <w:rPr>
                <w:sz w:val="20"/>
                <w:lang w:eastAsia="ko-KR"/>
              </w:rPr>
              <w:t>”</w:t>
            </w:r>
            <w:r w:rsidR="000A270A">
              <w:rPr>
                <w:sz w:val="20"/>
                <w:lang w:eastAsia="ko-KR"/>
              </w:rPr>
              <w:t xml:space="preserve"> for HE ER SU PPDUs</w:t>
            </w:r>
          </w:p>
          <w:p w14:paraId="6753BFBD" w14:textId="77777777" w:rsidR="00CB58C2" w:rsidRDefault="00CB58C2" w:rsidP="00CB58C2">
            <w:pPr>
              <w:rPr>
                <w:sz w:val="20"/>
                <w:lang w:eastAsia="ko-KR"/>
              </w:rPr>
            </w:pPr>
          </w:p>
          <w:p w14:paraId="37254BB8" w14:textId="77777777" w:rsidR="00C06560" w:rsidRDefault="00CB58C2" w:rsidP="00CB58C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Even though it seems not to be nature between “shall” and “not used”, it would be better to keep it as of now.</w:t>
            </w:r>
          </w:p>
          <w:p w14:paraId="3B1C8519" w14:textId="1B58C25E" w:rsidR="00CB58C2" w:rsidRPr="005A4780" w:rsidRDefault="00CB58C2" w:rsidP="00CB58C2">
            <w:pPr>
              <w:rPr>
                <w:sz w:val="20"/>
              </w:rPr>
            </w:pPr>
          </w:p>
        </w:tc>
      </w:tr>
    </w:tbl>
    <w:p w14:paraId="6C5BA0AC" w14:textId="00800D11" w:rsidR="00C06560" w:rsidRDefault="00C06560" w:rsidP="00FC0E0F">
      <w:pPr>
        <w:pStyle w:val="T"/>
        <w:jc w:val="left"/>
        <w:rPr>
          <w:b/>
          <w:i/>
        </w:rPr>
      </w:pPr>
      <w:r>
        <w:rPr>
          <w:b/>
          <w:i/>
        </w:rPr>
        <w:t>Discussions</w:t>
      </w:r>
    </w:p>
    <w:p w14:paraId="0C6C5241" w14:textId="3FE05035" w:rsidR="00C06560" w:rsidRDefault="00CB58C2" w:rsidP="00FC0E0F">
      <w:pPr>
        <w:pStyle w:val="T"/>
        <w:jc w:val="left"/>
      </w:pPr>
      <w:r>
        <w:t>For your information a</w:t>
      </w:r>
      <w:r w:rsidR="00C06560" w:rsidRPr="00C06560">
        <w:t>t</w:t>
      </w:r>
      <w:r w:rsidR="00FC0E0F" w:rsidRPr="00C06560">
        <w:t xml:space="preserve"> P382</w:t>
      </w:r>
      <w:r w:rsidR="00FC0E0F" w:rsidRPr="00C06560">
        <w:rPr>
          <w:rFonts w:hint="eastAsia"/>
        </w:rPr>
        <w:t>L</w:t>
      </w:r>
      <w:r w:rsidR="00FC0E0F" w:rsidRPr="00C06560">
        <w:t xml:space="preserve">7 </w:t>
      </w:r>
    </w:p>
    <w:p w14:paraId="7F76D889" w14:textId="3E8A8408" w:rsidR="00B845E1" w:rsidRDefault="00CB58C2" w:rsidP="00FC0E0F">
      <w:pPr>
        <w:pStyle w:val="T"/>
        <w:ind w:left="400"/>
        <w:rPr>
          <w:b/>
          <w:i/>
        </w:rPr>
      </w:pPr>
      <w:r>
        <w:rPr>
          <w:b/>
          <w:i/>
          <w:noProof/>
        </w:rPr>
        <w:lastRenderedPageBreak/>
        <w:drawing>
          <wp:inline distT="0" distB="0" distL="0" distR="0" wp14:anchorId="51255D95" wp14:editId="5BFAC5FE">
            <wp:extent cx="5080883" cy="3155862"/>
            <wp:effectExtent l="0" t="0" r="571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092" cy="315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7E9D1" w14:textId="5EF8307B" w:rsidR="00CB58C2" w:rsidRDefault="00CB58C2" w:rsidP="00FC0E0F">
      <w:pPr>
        <w:pStyle w:val="T"/>
        <w:ind w:left="400"/>
        <w:rPr>
          <w:b/>
          <w:i/>
        </w:rPr>
      </w:pPr>
      <w:r>
        <w:rPr>
          <w:b/>
          <w:i/>
        </w:rPr>
        <w:t>…</w:t>
      </w:r>
    </w:p>
    <w:p w14:paraId="7268B500" w14:textId="7491C148" w:rsidR="00CB58C2" w:rsidRDefault="00CB58C2" w:rsidP="00FC0E0F">
      <w:pPr>
        <w:pStyle w:val="T"/>
        <w:ind w:left="400"/>
        <w:rPr>
          <w:b/>
          <w:i/>
        </w:rPr>
      </w:pPr>
      <w:r>
        <w:rPr>
          <w:rFonts w:hint="eastAsia"/>
          <w:b/>
          <w:i/>
          <w:noProof/>
        </w:rPr>
        <w:drawing>
          <wp:inline distT="0" distB="0" distL="0" distR="0" wp14:anchorId="394CB7F5" wp14:editId="4F0FC076">
            <wp:extent cx="5168347" cy="101720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405" cy="102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8C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27844" w14:textId="77777777" w:rsidR="00974C9C" w:rsidRDefault="00974C9C">
      <w:r>
        <w:separator/>
      </w:r>
    </w:p>
  </w:endnote>
  <w:endnote w:type="continuationSeparator" w:id="0">
    <w:p w14:paraId="1FCA03FF" w14:textId="77777777" w:rsidR="00974C9C" w:rsidRDefault="0097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A8E5" w14:textId="0AF8BB02" w:rsidR="00C64097" w:rsidRDefault="00974C9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D2358">
      <w:t>Submission</w:t>
    </w:r>
    <w:r>
      <w:fldChar w:fldCharType="end"/>
    </w:r>
    <w:r w:rsidR="00C64097">
      <w:tab/>
      <w:t xml:space="preserve">page </w:t>
    </w:r>
    <w:r w:rsidR="00C64097">
      <w:fldChar w:fldCharType="begin"/>
    </w:r>
    <w:r w:rsidR="00C64097">
      <w:instrText xml:space="preserve">page </w:instrText>
    </w:r>
    <w:r w:rsidR="00C64097">
      <w:fldChar w:fldCharType="separate"/>
    </w:r>
    <w:r w:rsidR="00C21E19">
      <w:rPr>
        <w:noProof/>
      </w:rPr>
      <w:t>2</w:t>
    </w:r>
    <w:r w:rsidR="00C64097">
      <w:fldChar w:fldCharType="end"/>
    </w:r>
    <w:r w:rsidR="00C64097">
      <w:tab/>
    </w:r>
    <w:r w:rsidR="00C64097">
      <w:fldChar w:fldCharType="begin"/>
    </w:r>
    <w:r w:rsidR="00C64097">
      <w:instrText xml:space="preserve"> COMMENTS  \* MERGEFORMAT </w:instrText>
    </w:r>
    <w:r w:rsidR="00C64097">
      <w:fldChar w:fldCharType="end"/>
    </w:r>
  </w:p>
  <w:p w14:paraId="3DA233A1" w14:textId="77777777" w:rsidR="00C64097" w:rsidRDefault="00C640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CE36E" w14:textId="77777777" w:rsidR="00974C9C" w:rsidRDefault="00974C9C">
      <w:r>
        <w:separator/>
      </w:r>
    </w:p>
  </w:footnote>
  <w:footnote w:type="continuationSeparator" w:id="0">
    <w:p w14:paraId="75A73D7A" w14:textId="77777777" w:rsidR="00974C9C" w:rsidRDefault="0097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6326B274" w:rsidR="00C64097" w:rsidRDefault="00E95367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N</w:t>
    </w:r>
    <w:r>
      <w:rPr>
        <w:lang w:eastAsia="ko-KR"/>
      </w:rPr>
      <w:t>ov</w:t>
    </w:r>
    <w:r w:rsidR="00C64097">
      <w:t xml:space="preserve"> 2018</w:t>
    </w:r>
    <w:r w:rsidR="00C64097">
      <w:tab/>
    </w:r>
    <w:r w:rsidR="00C64097">
      <w:tab/>
      <w:t>doc.: IEEE 802.11-18/</w:t>
    </w:r>
    <w:r w:rsidR="009D75C7">
      <w:t>1735</w:t>
    </w:r>
    <w:r w:rsidR="00C64097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ADA0682"/>
    <w:multiLevelType w:val="hybridMultilevel"/>
    <w:tmpl w:val="0AFA529A"/>
    <w:lvl w:ilvl="0" w:tplc="14126398">
      <w:start w:val="1"/>
      <w:numFmt w:val="bullet"/>
      <w:lvlText w:val="— 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81320"/>
    <w:multiLevelType w:val="hybridMultilevel"/>
    <w:tmpl w:val="EFCE7582"/>
    <w:lvl w:ilvl="0" w:tplc="A2CE555A">
      <w:start w:val="420"/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B099D"/>
    <w:multiLevelType w:val="hybridMultilevel"/>
    <w:tmpl w:val="6FB0491C"/>
    <w:lvl w:ilvl="0" w:tplc="8C1472FC">
      <w:start w:val="1"/>
      <w:numFmt w:val="bullet"/>
      <w:lvlText w:val="−"/>
      <w:lvlJc w:val="left"/>
      <w:pPr>
        <w:ind w:left="800" w:hanging="400"/>
      </w:pPr>
      <w:rPr>
        <w:rFonts w:ascii="Viner Hand ITC" w:hAnsi="Viner Hand ITC" w:hint="default"/>
      </w:rPr>
    </w:lvl>
    <w:lvl w:ilvl="1" w:tplc="32BCA814">
      <w:numFmt w:val="bullet"/>
      <w:lvlText w:val="•"/>
      <w:lvlJc w:val="left"/>
      <w:pPr>
        <w:ind w:left="116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55053BB"/>
    <w:multiLevelType w:val="hybridMultilevel"/>
    <w:tmpl w:val="2BCEEEC4"/>
    <w:lvl w:ilvl="0" w:tplc="8C1472FC">
      <w:start w:val="1"/>
      <w:numFmt w:val="bullet"/>
      <w:lvlText w:val="−"/>
      <w:lvlJc w:val="left"/>
      <w:pPr>
        <w:ind w:left="800" w:hanging="400"/>
      </w:pPr>
      <w:rPr>
        <w:rFonts w:ascii="Viner Hand ITC" w:hAnsi="Viner Hand ITC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B4A7F13"/>
    <w:multiLevelType w:val="hybridMultilevel"/>
    <w:tmpl w:val="14404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B005D"/>
    <w:multiLevelType w:val="hybridMultilevel"/>
    <w:tmpl w:val="3C42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B86C0C"/>
    <w:multiLevelType w:val="hybridMultilevel"/>
    <w:tmpl w:val="D728B24A"/>
    <w:lvl w:ilvl="0" w:tplc="A74457E2">
      <w:numFmt w:val="bullet"/>
      <w:lvlText w:val="—"/>
      <w:lvlJc w:val="left"/>
      <w:pPr>
        <w:ind w:left="760" w:hanging="360"/>
      </w:pPr>
      <w:rPr>
        <w:rFonts w:ascii="Times New Roman" w:eastAsiaTheme="minorEastAsia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6701D6C"/>
    <w:multiLevelType w:val="hybridMultilevel"/>
    <w:tmpl w:val="D8F4A94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CB4148F"/>
    <w:multiLevelType w:val="hybridMultilevel"/>
    <w:tmpl w:val="C88E6DE6"/>
    <w:lvl w:ilvl="0" w:tplc="9EC2EE12">
      <w:start w:val="2"/>
      <w:numFmt w:val="bullet"/>
      <w:lvlText w:val=""/>
      <w:lvlJc w:val="left"/>
      <w:pPr>
        <w:ind w:left="72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D03EF"/>
    <w:multiLevelType w:val="hybridMultilevel"/>
    <w:tmpl w:val="E82806B6"/>
    <w:lvl w:ilvl="0" w:tplc="19BA7DC2">
      <w:numFmt w:val="bullet"/>
      <w:lvlText w:val="—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934244C"/>
    <w:multiLevelType w:val="hybridMultilevel"/>
    <w:tmpl w:val="6B8E9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28.3.1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8.3.1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28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8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2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8.3.1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8.3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8.3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8.3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8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5"/>
  </w:num>
  <w:num w:numId="23">
    <w:abstractNumId w:val="7"/>
  </w:num>
  <w:num w:numId="24">
    <w:abstractNumId w:val="0"/>
    <w:lvlOverride w:ilvl="0">
      <w:lvl w:ilvl="0">
        <w:start w:val="1"/>
        <w:numFmt w:val="bullet"/>
        <w:lvlText w:val="Figure 2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2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2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2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8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28-11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(28-11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(28-12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28-12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28-12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(28-12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(28-11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(28-1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(28-11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3"/>
  </w:num>
  <w:num w:numId="41">
    <w:abstractNumId w:val="1"/>
  </w:num>
  <w:num w:numId="42">
    <w:abstractNumId w:val="11"/>
  </w:num>
  <w:num w:numId="43">
    <w:abstractNumId w:val="10"/>
  </w:num>
  <w:num w:numId="44">
    <w:abstractNumId w:val="5"/>
  </w:num>
  <w:num w:numId="45">
    <w:abstractNumId w:val="9"/>
  </w:num>
  <w:num w:numId="46">
    <w:abstractNumId w:val="4"/>
  </w:num>
  <w:num w:numId="4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4CA0"/>
    <w:rsid w:val="000076F4"/>
    <w:rsid w:val="00011033"/>
    <w:rsid w:val="00012E25"/>
    <w:rsid w:val="00013248"/>
    <w:rsid w:val="000143A2"/>
    <w:rsid w:val="000144A7"/>
    <w:rsid w:val="00014E36"/>
    <w:rsid w:val="00014E44"/>
    <w:rsid w:val="00015958"/>
    <w:rsid w:val="000166D3"/>
    <w:rsid w:val="00017E51"/>
    <w:rsid w:val="00020A50"/>
    <w:rsid w:val="0002143B"/>
    <w:rsid w:val="00022F0C"/>
    <w:rsid w:val="00025686"/>
    <w:rsid w:val="00025A64"/>
    <w:rsid w:val="000273A1"/>
    <w:rsid w:val="00027CD6"/>
    <w:rsid w:val="00031E7B"/>
    <w:rsid w:val="00036B49"/>
    <w:rsid w:val="00037BE2"/>
    <w:rsid w:val="0004049B"/>
    <w:rsid w:val="00040B6D"/>
    <w:rsid w:val="0004431E"/>
    <w:rsid w:val="00044D12"/>
    <w:rsid w:val="0004596D"/>
    <w:rsid w:val="00050E9B"/>
    <w:rsid w:val="0005358F"/>
    <w:rsid w:val="000627C8"/>
    <w:rsid w:val="00066195"/>
    <w:rsid w:val="000701A5"/>
    <w:rsid w:val="00070343"/>
    <w:rsid w:val="00070F2B"/>
    <w:rsid w:val="00074294"/>
    <w:rsid w:val="00076465"/>
    <w:rsid w:val="000813F5"/>
    <w:rsid w:val="00081BF2"/>
    <w:rsid w:val="00084D3D"/>
    <w:rsid w:val="00085AE0"/>
    <w:rsid w:val="00090F5E"/>
    <w:rsid w:val="0009118A"/>
    <w:rsid w:val="00092ACE"/>
    <w:rsid w:val="00097C3B"/>
    <w:rsid w:val="000A09CF"/>
    <w:rsid w:val="000A0C05"/>
    <w:rsid w:val="000A1F52"/>
    <w:rsid w:val="000A270A"/>
    <w:rsid w:val="000A3105"/>
    <w:rsid w:val="000A33DD"/>
    <w:rsid w:val="000A37F6"/>
    <w:rsid w:val="000B2180"/>
    <w:rsid w:val="000B2CDB"/>
    <w:rsid w:val="000B72A0"/>
    <w:rsid w:val="000C13F5"/>
    <w:rsid w:val="000C5543"/>
    <w:rsid w:val="000C5D9A"/>
    <w:rsid w:val="000C6CCB"/>
    <w:rsid w:val="000D1813"/>
    <w:rsid w:val="000D322B"/>
    <w:rsid w:val="000E152B"/>
    <w:rsid w:val="000E226E"/>
    <w:rsid w:val="000E4005"/>
    <w:rsid w:val="000E6555"/>
    <w:rsid w:val="000E74A7"/>
    <w:rsid w:val="000E7883"/>
    <w:rsid w:val="000F11CE"/>
    <w:rsid w:val="000F1E72"/>
    <w:rsid w:val="000F564E"/>
    <w:rsid w:val="000F72A7"/>
    <w:rsid w:val="000F7BF7"/>
    <w:rsid w:val="001000D3"/>
    <w:rsid w:val="00101230"/>
    <w:rsid w:val="0010131E"/>
    <w:rsid w:val="00103876"/>
    <w:rsid w:val="0010409F"/>
    <w:rsid w:val="0010418E"/>
    <w:rsid w:val="00104BEB"/>
    <w:rsid w:val="0010501E"/>
    <w:rsid w:val="00107591"/>
    <w:rsid w:val="00107E56"/>
    <w:rsid w:val="00113E8E"/>
    <w:rsid w:val="0011565D"/>
    <w:rsid w:val="00120F51"/>
    <w:rsid w:val="00121707"/>
    <w:rsid w:val="001245B3"/>
    <w:rsid w:val="00125962"/>
    <w:rsid w:val="001327FA"/>
    <w:rsid w:val="00133E7A"/>
    <w:rsid w:val="00133FB8"/>
    <w:rsid w:val="001347EE"/>
    <w:rsid w:val="00134F75"/>
    <w:rsid w:val="00135C70"/>
    <w:rsid w:val="00136081"/>
    <w:rsid w:val="00136DDD"/>
    <w:rsid w:val="00137FE4"/>
    <w:rsid w:val="00143692"/>
    <w:rsid w:val="00144196"/>
    <w:rsid w:val="0014633C"/>
    <w:rsid w:val="00147788"/>
    <w:rsid w:val="00151F5F"/>
    <w:rsid w:val="00152933"/>
    <w:rsid w:val="00157B58"/>
    <w:rsid w:val="001607E0"/>
    <w:rsid w:val="00160F61"/>
    <w:rsid w:val="00161C61"/>
    <w:rsid w:val="00161F24"/>
    <w:rsid w:val="00165640"/>
    <w:rsid w:val="00165A35"/>
    <w:rsid w:val="0017065E"/>
    <w:rsid w:val="00170BC1"/>
    <w:rsid w:val="00172178"/>
    <w:rsid w:val="00172233"/>
    <w:rsid w:val="00172B59"/>
    <w:rsid w:val="00175171"/>
    <w:rsid w:val="00175224"/>
    <w:rsid w:val="00180237"/>
    <w:rsid w:val="00180453"/>
    <w:rsid w:val="00180EE6"/>
    <w:rsid w:val="00181582"/>
    <w:rsid w:val="00182248"/>
    <w:rsid w:val="001832C4"/>
    <w:rsid w:val="00186D53"/>
    <w:rsid w:val="00187A66"/>
    <w:rsid w:val="00194F71"/>
    <w:rsid w:val="0019545C"/>
    <w:rsid w:val="0019612D"/>
    <w:rsid w:val="00196678"/>
    <w:rsid w:val="001974B0"/>
    <w:rsid w:val="001A0EF1"/>
    <w:rsid w:val="001A1433"/>
    <w:rsid w:val="001A36B7"/>
    <w:rsid w:val="001A550E"/>
    <w:rsid w:val="001A6541"/>
    <w:rsid w:val="001B0484"/>
    <w:rsid w:val="001B0983"/>
    <w:rsid w:val="001B1ECA"/>
    <w:rsid w:val="001B314B"/>
    <w:rsid w:val="001B34B8"/>
    <w:rsid w:val="001B607B"/>
    <w:rsid w:val="001B748C"/>
    <w:rsid w:val="001C112D"/>
    <w:rsid w:val="001C3320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4D4C"/>
    <w:rsid w:val="001F7749"/>
    <w:rsid w:val="001F7875"/>
    <w:rsid w:val="00203446"/>
    <w:rsid w:val="00204C4E"/>
    <w:rsid w:val="002054D2"/>
    <w:rsid w:val="0021066D"/>
    <w:rsid w:val="00210DB0"/>
    <w:rsid w:val="002114A1"/>
    <w:rsid w:val="00211809"/>
    <w:rsid w:val="00211D6F"/>
    <w:rsid w:val="00213203"/>
    <w:rsid w:val="00213C70"/>
    <w:rsid w:val="0021565B"/>
    <w:rsid w:val="00220653"/>
    <w:rsid w:val="00221103"/>
    <w:rsid w:val="0022119E"/>
    <w:rsid w:val="00222FEA"/>
    <w:rsid w:val="00224973"/>
    <w:rsid w:val="0022520C"/>
    <w:rsid w:val="0022637F"/>
    <w:rsid w:val="00226B1A"/>
    <w:rsid w:val="0022746B"/>
    <w:rsid w:val="00232500"/>
    <w:rsid w:val="00234D48"/>
    <w:rsid w:val="00235619"/>
    <w:rsid w:val="00243EF8"/>
    <w:rsid w:val="002445DF"/>
    <w:rsid w:val="00244A96"/>
    <w:rsid w:val="002502A4"/>
    <w:rsid w:val="00253244"/>
    <w:rsid w:val="00253479"/>
    <w:rsid w:val="002539F0"/>
    <w:rsid w:val="00253AD6"/>
    <w:rsid w:val="00254FFD"/>
    <w:rsid w:val="0025619A"/>
    <w:rsid w:val="002707C7"/>
    <w:rsid w:val="00271C8D"/>
    <w:rsid w:val="0027230C"/>
    <w:rsid w:val="00272938"/>
    <w:rsid w:val="00277766"/>
    <w:rsid w:val="00281197"/>
    <w:rsid w:val="00281378"/>
    <w:rsid w:val="00281500"/>
    <w:rsid w:val="00281F7A"/>
    <w:rsid w:val="00282D64"/>
    <w:rsid w:val="00283B2A"/>
    <w:rsid w:val="002849E4"/>
    <w:rsid w:val="00286EE9"/>
    <w:rsid w:val="0029020B"/>
    <w:rsid w:val="00290BD3"/>
    <w:rsid w:val="00294A86"/>
    <w:rsid w:val="00296F3D"/>
    <w:rsid w:val="00297409"/>
    <w:rsid w:val="00297CCF"/>
    <w:rsid w:val="002A1916"/>
    <w:rsid w:val="002A6592"/>
    <w:rsid w:val="002A69E4"/>
    <w:rsid w:val="002A7314"/>
    <w:rsid w:val="002B1954"/>
    <w:rsid w:val="002B4483"/>
    <w:rsid w:val="002B491C"/>
    <w:rsid w:val="002B74C5"/>
    <w:rsid w:val="002B7F7F"/>
    <w:rsid w:val="002C27BC"/>
    <w:rsid w:val="002C3CE9"/>
    <w:rsid w:val="002C4F58"/>
    <w:rsid w:val="002C5D8B"/>
    <w:rsid w:val="002C7ED5"/>
    <w:rsid w:val="002D16F8"/>
    <w:rsid w:val="002D3F54"/>
    <w:rsid w:val="002D44BE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40BD"/>
    <w:rsid w:val="002F6E90"/>
    <w:rsid w:val="003000F5"/>
    <w:rsid w:val="00301EFA"/>
    <w:rsid w:val="0030444E"/>
    <w:rsid w:val="00306F71"/>
    <w:rsid w:val="00307956"/>
    <w:rsid w:val="00310CD5"/>
    <w:rsid w:val="00311079"/>
    <w:rsid w:val="003112CA"/>
    <w:rsid w:val="003113A8"/>
    <w:rsid w:val="00311AEB"/>
    <w:rsid w:val="0032164B"/>
    <w:rsid w:val="003249D3"/>
    <w:rsid w:val="0032539C"/>
    <w:rsid w:val="0033078C"/>
    <w:rsid w:val="00331404"/>
    <w:rsid w:val="00336601"/>
    <w:rsid w:val="00337761"/>
    <w:rsid w:val="00340A4E"/>
    <w:rsid w:val="0034119D"/>
    <w:rsid w:val="00352515"/>
    <w:rsid w:val="00353935"/>
    <w:rsid w:val="00356179"/>
    <w:rsid w:val="00356D88"/>
    <w:rsid w:val="003607D2"/>
    <w:rsid w:val="00361241"/>
    <w:rsid w:val="00361C5E"/>
    <w:rsid w:val="0036200D"/>
    <w:rsid w:val="00364A1B"/>
    <w:rsid w:val="00366BE6"/>
    <w:rsid w:val="00367BEF"/>
    <w:rsid w:val="00371FF9"/>
    <w:rsid w:val="003727F1"/>
    <w:rsid w:val="003735A6"/>
    <w:rsid w:val="00373846"/>
    <w:rsid w:val="00374675"/>
    <w:rsid w:val="00377B13"/>
    <w:rsid w:val="003830A2"/>
    <w:rsid w:val="00383882"/>
    <w:rsid w:val="003843C8"/>
    <w:rsid w:val="003847BD"/>
    <w:rsid w:val="00386C11"/>
    <w:rsid w:val="00386E5D"/>
    <w:rsid w:val="00390CCB"/>
    <w:rsid w:val="00390D0B"/>
    <w:rsid w:val="0039158A"/>
    <w:rsid w:val="00392974"/>
    <w:rsid w:val="0039622F"/>
    <w:rsid w:val="003962D0"/>
    <w:rsid w:val="003A1E14"/>
    <w:rsid w:val="003A2C84"/>
    <w:rsid w:val="003A6A0C"/>
    <w:rsid w:val="003A75A5"/>
    <w:rsid w:val="003B240F"/>
    <w:rsid w:val="003B2A2C"/>
    <w:rsid w:val="003B2B39"/>
    <w:rsid w:val="003B3827"/>
    <w:rsid w:val="003B423B"/>
    <w:rsid w:val="003B4350"/>
    <w:rsid w:val="003B51E5"/>
    <w:rsid w:val="003B58F9"/>
    <w:rsid w:val="003B5ECB"/>
    <w:rsid w:val="003B7673"/>
    <w:rsid w:val="003B7A49"/>
    <w:rsid w:val="003C1089"/>
    <w:rsid w:val="003C171F"/>
    <w:rsid w:val="003C4750"/>
    <w:rsid w:val="003D0341"/>
    <w:rsid w:val="003D2005"/>
    <w:rsid w:val="003D29C4"/>
    <w:rsid w:val="003D2AEA"/>
    <w:rsid w:val="003D5A71"/>
    <w:rsid w:val="003D5E97"/>
    <w:rsid w:val="003D6074"/>
    <w:rsid w:val="003D6FFB"/>
    <w:rsid w:val="003E050C"/>
    <w:rsid w:val="003E21D0"/>
    <w:rsid w:val="003E2DD7"/>
    <w:rsid w:val="003E359B"/>
    <w:rsid w:val="003E386A"/>
    <w:rsid w:val="003E49A0"/>
    <w:rsid w:val="003E556B"/>
    <w:rsid w:val="003E6598"/>
    <w:rsid w:val="003F100E"/>
    <w:rsid w:val="003F29F6"/>
    <w:rsid w:val="003F2EAC"/>
    <w:rsid w:val="003F3BE1"/>
    <w:rsid w:val="003F4AA6"/>
    <w:rsid w:val="003F4E9F"/>
    <w:rsid w:val="003F554D"/>
    <w:rsid w:val="0040239D"/>
    <w:rsid w:val="0040262F"/>
    <w:rsid w:val="00402E51"/>
    <w:rsid w:val="004101A5"/>
    <w:rsid w:val="004113B6"/>
    <w:rsid w:val="00412FD9"/>
    <w:rsid w:val="00415021"/>
    <w:rsid w:val="00415805"/>
    <w:rsid w:val="00415DDD"/>
    <w:rsid w:val="00417CB6"/>
    <w:rsid w:val="00424659"/>
    <w:rsid w:val="00424B5B"/>
    <w:rsid w:val="0042538F"/>
    <w:rsid w:val="00430F78"/>
    <w:rsid w:val="004343FC"/>
    <w:rsid w:val="004346BF"/>
    <w:rsid w:val="004358A2"/>
    <w:rsid w:val="0043714F"/>
    <w:rsid w:val="0043747D"/>
    <w:rsid w:val="0044107A"/>
    <w:rsid w:val="00442037"/>
    <w:rsid w:val="0044228D"/>
    <w:rsid w:val="00442E00"/>
    <w:rsid w:val="004503CA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1F55"/>
    <w:rsid w:val="0046227F"/>
    <w:rsid w:val="00464963"/>
    <w:rsid w:val="00465BEB"/>
    <w:rsid w:val="00466289"/>
    <w:rsid w:val="00466391"/>
    <w:rsid w:val="004670C0"/>
    <w:rsid w:val="0047035C"/>
    <w:rsid w:val="004709E0"/>
    <w:rsid w:val="00471448"/>
    <w:rsid w:val="00471E83"/>
    <w:rsid w:val="00472CB7"/>
    <w:rsid w:val="00473137"/>
    <w:rsid w:val="00474D53"/>
    <w:rsid w:val="0047732A"/>
    <w:rsid w:val="00480585"/>
    <w:rsid w:val="00485E46"/>
    <w:rsid w:val="00486220"/>
    <w:rsid w:val="00486AA7"/>
    <w:rsid w:val="00494527"/>
    <w:rsid w:val="00494BCE"/>
    <w:rsid w:val="00495D02"/>
    <w:rsid w:val="004977AD"/>
    <w:rsid w:val="004A06DD"/>
    <w:rsid w:val="004A2FF9"/>
    <w:rsid w:val="004B064B"/>
    <w:rsid w:val="004B157A"/>
    <w:rsid w:val="004B48CE"/>
    <w:rsid w:val="004B53A3"/>
    <w:rsid w:val="004B5AE5"/>
    <w:rsid w:val="004B6745"/>
    <w:rsid w:val="004C1F7A"/>
    <w:rsid w:val="004C48DE"/>
    <w:rsid w:val="004C7A29"/>
    <w:rsid w:val="004D0B5D"/>
    <w:rsid w:val="004D0FE5"/>
    <w:rsid w:val="004D219D"/>
    <w:rsid w:val="004D51D1"/>
    <w:rsid w:val="004D6056"/>
    <w:rsid w:val="004E383A"/>
    <w:rsid w:val="004E3FAD"/>
    <w:rsid w:val="004E67B1"/>
    <w:rsid w:val="004F0FC1"/>
    <w:rsid w:val="004F16CE"/>
    <w:rsid w:val="004F2FAB"/>
    <w:rsid w:val="004F3DA6"/>
    <w:rsid w:val="004F5A69"/>
    <w:rsid w:val="004F6F39"/>
    <w:rsid w:val="004F7C6F"/>
    <w:rsid w:val="00503A04"/>
    <w:rsid w:val="00504726"/>
    <w:rsid w:val="00507BE4"/>
    <w:rsid w:val="00511798"/>
    <w:rsid w:val="005121E1"/>
    <w:rsid w:val="005149CB"/>
    <w:rsid w:val="00515958"/>
    <w:rsid w:val="00523189"/>
    <w:rsid w:val="0052574F"/>
    <w:rsid w:val="00526A53"/>
    <w:rsid w:val="005278AD"/>
    <w:rsid w:val="005315E5"/>
    <w:rsid w:val="005318AC"/>
    <w:rsid w:val="00531AE4"/>
    <w:rsid w:val="00532A5F"/>
    <w:rsid w:val="00533785"/>
    <w:rsid w:val="00534C83"/>
    <w:rsid w:val="00535405"/>
    <w:rsid w:val="005400DC"/>
    <w:rsid w:val="00541314"/>
    <w:rsid w:val="00542B72"/>
    <w:rsid w:val="0054429D"/>
    <w:rsid w:val="0054540D"/>
    <w:rsid w:val="00551FC4"/>
    <w:rsid w:val="00555A23"/>
    <w:rsid w:val="00557D06"/>
    <w:rsid w:val="005609C8"/>
    <w:rsid w:val="00562E6D"/>
    <w:rsid w:val="005639D4"/>
    <w:rsid w:val="005700B7"/>
    <w:rsid w:val="00570461"/>
    <w:rsid w:val="00570A1C"/>
    <w:rsid w:val="00570BC3"/>
    <w:rsid w:val="005762BB"/>
    <w:rsid w:val="00577EC8"/>
    <w:rsid w:val="00580557"/>
    <w:rsid w:val="005820C3"/>
    <w:rsid w:val="00582210"/>
    <w:rsid w:val="00583312"/>
    <w:rsid w:val="00583986"/>
    <w:rsid w:val="00585923"/>
    <w:rsid w:val="005866B5"/>
    <w:rsid w:val="005874B0"/>
    <w:rsid w:val="005874BE"/>
    <w:rsid w:val="0059053A"/>
    <w:rsid w:val="005913EC"/>
    <w:rsid w:val="00591EA0"/>
    <w:rsid w:val="00595232"/>
    <w:rsid w:val="0059581D"/>
    <w:rsid w:val="00597CB2"/>
    <w:rsid w:val="005A01CD"/>
    <w:rsid w:val="005A2915"/>
    <w:rsid w:val="005A3A6D"/>
    <w:rsid w:val="005A4153"/>
    <w:rsid w:val="005A4780"/>
    <w:rsid w:val="005A49DD"/>
    <w:rsid w:val="005A56EF"/>
    <w:rsid w:val="005A667D"/>
    <w:rsid w:val="005A745F"/>
    <w:rsid w:val="005B0800"/>
    <w:rsid w:val="005B478D"/>
    <w:rsid w:val="005B4DA5"/>
    <w:rsid w:val="005B4F34"/>
    <w:rsid w:val="005C02CA"/>
    <w:rsid w:val="005C14D4"/>
    <w:rsid w:val="005C1803"/>
    <w:rsid w:val="005C28FB"/>
    <w:rsid w:val="005C3021"/>
    <w:rsid w:val="005C542A"/>
    <w:rsid w:val="005C588A"/>
    <w:rsid w:val="005C6ECD"/>
    <w:rsid w:val="005D0552"/>
    <w:rsid w:val="005D1B3A"/>
    <w:rsid w:val="005D2FCC"/>
    <w:rsid w:val="005D395C"/>
    <w:rsid w:val="005D3E16"/>
    <w:rsid w:val="005D41F1"/>
    <w:rsid w:val="005E12A3"/>
    <w:rsid w:val="005E624D"/>
    <w:rsid w:val="005E62A3"/>
    <w:rsid w:val="005E6DE2"/>
    <w:rsid w:val="005E7400"/>
    <w:rsid w:val="005E7A6E"/>
    <w:rsid w:val="005F2CD8"/>
    <w:rsid w:val="005F4D3F"/>
    <w:rsid w:val="005F7329"/>
    <w:rsid w:val="005F79D4"/>
    <w:rsid w:val="00601583"/>
    <w:rsid w:val="00601A85"/>
    <w:rsid w:val="00602026"/>
    <w:rsid w:val="0060354A"/>
    <w:rsid w:val="006101FD"/>
    <w:rsid w:val="00611A02"/>
    <w:rsid w:val="0061301A"/>
    <w:rsid w:val="00613069"/>
    <w:rsid w:val="00613182"/>
    <w:rsid w:val="00615C45"/>
    <w:rsid w:val="0062087C"/>
    <w:rsid w:val="00621872"/>
    <w:rsid w:val="0062440B"/>
    <w:rsid w:val="00626380"/>
    <w:rsid w:val="00635134"/>
    <w:rsid w:val="00637C7D"/>
    <w:rsid w:val="00642B12"/>
    <w:rsid w:val="00647017"/>
    <w:rsid w:val="006478F2"/>
    <w:rsid w:val="00651BFC"/>
    <w:rsid w:val="00661282"/>
    <w:rsid w:val="00670DA0"/>
    <w:rsid w:val="006801A4"/>
    <w:rsid w:val="00687217"/>
    <w:rsid w:val="00687446"/>
    <w:rsid w:val="00691993"/>
    <w:rsid w:val="006948DD"/>
    <w:rsid w:val="00695052"/>
    <w:rsid w:val="006951B5"/>
    <w:rsid w:val="006961D3"/>
    <w:rsid w:val="006A0C57"/>
    <w:rsid w:val="006A134B"/>
    <w:rsid w:val="006A308A"/>
    <w:rsid w:val="006A3D74"/>
    <w:rsid w:val="006A3EFA"/>
    <w:rsid w:val="006A5540"/>
    <w:rsid w:val="006A7D2E"/>
    <w:rsid w:val="006B0F03"/>
    <w:rsid w:val="006B2EC1"/>
    <w:rsid w:val="006B3B15"/>
    <w:rsid w:val="006B47F5"/>
    <w:rsid w:val="006B597C"/>
    <w:rsid w:val="006B7585"/>
    <w:rsid w:val="006B7AAC"/>
    <w:rsid w:val="006C0727"/>
    <w:rsid w:val="006C0895"/>
    <w:rsid w:val="006C33F7"/>
    <w:rsid w:val="006C3DD7"/>
    <w:rsid w:val="006C4954"/>
    <w:rsid w:val="006C5152"/>
    <w:rsid w:val="006C66D4"/>
    <w:rsid w:val="006D11A2"/>
    <w:rsid w:val="006D30A5"/>
    <w:rsid w:val="006D31FF"/>
    <w:rsid w:val="006D38B4"/>
    <w:rsid w:val="006E145F"/>
    <w:rsid w:val="006E1B92"/>
    <w:rsid w:val="006E4033"/>
    <w:rsid w:val="006E5CAB"/>
    <w:rsid w:val="006E66A1"/>
    <w:rsid w:val="006F0B12"/>
    <w:rsid w:val="006F1481"/>
    <w:rsid w:val="006F1717"/>
    <w:rsid w:val="006F4729"/>
    <w:rsid w:val="006F4FD1"/>
    <w:rsid w:val="006F6F4F"/>
    <w:rsid w:val="006F7770"/>
    <w:rsid w:val="0071075B"/>
    <w:rsid w:val="00710DFE"/>
    <w:rsid w:val="00712CB7"/>
    <w:rsid w:val="00714EB7"/>
    <w:rsid w:val="00715B65"/>
    <w:rsid w:val="007166BC"/>
    <w:rsid w:val="00721609"/>
    <w:rsid w:val="00724317"/>
    <w:rsid w:val="00725025"/>
    <w:rsid w:val="00730877"/>
    <w:rsid w:val="00730C76"/>
    <w:rsid w:val="007310B4"/>
    <w:rsid w:val="00731DF3"/>
    <w:rsid w:val="00734543"/>
    <w:rsid w:val="007360CB"/>
    <w:rsid w:val="0074163A"/>
    <w:rsid w:val="007416FA"/>
    <w:rsid w:val="00744A87"/>
    <w:rsid w:val="00745172"/>
    <w:rsid w:val="00745717"/>
    <w:rsid w:val="00745E92"/>
    <w:rsid w:val="0074761F"/>
    <w:rsid w:val="00752717"/>
    <w:rsid w:val="00754E0C"/>
    <w:rsid w:val="00756A36"/>
    <w:rsid w:val="00757497"/>
    <w:rsid w:val="00757C66"/>
    <w:rsid w:val="0076138F"/>
    <w:rsid w:val="00761D12"/>
    <w:rsid w:val="00761E4C"/>
    <w:rsid w:val="00762899"/>
    <w:rsid w:val="00764049"/>
    <w:rsid w:val="00764CA1"/>
    <w:rsid w:val="00765083"/>
    <w:rsid w:val="0076555C"/>
    <w:rsid w:val="007670EB"/>
    <w:rsid w:val="00767B00"/>
    <w:rsid w:val="00770572"/>
    <w:rsid w:val="007735CF"/>
    <w:rsid w:val="00774981"/>
    <w:rsid w:val="00780BC0"/>
    <w:rsid w:val="00780E8B"/>
    <w:rsid w:val="0078255D"/>
    <w:rsid w:val="0078264D"/>
    <w:rsid w:val="00783DC4"/>
    <w:rsid w:val="007841A6"/>
    <w:rsid w:val="00784A3A"/>
    <w:rsid w:val="0079433E"/>
    <w:rsid w:val="00796598"/>
    <w:rsid w:val="007A2620"/>
    <w:rsid w:val="007A44CC"/>
    <w:rsid w:val="007A4BE9"/>
    <w:rsid w:val="007A55B2"/>
    <w:rsid w:val="007A5E28"/>
    <w:rsid w:val="007A6219"/>
    <w:rsid w:val="007A64B5"/>
    <w:rsid w:val="007A78F0"/>
    <w:rsid w:val="007B0583"/>
    <w:rsid w:val="007B3F74"/>
    <w:rsid w:val="007B6576"/>
    <w:rsid w:val="007B70F4"/>
    <w:rsid w:val="007B75F9"/>
    <w:rsid w:val="007C0AC1"/>
    <w:rsid w:val="007C1B5E"/>
    <w:rsid w:val="007C3731"/>
    <w:rsid w:val="007C40D4"/>
    <w:rsid w:val="007C4D3F"/>
    <w:rsid w:val="007C5864"/>
    <w:rsid w:val="007C5953"/>
    <w:rsid w:val="007D019D"/>
    <w:rsid w:val="007D19DD"/>
    <w:rsid w:val="007D2796"/>
    <w:rsid w:val="007D2AB1"/>
    <w:rsid w:val="007E0A15"/>
    <w:rsid w:val="007E2770"/>
    <w:rsid w:val="007E2A20"/>
    <w:rsid w:val="007E2A2B"/>
    <w:rsid w:val="007E2B32"/>
    <w:rsid w:val="007E2BCA"/>
    <w:rsid w:val="007E3F19"/>
    <w:rsid w:val="007E44DE"/>
    <w:rsid w:val="007E5030"/>
    <w:rsid w:val="007F0210"/>
    <w:rsid w:val="007F4160"/>
    <w:rsid w:val="007F5EAC"/>
    <w:rsid w:val="007F6E4C"/>
    <w:rsid w:val="007F71DA"/>
    <w:rsid w:val="00800E85"/>
    <w:rsid w:val="00801938"/>
    <w:rsid w:val="00801F27"/>
    <w:rsid w:val="008027B1"/>
    <w:rsid w:val="008032E2"/>
    <w:rsid w:val="00806A25"/>
    <w:rsid w:val="008071FA"/>
    <w:rsid w:val="008077FA"/>
    <w:rsid w:val="00807D5B"/>
    <w:rsid w:val="00810990"/>
    <w:rsid w:val="008124B4"/>
    <w:rsid w:val="00813CBA"/>
    <w:rsid w:val="00814A65"/>
    <w:rsid w:val="00815BDF"/>
    <w:rsid w:val="00817064"/>
    <w:rsid w:val="0082149E"/>
    <w:rsid w:val="00822111"/>
    <w:rsid w:val="00822EB5"/>
    <w:rsid w:val="008238B9"/>
    <w:rsid w:val="0082746E"/>
    <w:rsid w:val="00827770"/>
    <w:rsid w:val="0083384F"/>
    <w:rsid w:val="00836CF2"/>
    <w:rsid w:val="00836F74"/>
    <w:rsid w:val="00843068"/>
    <w:rsid w:val="0084457A"/>
    <w:rsid w:val="00844C5F"/>
    <w:rsid w:val="008465EC"/>
    <w:rsid w:val="008469D2"/>
    <w:rsid w:val="00850666"/>
    <w:rsid w:val="008523AC"/>
    <w:rsid w:val="00853077"/>
    <w:rsid w:val="00853224"/>
    <w:rsid w:val="00853AA1"/>
    <w:rsid w:val="0085409C"/>
    <w:rsid w:val="00854A9A"/>
    <w:rsid w:val="00861AB1"/>
    <w:rsid w:val="00861EF6"/>
    <w:rsid w:val="0086210A"/>
    <w:rsid w:val="00864B25"/>
    <w:rsid w:val="008665E5"/>
    <w:rsid w:val="00867AD4"/>
    <w:rsid w:val="00871350"/>
    <w:rsid w:val="0087249D"/>
    <w:rsid w:val="00872D5E"/>
    <w:rsid w:val="008739AA"/>
    <w:rsid w:val="00874CEB"/>
    <w:rsid w:val="00875322"/>
    <w:rsid w:val="00877495"/>
    <w:rsid w:val="00881C4F"/>
    <w:rsid w:val="00883A2C"/>
    <w:rsid w:val="00883B5B"/>
    <w:rsid w:val="00883DCC"/>
    <w:rsid w:val="008842B6"/>
    <w:rsid w:val="0088530A"/>
    <w:rsid w:val="00885621"/>
    <w:rsid w:val="008869A3"/>
    <w:rsid w:val="00887C13"/>
    <w:rsid w:val="008927F6"/>
    <w:rsid w:val="00892897"/>
    <w:rsid w:val="00893018"/>
    <w:rsid w:val="00895DDB"/>
    <w:rsid w:val="008979CB"/>
    <w:rsid w:val="00897F11"/>
    <w:rsid w:val="008A059D"/>
    <w:rsid w:val="008B0396"/>
    <w:rsid w:val="008B063C"/>
    <w:rsid w:val="008B2716"/>
    <w:rsid w:val="008B3C93"/>
    <w:rsid w:val="008B72BF"/>
    <w:rsid w:val="008B7D0A"/>
    <w:rsid w:val="008C1319"/>
    <w:rsid w:val="008C1A1D"/>
    <w:rsid w:val="008C26C5"/>
    <w:rsid w:val="008C41C0"/>
    <w:rsid w:val="008D1A16"/>
    <w:rsid w:val="008D2339"/>
    <w:rsid w:val="008D2358"/>
    <w:rsid w:val="008D5ED7"/>
    <w:rsid w:val="008D633F"/>
    <w:rsid w:val="008D668A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5302"/>
    <w:rsid w:val="008E65B5"/>
    <w:rsid w:val="008E678F"/>
    <w:rsid w:val="008E6B50"/>
    <w:rsid w:val="008F14D1"/>
    <w:rsid w:val="008F1FC1"/>
    <w:rsid w:val="008F2344"/>
    <w:rsid w:val="008F6494"/>
    <w:rsid w:val="00900945"/>
    <w:rsid w:val="00901889"/>
    <w:rsid w:val="00904962"/>
    <w:rsid w:val="00904EF4"/>
    <w:rsid w:val="00906A06"/>
    <w:rsid w:val="00911D26"/>
    <w:rsid w:val="00917DF0"/>
    <w:rsid w:val="00917E0B"/>
    <w:rsid w:val="0092052D"/>
    <w:rsid w:val="0092143F"/>
    <w:rsid w:val="0092219A"/>
    <w:rsid w:val="009222AB"/>
    <w:rsid w:val="00923BC6"/>
    <w:rsid w:val="00927641"/>
    <w:rsid w:val="00927CEA"/>
    <w:rsid w:val="00934638"/>
    <w:rsid w:val="009348C0"/>
    <w:rsid w:val="00937821"/>
    <w:rsid w:val="00940916"/>
    <w:rsid w:val="00942C00"/>
    <w:rsid w:val="0094423B"/>
    <w:rsid w:val="00945980"/>
    <w:rsid w:val="0094703D"/>
    <w:rsid w:val="00947AB2"/>
    <w:rsid w:val="009507FF"/>
    <w:rsid w:val="009519AC"/>
    <w:rsid w:val="00952EB9"/>
    <w:rsid w:val="00956CDE"/>
    <w:rsid w:val="00961D0A"/>
    <w:rsid w:val="0096305F"/>
    <w:rsid w:val="009631D5"/>
    <w:rsid w:val="00965349"/>
    <w:rsid w:val="00965D72"/>
    <w:rsid w:val="009664D2"/>
    <w:rsid w:val="00967EC8"/>
    <w:rsid w:val="00973E59"/>
    <w:rsid w:val="00973E87"/>
    <w:rsid w:val="00973EE3"/>
    <w:rsid w:val="00974C9C"/>
    <w:rsid w:val="0097505A"/>
    <w:rsid w:val="00977456"/>
    <w:rsid w:val="0098048D"/>
    <w:rsid w:val="00981262"/>
    <w:rsid w:val="009824FA"/>
    <w:rsid w:val="00983555"/>
    <w:rsid w:val="0098701F"/>
    <w:rsid w:val="0099098B"/>
    <w:rsid w:val="00990ABF"/>
    <w:rsid w:val="00992637"/>
    <w:rsid w:val="00992BB1"/>
    <w:rsid w:val="009933C3"/>
    <w:rsid w:val="009934C0"/>
    <w:rsid w:val="00993EF7"/>
    <w:rsid w:val="00995955"/>
    <w:rsid w:val="009A04DE"/>
    <w:rsid w:val="009A08AB"/>
    <w:rsid w:val="009A20D9"/>
    <w:rsid w:val="009A2A20"/>
    <w:rsid w:val="009A67A3"/>
    <w:rsid w:val="009A7673"/>
    <w:rsid w:val="009A7FFA"/>
    <w:rsid w:val="009B0936"/>
    <w:rsid w:val="009B3854"/>
    <w:rsid w:val="009B4D9B"/>
    <w:rsid w:val="009B792D"/>
    <w:rsid w:val="009C28C3"/>
    <w:rsid w:val="009C4629"/>
    <w:rsid w:val="009C5177"/>
    <w:rsid w:val="009D27C4"/>
    <w:rsid w:val="009D3DFA"/>
    <w:rsid w:val="009D473D"/>
    <w:rsid w:val="009D6CB2"/>
    <w:rsid w:val="009D75C7"/>
    <w:rsid w:val="009D787D"/>
    <w:rsid w:val="009E0C3B"/>
    <w:rsid w:val="009E226E"/>
    <w:rsid w:val="009E24C5"/>
    <w:rsid w:val="009E4888"/>
    <w:rsid w:val="009E4E3B"/>
    <w:rsid w:val="009F1766"/>
    <w:rsid w:val="009F179C"/>
    <w:rsid w:val="009F2A49"/>
    <w:rsid w:val="009F2FBC"/>
    <w:rsid w:val="009F3B34"/>
    <w:rsid w:val="009F41F1"/>
    <w:rsid w:val="009F7C8F"/>
    <w:rsid w:val="00A12E46"/>
    <w:rsid w:val="00A12E59"/>
    <w:rsid w:val="00A1434B"/>
    <w:rsid w:val="00A149CD"/>
    <w:rsid w:val="00A14F5A"/>
    <w:rsid w:val="00A15947"/>
    <w:rsid w:val="00A162A2"/>
    <w:rsid w:val="00A175A9"/>
    <w:rsid w:val="00A1793C"/>
    <w:rsid w:val="00A20143"/>
    <w:rsid w:val="00A26857"/>
    <w:rsid w:val="00A27C01"/>
    <w:rsid w:val="00A27E72"/>
    <w:rsid w:val="00A319F2"/>
    <w:rsid w:val="00A330DC"/>
    <w:rsid w:val="00A341F8"/>
    <w:rsid w:val="00A34F2B"/>
    <w:rsid w:val="00A36AB5"/>
    <w:rsid w:val="00A45CCF"/>
    <w:rsid w:val="00A47FFC"/>
    <w:rsid w:val="00A554BF"/>
    <w:rsid w:val="00A55B8E"/>
    <w:rsid w:val="00A5771A"/>
    <w:rsid w:val="00A57E45"/>
    <w:rsid w:val="00A60D60"/>
    <w:rsid w:val="00A61A1C"/>
    <w:rsid w:val="00A61CE4"/>
    <w:rsid w:val="00A64584"/>
    <w:rsid w:val="00A665DE"/>
    <w:rsid w:val="00A66CA6"/>
    <w:rsid w:val="00A70AFC"/>
    <w:rsid w:val="00A76A14"/>
    <w:rsid w:val="00A80630"/>
    <w:rsid w:val="00A809CB"/>
    <w:rsid w:val="00A80A20"/>
    <w:rsid w:val="00A8134F"/>
    <w:rsid w:val="00A81CA6"/>
    <w:rsid w:val="00A84B73"/>
    <w:rsid w:val="00A860E6"/>
    <w:rsid w:val="00A863D2"/>
    <w:rsid w:val="00A9188A"/>
    <w:rsid w:val="00A93987"/>
    <w:rsid w:val="00A939F8"/>
    <w:rsid w:val="00A94973"/>
    <w:rsid w:val="00A95E52"/>
    <w:rsid w:val="00A963F0"/>
    <w:rsid w:val="00AA1DAE"/>
    <w:rsid w:val="00AA3802"/>
    <w:rsid w:val="00AA427C"/>
    <w:rsid w:val="00AA483D"/>
    <w:rsid w:val="00AA5521"/>
    <w:rsid w:val="00AA66FD"/>
    <w:rsid w:val="00AB1A08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C59E9"/>
    <w:rsid w:val="00AC68E8"/>
    <w:rsid w:val="00AD170F"/>
    <w:rsid w:val="00AD1CEA"/>
    <w:rsid w:val="00AE17D8"/>
    <w:rsid w:val="00AE4DDE"/>
    <w:rsid w:val="00AE5AEB"/>
    <w:rsid w:val="00AE5FC8"/>
    <w:rsid w:val="00AF0BF1"/>
    <w:rsid w:val="00AF548F"/>
    <w:rsid w:val="00AF6115"/>
    <w:rsid w:val="00B006C5"/>
    <w:rsid w:val="00B02AD4"/>
    <w:rsid w:val="00B03F14"/>
    <w:rsid w:val="00B05281"/>
    <w:rsid w:val="00B05CA9"/>
    <w:rsid w:val="00B07F52"/>
    <w:rsid w:val="00B11D83"/>
    <w:rsid w:val="00B12BC8"/>
    <w:rsid w:val="00B138A3"/>
    <w:rsid w:val="00B241A5"/>
    <w:rsid w:val="00B24920"/>
    <w:rsid w:val="00B251E5"/>
    <w:rsid w:val="00B268B1"/>
    <w:rsid w:val="00B26EDF"/>
    <w:rsid w:val="00B420A6"/>
    <w:rsid w:val="00B430B3"/>
    <w:rsid w:val="00B430EA"/>
    <w:rsid w:val="00B431C2"/>
    <w:rsid w:val="00B4501F"/>
    <w:rsid w:val="00B46880"/>
    <w:rsid w:val="00B46DFA"/>
    <w:rsid w:val="00B50D3C"/>
    <w:rsid w:val="00B5222E"/>
    <w:rsid w:val="00B52478"/>
    <w:rsid w:val="00B53C47"/>
    <w:rsid w:val="00B56166"/>
    <w:rsid w:val="00B6006D"/>
    <w:rsid w:val="00B65688"/>
    <w:rsid w:val="00B657F4"/>
    <w:rsid w:val="00B661F1"/>
    <w:rsid w:val="00B73469"/>
    <w:rsid w:val="00B74CEE"/>
    <w:rsid w:val="00B759AA"/>
    <w:rsid w:val="00B774B5"/>
    <w:rsid w:val="00B779EE"/>
    <w:rsid w:val="00B80996"/>
    <w:rsid w:val="00B82E0B"/>
    <w:rsid w:val="00B842B4"/>
    <w:rsid w:val="00B845E1"/>
    <w:rsid w:val="00B84C2A"/>
    <w:rsid w:val="00B9058C"/>
    <w:rsid w:val="00B92736"/>
    <w:rsid w:val="00B92A5D"/>
    <w:rsid w:val="00B92CB0"/>
    <w:rsid w:val="00B93E2C"/>
    <w:rsid w:val="00B97A2F"/>
    <w:rsid w:val="00BB0ECE"/>
    <w:rsid w:val="00BB26D8"/>
    <w:rsid w:val="00BC0A52"/>
    <w:rsid w:val="00BC23AD"/>
    <w:rsid w:val="00BC23CE"/>
    <w:rsid w:val="00BC661C"/>
    <w:rsid w:val="00BC6BCB"/>
    <w:rsid w:val="00BC702D"/>
    <w:rsid w:val="00BD05F0"/>
    <w:rsid w:val="00BD0A92"/>
    <w:rsid w:val="00BD0EAB"/>
    <w:rsid w:val="00BD32E8"/>
    <w:rsid w:val="00BD696F"/>
    <w:rsid w:val="00BD797D"/>
    <w:rsid w:val="00BE02FB"/>
    <w:rsid w:val="00BE084E"/>
    <w:rsid w:val="00BE2C18"/>
    <w:rsid w:val="00BE45CB"/>
    <w:rsid w:val="00BE68C2"/>
    <w:rsid w:val="00BE696F"/>
    <w:rsid w:val="00BE74FF"/>
    <w:rsid w:val="00BF090D"/>
    <w:rsid w:val="00BF3C55"/>
    <w:rsid w:val="00BF463C"/>
    <w:rsid w:val="00C045ED"/>
    <w:rsid w:val="00C046E4"/>
    <w:rsid w:val="00C05043"/>
    <w:rsid w:val="00C06560"/>
    <w:rsid w:val="00C06E06"/>
    <w:rsid w:val="00C07857"/>
    <w:rsid w:val="00C07A29"/>
    <w:rsid w:val="00C07D26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30E06"/>
    <w:rsid w:val="00C31A69"/>
    <w:rsid w:val="00C31C2A"/>
    <w:rsid w:val="00C333BF"/>
    <w:rsid w:val="00C3362C"/>
    <w:rsid w:val="00C34B49"/>
    <w:rsid w:val="00C359DC"/>
    <w:rsid w:val="00C37011"/>
    <w:rsid w:val="00C431E0"/>
    <w:rsid w:val="00C4515D"/>
    <w:rsid w:val="00C463E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222"/>
    <w:rsid w:val="00C64097"/>
    <w:rsid w:val="00C67521"/>
    <w:rsid w:val="00C7040B"/>
    <w:rsid w:val="00C70495"/>
    <w:rsid w:val="00C70A97"/>
    <w:rsid w:val="00C70B83"/>
    <w:rsid w:val="00C711D1"/>
    <w:rsid w:val="00C71374"/>
    <w:rsid w:val="00C7374F"/>
    <w:rsid w:val="00C763C5"/>
    <w:rsid w:val="00C81CF6"/>
    <w:rsid w:val="00C822AA"/>
    <w:rsid w:val="00C82CBC"/>
    <w:rsid w:val="00C86BB9"/>
    <w:rsid w:val="00C90320"/>
    <w:rsid w:val="00C903B2"/>
    <w:rsid w:val="00C9098F"/>
    <w:rsid w:val="00C911C3"/>
    <w:rsid w:val="00C945AF"/>
    <w:rsid w:val="00C9474B"/>
    <w:rsid w:val="00C94C72"/>
    <w:rsid w:val="00C96B9B"/>
    <w:rsid w:val="00C97B0F"/>
    <w:rsid w:val="00CA0582"/>
    <w:rsid w:val="00CA09B2"/>
    <w:rsid w:val="00CA1C4F"/>
    <w:rsid w:val="00CA21BC"/>
    <w:rsid w:val="00CA2F15"/>
    <w:rsid w:val="00CA4DC4"/>
    <w:rsid w:val="00CA681B"/>
    <w:rsid w:val="00CA6A2C"/>
    <w:rsid w:val="00CB00C4"/>
    <w:rsid w:val="00CB0522"/>
    <w:rsid w:val="00CB10AD"/>
    <w:rsid w:val="00CB1E4B"/>
    <w:rsid w:val="00CB2AF9"/>
    <w:rsid w:val="00CB58C2"/>
    <w:rsid w:val="00CB6D5A"/>
    <w:rsid w:val="00CC0B3E"/>
    <w:rsid w:val="00CC14E6"/>
    <w:rsid w:val="00CC4146"/>
    <w:rsid w:val="00CC5B63"/>
    <w:rsid w:val="00CC6ACC"/>
    <w:rsid w:val="00CD071C"/>
    <w:rsid w:val="00CD430E"/>
    <w:rsid w:val="00CD43FE"/>
    <w:rsid w:val="00CD7970"/>
    <w:rsid w:val="00CE1550"/>
    <w:rsid w:val="00CE25D0"/>
    <w:rsid w:val="00CE5487"/>
    <w:rsid w:val="00CE751B"/>
    <w:rsid w:val="00CF2C30"/>
    <w:rsid w:val="00CF2C8A"/>
    <w:rsid w:val="00CF2D55"/>
    <w:rsid w:val="00CF4E9B"/>
    <w:rsid w:val="00CF4F5E"/>
    <w:rsid w:val="00CF5CEF"/>
    <w:rsid w:val="00D00450"/>
    <w:rsid w:val="00D02369"/>
    <w:rsid w:val="00D0325E"/>
    <w:rsid w:val="00D03A93"/>
    <w:rsid w:val="00D0503C"/>
    <w:rsid w:val="00D0548B"/>
    <w:rsid w:val="00D06C25"/>
    <w:rsid w:val="00D07C38"/>
    <w:rsid w:val="00D11391"/>
    <w:rsid w:val="00D11EA1"/>
    <w:rsid w:val="00D1423D"/>
    <w:rsid w:val="00D15159"/>
    <w:rsid w:val="00D236F7"/>
    <w:rsid w:val="00D23A18"/>
    <w:rsid w:val="00D351B5"/>
    <w:rsid w:val="00D3554F"/>
    <w:rsid w:val="00D37F81"/>
    <w:rsid w:val="00D41C58"/>
    <w:rsid w:val="00D455E6"/>
    <w:rsid w:val="00D4688B"/>
    <w:rsid w:val="00D4718D"/>
    <w:rsid w:val="00D53E52"/>
    <w:rsid w:val="00D5404F"/>
    <w:rsid w:val="00D55829"/>
    <w:rsid w:val="00D61381"/>
    <w:rsid w:val="00D62572"/>
    <w:rsid w:val="00D62FB3"/>
    <w:rsid w:val="00D63A99"/>
    <w:rsid w:val="00D63BD4"/>
    <w:rsid w:val="00D63F14"/>
    <w:rsid w:val="00D642B6"/>
    <w:rsid w:val="00D662DF"/>
    <w:rsid w:val="00D673D7"/>
    <w:rsid w:val="00D67EDF"/>
    <w:rsid w:val="00D73829"/>
    <w:rsid w:val="00D75711"/>
    <w:rsid w:val="00D75DF5"/>
    <w:rsid w:val="00D764B6"/>
    <w:rsid w:val="00D76F7A"/>
    <w:rsid w:val="00D77A95"/>
    <w:rsid w:val="00D80F5E"/>
    <w:rsid w:val="00D81A36"/>
    <w:rsid w:val="00D81FA4"/>
    <w:rsid w:val="00D82C86"/>
    <w:rsid w:val="00D83DCF"/>
    <w:rsid w:val="00D8413D"/>
    <w:rsid w:val="00D86840"/>
    <w:rsid w:val="00D86D19"/>
    <w:rsid w:val="00D87430"/>
    <w:rsid w:val="00D9413B"/>
    <w:rsid w:val="00DA1993"/>
    <w:rsid w:val="00DA349D"/>
    <w:rsid w:val="00DA384A"/>
    <w:rsid w:val="00DA46D0"/>
    <w:rsid w:val="00DA545A"/>
    <w:rsid w:val="00DB012E"/>
    <w:rsid w:val="00DB091D"/>
    <w:rsid w:val="00DB1461"/>
    <w:rsid w:val="00DB19B7"/>
    <w:rsid w:val="00DB4E07"/>
    <w:rsid w:val="00DB7930"/>
    <w:rsid w:val="00DC01F0"/>
    <w:rsid w:val="00DC1497"/>
    <w:rsid w:val="00DC25E3"/>
    <w:rsid w:val="00DC5916"/>
    <w:rsid w:val="00DC5A7B"/>
    <w:rsid w:val="00DC5FB9"/>
    <w:rsid w:val="00DC63E3"/>
    <w:rsid w:val="00DD0D38"/>
    <w:rsid w:val="00DD4EA4"/>
    <w:rsid w:val="00DD55CA"/>
    <w:rsid w:val="00DD7139"/>
    <w:rsid w:val="00DD73FC"/>
    <w:rsid w:val="00DD7D79"/>
    <w:rsid w:val="00DE0445"/>
    <w:rsid w:val="00DE04FC"/>
    <w:rsid w:val="00DE1955"/>
    <w:rsid w:val="00DE38AB"/>
    <w:rsid w:val="00DE739D"/>
    <w:rsid w:val="00DE760B"/>
    <w:rsid w:val="00DE7F45"/>
    <w:rsid w:val="00DF1E29"/>
    <w:rsid w:val="00DF359C"/>
    <w:rsid w:val="00DF6326"/>
    <w:rsid w:val="00DF71E8"/>
    <w:rsid w:val="00DF7463"/>
    <w:rsid w:val="00DF7E2D"/>
    <w:rsid w:val="00E0203A"/>
    <w:rsid w:val="00E05C2A"/>
    <w:rsid w:val="00E06813"/>
    <w:rsid w:val="00E06C9E"/>
    <w:rsid w:val="00E078B2"/>
    <w:rsid w:val="00E1218A"/>
    <w:rsid w:val="00E14418"/>
    <w:rsid w:val="00E158BB"/>
    <w:rsid w:val="00E15E0B"/>
    <w:rsid w:val="00E16E92"/>
    <w:rsid w:val="00E173A2"/>
    <w:rsid w:val="00E22407"/>
    <w:rsid w:val="00E244B3"/>
    <w:rsid w:val="00E2618C"/>
    <w:rsid w:val="00E270B0"/>
    <w:rsid w:val="00E30275"/>
    <w:rsid w:val="00E33224"/>
    <w:rsid w:val="00E33473"/>
    <w:rsid w:val="00E36E20"/>
    <w:rsid w:val="00E4002E"/>
    <w:rsid w:val="00E400BC"/>
    <w:rsid w:val="00E40609"/>
    <w:rsid w:val="00E4147D"/>
    <w:rsid w:val="00E4262E"/>
    <w:rsid w:val="00E4407D"/>
    <w:rsid w:val="00E45757"/>
    <w:rsid w:val="00E46828"/>
    <w:rsid w:val="00E51247"/>
    <w:rsid w:val="00E5143A"/>
    <w:rsid w:val="00E52C6A"/>
    <w:rsid w:val="00E5506C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3732"/>
    <w:rsid w:val="00E640B7"/>
    <w:rsid w:val="00E65138"/>
    <w:rsid w:val="00E67001"/>
    <w:rsid w:val="00E67354"/>
    <w:rsid w:val="00E703C4"/>
    <w:rsid w:val="00E711B8"/>
    <w:rsid w:val="00E73619"/>
    <w:rsid w:val="00E73A22"/>
    <w:rsid w:val="00E740A2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3EFF"/>
    <w:rsid w:val="00E94DD7"/>
    <w:rsid w:val="00E95367"/>
    <w:rsid w:val="00E95EDC"/>
    <w:rsid w:val="00E95FF4"/>
    <w:rsid w:val="00EA076F"/>
    <w:rsid w:val="00EA0ACB"/>
    <w:rsid w:val="00EA1ECA"/>
    <w:rsid w:val="00EA4CE5"/>
    <w:rsid w:val="00EA6CC7"/>
    <w:rsid w:val="00EA7959"/>
    <w:rsid w:val="00EB020D"/>
    <w:rsid w:val="00EB08C3"/>
    <w:rsid w:val="00EB115C"/>
    <w:rsid w:val="00EB1163"/>
    <w:rsid w:val="00EB2AAC"/>
    <w:rsid w:val="00EC0806"/>
    <w:rsid w:val="00EC08A3"/>
    <w:rsid w:val="00EC25D1"/>
    <w:rsid w:val="00EC5678"/>
    <w:rsid w:val="00EC5BA3"/>
    <w:rsid w:val="00EC7DD7"/>
    <w:rsid w:val="00ED00BB"/>
    <w:rsid w:val="00ED223D"/>
    <w:rsid w:val="00ED236A"/>
    <w:rsid w:val="00ED7A3B"/>
    <w:rsid w:val="00EE23E1"/>
    <w:rsid w:val="00EE2487"/>
    <w:rsid w:val="00EE33B9"/>
    <w:rsid w:val="00EE3A93"/>
    <w:rsid w:val="00EE63E4"/>
    <w:rsid w:val="00EF0544"/>
    <w:rsid w:val="00EF0D30"/>
    <w:rsid w:val="00EF2717"/>
    <w:rsid w:val="00EF7DB6"/>
    <w:rsid w:val="00F00818"/>
    <w:rsid w:val="00F00F7F"/>
    <w:rsid w:val="00F01211"/>
    <w:rsid w:val="00F01ECC"/>
    <w:rsid w:val="00F04948"/>
    <w:rsid w:val="00F0659F"/>
    <w:rsid w:val="00F06D55"/>
    <w:rsid w:val="00F10F21"/>
    <w:rsid w:val="00F1283B"/>
    <w:rsid w:val="00F1585E"/>
    <w:rsid w:val="00F206A6"/>
    <w:rsid w:val="00F24E18"/>
    <w:rsid w:val="00F2795F"/>
    <w:rsid w:val="00F32C31"/>
    <w:rsid w:val="00F33644"/>
    <w:rsid w:val="00F33707"/>
    <w:rsid w:val="00F33E50"/>
    <w:rsid w:val="00F3473C"/>
    <w:rsid w:val="00F415E3"/>
    <w:rsid w:val="00F428A9"/>
    <w:rsid w:val="00F440AD"/>
    <w:rsid w:val="00F44FF9"/>
    <w:rsid w:val="00F45AF5"/>
    <w:rsid w:val="00F504EF"/>
    <w:rsid w:val="00F512F3"/>
    <w:rsid w:val="00F51D78"/>
    <w:rsid w:val="00F5382C"/>
    <w:rsid w:val="00F5418B"/>
    <w:rsid w:val="00F54C47"/>
    <w:rsid w:val="00F56507"/>
    <w:rsid w:val="00F60063"/>
    <w:rsid w:val="00F60126"/>
    <w:rsid w:val="00F61242"/>
    <w:rsid w:val="00F613F8"/>
    <w:rsid w:val="00F622F2"/>
    <w:rsid w:val="00F6266B"/>
    <w:rsid w:val="00F64609"/>
    <w:rsid w:val="00F7217C"/>
    <w:rsid w:val="00F74CB7"/>
    <w:rsid w:val="00F76D2B"/>
    <w:rsid w:val="00F80009"/>
    <w:rsid w:val="00F82903"/>
    <w:rsid w:val="00F83A07"/>
    <w:rsid w:val="00F847C3"/>
    <w:rsid w:val="00F85587"/>
    <w:rsid w:val="00F864E5"/>
    <w:rsid w:val="00F868BF"/>
    <w:rsid w:val="00F95632"/>
    <w:rsid w:val="00F9625B"/>
    <w:rsid w:val="00F96B2B"/>
    <w:rsid w:val="00FA0584"/>
    <w:rsid w:val="00FA6C2B"/>
    <w:rsid w:val="00FA751A"/>
    <w:rsid w:val="00FA7D2A"/>
    <w:rsid w:val="00FB0CA2"/>
    <w:rsid w:val="00FB2136"/>
    <w:rsid w:val="00FB4407"/>
    <w:rsid w:val="00FB4540"/>
    <w:rsid w:val="00FB78A5"/>
    <w:rsid w:val="00FC0063"/>
    <w:rsid w:val="00FC01FA"/>
    <w:rsid w:val="00FC0E0F"/>
    <w:rsid w:val="00FC4CF1"/>
    <w:rsid w:val="00FC4D85"/>
    <w:rsid w:val="00FC4E17"/>
    <w:rsid w:val="00FC6835"/>
    <w:rsid w:val="00FD34AC"/>
    <w:rsid w:val="00FD34BD"/>
    <w:rsid w:val="00FD6451"/>
    <w:rsid w:val="00FD67D9"/>
    <w:rsid w:val="00FD7C52"/>
    <w:rsid w:val="00FE1EFD"/>
    <w:rsid w:val="00FE45A1"/>
    <w:rsid w:val="00FE4834"/>
    <w:rsid w:val="00FE4EE7"/>
    <w:rsid w:val="00FE5027"/>
    <w:rsid w:val="00FE7766"/>
    <w:rsid w:val="00FF0B62"/>
    <w:rsid w:val="00FF1E22"/>
    <w:rsid w:val="00FF2382"/>
    <w:rsid w:val="00FF6AE1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paragraph" w:customStyle="1" w:styleId="A1FigTitle">
    <w:name w:val="A1FigTitle"/>
    <w:next w:val="T"/>
    <w:rsid w:val="00E5506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007E9C82-CD9A-4464-B941-61C70452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165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yj.noh</cp:lastModifiedBy>
  <cp:revision>28</cp:revision>
  <cp:lastPrinted>2018-10-30T21:50:00Z</cp:lastPrinted>
  <dcterms:created xsi:type="dcterms:W3CDTF">2018-11-01T19:51:00Z</dcterms:created>
  <dcterms:modified xsi:type="dcterms:W3CDTF">2018-11-06T02:08:00Z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