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7735CF" w:rsidRDefault="00CA09B2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7735CF">
        <w:rPr>
          <w:sz w:val="24"/>
        </w:rPr>
        <w:t>IEEE P802.11</w:t>
      </w:r>
      <w:r w:rsidRPr="007735CF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7735CF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4A6A800D" w:rsidR="00CA09B2" w:rsidRPr="007735CF" w:rsidRDefault="002F40BD" w:rsidP="00F33644">
            <w:pPr>
              <w:pStyle w:val="T2"/>
              <w:rPr>
                <w:sz w:val="22"/>
              </w:rPr>
            </w:pPr>
            <w:r w:rsidRPr="007735CF">
              <w:rPr>
                <w:sz w:val="22"/>
              </w:rPr>
              <w:t>CR on</w:t>
            </w:r>
            <w:r w:rsidR="00232500" w:rsidRPr="007735CF">
              <w:rPr>
                <w:sz w:val="22"/>
              </w:rPr>
              <w:t xml:space="preserve"> </w:t>
            </w:r>
            <w:r w:rsidR="005C7B28" w:rsidRPr="005C7B28">
              <w:rPr>
                <w:sz w:val="22"/>
              </w:rPr>
              <w:t>PHY subcarriers and RU</w:t>
            </w:r>
            <w:r w:rsidR="005059FA">
              <w:rPr>
                <w:sz w:val="22"/>
              </w:rPr>
              <w:t xml:space="preserve"> </w:t>
            </w:r>
            <w:r w:rsidR="005059FA">
              <w:rPr>
                <w:rFonts w:hint="eastAsia"/>
                <w:sz w:val="22"/>
                <w:lang w:eastAsia="ko-KR"/>
              </w:rPr>
              <w:t>p</w:t>
            </w:r>
            <w:r w:rsidR="005059FA">
              <w:rPr>
                <w:sz w:val="22"/>
                <w:lang w:eastAsia="ko-KR"/>
              </w:rPr>
              <w:t xml:space="preserve">art </w:t>
            </w:r>
            <w:r w:rsidR="00236DE0">
              <w:rPr>
                <w:sz w:val="22"/>
                <w:lang w:eastAsia="ko-KR"/>
              </w:rPr>
              <w:t>2</w:t>
            </w:r>
          </w:p>
        </w:tc>
      </w:tr>
      <w:tr w:rsidR="00CA09B2" w:rsidRPr="007735CF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5DF4B07" w:rsidR="00CA09B2" w:rsidRPr="007735CF" w:rsidRDefault="00CA09B2" w:rsidP="00F33644">
            <w:pPr>
              <w:pStyle w:val="T2"/>
              <w:ind w:left="0"/>
              <w:rPr>
                <w:sz w:val="22"/>
              </w:rPr>
            </w:pPr>
            <w:r w:rsidRPr="007735CF">
              <w:rPr>
                <w:sz w:val="22"/>
              </w:rPr>
              <w:t>Date:</w:t>
            </w:r>
            <w:r w:rsidRPr="007735CF">
              <w:rPr>
                <w:b w:val="0"/>
                <w:sz w:val="22"/>
              </w:rPr>
              <w:t xml:space="preserve">  </w:t>
            </w:r>
            <w:r w:rsidR="00FD7C52" w:rsidRPr="007735CF">
              <w:rPr>
                <w:b w:val="0"/>
                <w:sz w:val="22"/>
              </w:rPr>
              <w:t>201</w:t>
            </w:r>
            <w:r w:rsidR="002F40BD" w:rsidRPr="007735CF">
              <w:rPr>
                <w:b w:val="0"/>
                <w:sz w:val="22"/>
              </w:rPr>
              <w:t>8</w:t>
            </w:r>
            <w:r w:rsidRPr="007735CF">
              <w:rPr>
                <w:b w:val="0"/>
                <w:sz w:val="22"/>
              </w:rPr>
              <w:t>-</w:t>
            </w:r>
            <w:r w:rsidR="00236DE0">
              <w:rPr>
                <w:b w:val="0"/>
                <w:sz w:val="22"/>
              </w:rPr>
              <w:t>11</w:t>
            </w:r>
            <w:r w:rsidRPr="007735CF">
              <w:rPr>
                <w:b w:val="0"/>
                <w:sz w:val="22"/>
              </w:rPr>
              <w:t>-</w:t>
            </w:r>
            <w:r w:rsidR="00236DE0">
              <w:rPr>
                <w:b w:val="0"/>
                <w:sz w:val="22"/>
              </w:rPr>
              <w:t>11</w:t>
            </w:r>
          </w:p>
        </w:tc>
      </w:tr>
      <w:tr w:rsidR="00CA09B2" w:rsidRPr="007735CF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7735CF" w:rsidRDefault="00CA09B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Author(s):</w:t>
            </w:r>
          </w:p>
        </w:tc>
      </w:tr>
      <w:tr w:rsidR="00CA09B2" w:rsidRPr="007735CF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7735CF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email</w:t>
            </w:r>
          </w:p>
        </w:tc>
      </w:tr>
      <w:tr w:rsidR="0074761F" w:rsidRPr="007735CF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7735CF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0C5E315F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7735CF" w:rsidRDefault="0074761F" w:rsidP="00CB10AD"/>
        </w:tc>
        <w:tc>
          <w:tcPr>
            <w:tcW w:w="2921" w:type="dxa"/>
            <w:vAlign w:val="center"/>
          </w:tcPr>
          <w:p w14:paraId="29AF3E2B" w14:textId="74F75765" w:rsidR="0074761F" w:rsidRPr="007735CF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yujin.noh</w:t>
            </w:r>
            <w:r w:rsidR="001C6661" w:rsidRPr="007735CF">
              <w:rPr>
                <w:kern w:val="24"/>
                <w:sz w:val="22"/>
                <w:szCs w:val="20"/>
              </w:rPr>
              <w:t xml:space="preserve"> at </w:t>
            </w:r>
            <w:r w:rsidRPr="007735CF">
              <w:rPr>
                <w:kern w:val="24"/>
                <w:sz w:val="22"/>
                <w:szCs w:val="20"/>
              </w:rPr>
              <w:t>newracom.com</w:t>
            </w:r>
          </w:p>
        </w:tc>
      </w:tr>
      <w:tr w:rsidR="00E703C4" w:rsidRPr="007735CF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136F6A4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078E5431" w14:textId="306441A4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  <w:tc>
          <w:tcPr>
            <w:tcW w:w="2340" w:type="dxa"/>
          </w:tcPr>
          <w:p w14:paraId="7A4084EF" w14:textId="4453B795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E703C4" w:rsidRDefault="00E703C4" w:rsidP="00E703C4"/>
        </w:tc>
        <w:tc>
          <w:tcPr>
            <w:tcW w:w="2921" w:type="dxa"/>
          </w:tcPr>
          <w:p w14:paraId="535061B5" w14:textId="490A6F7F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</w:tr>
    </w:tbl>
    <w:p w14:paraId="29A0C31A" w14:textId="77777777" w:rsidR="00CA09B2" w:rsidRPr="007735CF" w:rsidRDefault="008927F6">
      <w:pPr>
        <w:pStyle w:val="T1"/>
        <w:spacing w:after="120"/>
        <w:rPr>
          <w:sz w:val="20"/>
        </w:rPr>
      </w:pPr>
      <w:r w:rsidRPr="007735CF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64097" w:rsidRDefault="00C640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C64097" w:rsidRDefault="00C64097" w:rsidP="005149CB">
                            <w:r>
                              <w:t xml:space="preserve">This submission shows </w:t>
                            </w:r>
                          </w:p>
                          <w:p w14:paraId="504AB403" w14:textId="27547996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(TGax Draft D</w:t>
                            </w:r>
                            <w:r w:rsidR="003727F1">
                              <w:t>3</w:t>
                            </w:r>
                            <w:r>
                              <w:t>.0)</w:t>
                            </w:r>
                          </w:p>
                          <w:p w14:paraId="5CE8C861" w14:textId="6EABB699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E46828">
                              <w:rPr>
                                <w:highlight w:val="yellow"/>
                              </w:rPr>
                              <w:t>11ax D</w:t>
                            </w:r>
                            <w:r w:rsidR="003727F1">
                              <w:rPr>
                                <w:highlight w:val="yellow"/>
                              </w:rPr>
                              <w:t>3</w:t>
                            </w:r>
                            <w:r w:rsidRPr="00E46828">
                              <w:rPr>
                                <w:highlight w:val="yellow"/>
                              </w:rPr>
                              <w:t>.</w:t>
                            </w:r>
                            <w:r w:rsidR="008F11AF">
                              <w:rPr>
                                <w:highlight w:val="yellow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14:paraId="12795FB2" w14:textId="77777777" w:rsidR="00C64097" w:rsidRPr="005372F8" w:rsidRDefault="00C64097" w:rsidP="009A08AB">
                            <w:pPr>
                              <w:ind w:left="360"/>
                            </w:pPr>
                          </w:p>
                          <w:p w14:paraId="18E3D580" w14:textId="18C03807" w:rsidR="00C64097" w:rsidRPr="00B505BE" w:rsidRDefault="00C64097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 w:rsidR="00526A53">
                              <w:t>s</w:t>
                            </w:r>
                            <w:r w:rsidRPr="00B505BE">
                              <w:t xml:space="preserve"> related to </w:t>
                            </w:r>
                            <w:r w:rsidR="009370B7" w:rsidRPr="009370B7">
                              <w:t>PHY subcarriers and RU</w:t>
                            </w:r>
                            <w:r w:rsidRPr="00B505BE">
                              <w:t>.</w:t>
                            </w:r>
                          </w:p>
                          <w:p w14:paraId="6F847C36" w14:textId="5423924E" w:rsidR="00C64097" w:rsidRPr="005372F8" w:rsidRDefault="00C64097" w:rsidP="005372F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 w:rsidR="006F6F4F">
                              <w:t>re</w:t>
                            </w:r>
                            <w:r w:rsidRPr="00B505BE">
                              <w:t>solutions to</w:t>
                            </w:r>
                            <w:r w:rsidRPr="005372F8">
                              <w:t xml:space="preserve"> </w:t>
                            </w:r>
                            <w:r w:rsidR="005372F8" w:rsidRPr="005372F8">
                              <w:rPr>
                                <w:highlight w:val="yellow"/>
                              </w:rPr>
                              <w:t xml:space="preserve">4 </w:t>
                            </w:r>
                            <w:r w:rsidRPr="005372F8">
                              <w:rPr>
                                <w:highlight w:val="yellow"/>
                              </w:rPr>
                              <w:t>CIDs</w:t>
                            </w:r>
                            <w:r w:rsidRPr="00B505BE">
                              <w:t xml:space="preserve">: </w:t>
                            </w:r>
                            <w:r>
                              <w:br/>
                            </w:r>
                            <w:r w:rsidR="002F1779" w:rsidRPr="005372F8">
                              <w:t>16632</w:t>
                            </w:r>
                            <w:r w:rsidR="005372F8">
                              <w:t xml:space="preserve">, </w:t>
                            </w:r>
                            <w:r w:rsidR="005372F8" w:rsidRPr="005372F8">
                              <w:t>16692</w:t>
                            </w:r>
                            <w:r w:rsidR="005372F8">
                              <w:t xml:space="preserve">, </w:t>
                            </w:r>
                            <w:r w:rsidR="005372F8" w:rsidRPr="005372F8">
                              <w:t>16693</w:t>
                            </w:r>
                            <w:r w:rsidR="005372F8">
                              <w:t xml:space="preserve"> and </w:t>
                            </w:r>
                            <w:r w:rsidR="005372F8" w:rsidRPr="005372F8">
                              <w:t>16694</w:t>
                            </w:r>
                          </w:p>
                          <w:p w14:paraId="49472D22" w14:textId="77777777" w:rsidR="00C64097" w:rsidRPr="005372F8" w:rsidRDefault="00C64097" w:rsidP="00D87430"/>
                          <w:p w14:paraId="5A82A590" w14:textId="7375CDD4" w:rsidR="00C64097" w:rsidRDefault="00C64097" w:rsidP="00D87430">
                            <w:r>
                              <w:t>Revisions:</w:t>
                            </w:r>
                          </w:p>
                          <w:p w14:paraId="2D56AFC4" w14:textId="3DE0CEDE" w:rsidR="00C64097" w:rsidRDefault="00C64097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794B83B0" w14:textId="77777777" w:rsidR="00C64097" w:rsidRDefault="00C64097" w:rsidP="00917E0B"/>
                          <w:p w14:paraId="52CC84CD" w14:textId="77777777" w:rsidR="00C64097" w:rsidRDefault="00C64097" w:rsidP="00861EF6"/>
                          <w:p w14:paraId="0B0F92C1" w14:textId="77777777" w:rsidR="00C64097" w:rsidRDefault="00C64097" w:rsidP="00861EF6"/>
                          <w:p w14:paraId="6F7DA744" w14:textId="77777777" w:rsidR="00C64097" w:rsidRDefault="00C64097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64097" w:rsidRDefault="00C640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C64097" w:rsidRDefault="00C64097" w:rsidP="005149CB">
                      <w:r>
                        <w:t xml:space="preserve">This submission shows </w:t>
                      </w:r>
                    </w:p>
                    <w:p w14:paraId="504AB403" w14:textId="27547996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3727F1">
                        <w:t>3</w:t>
                      </w:r>
                      <w:r>
                        <w:t>.0)</w:t>
                      </w:r>
                    </w:p>
                    <w:p w14:paraId="5CE8C861" w14:textId="6EABB699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E46828">
                        <w:rPr>
                          <w:highlight w:val="yellow"/>
                        </w:rPr>
                        <w:t>11ax D</w:t>
                      </w:r>
                      <w:r w:rsidR="003727F1">
                        <w:rPr>
                          <w:highlight w:val="yellow"/>
                        </w:rPr>
                        <w:t>3</w:t>
                      </w:r>
                      <w:r w:rsidRPr="00E46828">
                        <w:rPr>
                          <w:highlight w:val="yellow"/>
                        </w:rPr>
                        <w:t>.</w:t>
                      </w:r>
                      <w:r w:rsidR="008F11AF">
                        <w:rPr>
                          <w:highlight w:val="yellow"/>
                        </w:rPr>
                        <w:t>2</w:t>
                      </w:r>
                      <w:r>
                        <w:t>.</w:t>
                      </w:r>
                    </w:p>
                    <w:p w14:paraId="12795FB2" w14:textId="77777777" w:rsidR="00C64097" w:rsidRPr="005372F8" w:rsidRDefault="00C64097" w:rsidP="009A08AB">
                      <w:pPr>
                        <w:ind w:left="360"/>
                      </w:pPr>
                    </w:p>
                    <w:p w14:paraId="18E3D580" w14:textId="18C03807" w:rsidR="00C64097" w:rsidRPr="00B505BE" w:rsidRDefault="00C64097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 w:rsidR="00526A53">
                        <w:t>s</w:t>
                      </w:r>
                      <w:r w:rsidRPr="00B505BE">
                        <w:t xml:space="preserve"> related to </w:t>
                      </w:r>
                      <w:r w:rsidR="009370B7" w:rsidRPr="009370B7">
                        <w:t>PHY subcarriers and RU</w:t>
                      </w:r>
                      <w:r w:rsidRPr="00B505BE">
                        <w:t>.</w:t>
                      </w:r>
                    </w:p>
                    <w:p w14:paraId="6F847C36" w14:textId="5423924E" w:rsidR="00C64097" w:rsidRPr="005372F8" w:rsidRDefault="00C64097" w:rsidP="005372F8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 w:rsidR="006F6F4F">
                        <w:t>re</w:t>
                      </w:r>
                      <w:r w:rsidRPr="00B505BE">
                        <w:t>solutions to</w:t>
                      </w:r>
                      <w:r w:rsidRPr="005372F8">
                        <w:t xml:space="preserve"> </w:t>
                      </w:r>
                      <w:r w:rsidR="005372F8" w:rsidRPr="005372F8">
                        <w:rPr>
                          <w:highlight w:val="yellow"/>
                        </w:rPr>
                        <w:t xml:space="preserve">4 </w:t>
                      </w:r>
                      <w:r w:rsidRPr="005372F8">
                        <w:rPr>
                          <w:highlight w:val="yellow"/>
                        </w:rPr>
                        <w:t>CIDs</w:t>
                      </w:r>
                      <w:r w:rsidRPr="00B505BE">
                        <w:t xml:space="preserve">: </w:t>
                      </w:r>
                      <w:r>
                        <w:br/>
                      </w:r>
                      <w:r w:rsidR="002F1779" w:rsidRPr="005372F8">
                        <w:t>16632</w:t>
                      </w:r>
                      <w:r w:rsidR="005372F8">
                        <w:t xml:space="preserve">, </w:t>
                      </w:r>
                      <w:r w:rsidR="005372F8" w:rsidRPr="005372F8">
                        <w:t>16692</w:t>
                      </w:r>
                      <w:r w:rsidR="005372F8">
                        <w:t xml:space="preserve">, </w:t>
                      </w:r>
                      <w:r w:rsidR="005372F8" w:rsidRPr="005372F8">
                        <w:t>16693</w:t>
                      </w:r>
                      <w:r w:rsidR="005372F8">
                        <w:t xml:space="preserve"> and </w:t>
                      </w:r>
                      <w:r w:rsidR="005372F8" w:rsidRPr="005372F8">
                        <w:t>16694</w:t>
                      </w:r>
                    </w:p>
                    <w:p w14:paraId="49472D22" w14:textId="77777777" w:rsidR="00C64097" w:rsidRPr="005372F8" w:rsidRDefault="00C64097" w:rsidP="00D87430"/>
                    <w:p w14:paraId="5A82A590" w14:textId="7375CDD4" w:rsidR="00C64097" w:rsidRDefault="00C64097" w:rsidP="00D87430">
                      <w:r>
                        <w:t>Revisions:</w:t>
                      </w:r>
                    </w:p>
                    <w:p w14:paraId="2D56AFC4" w14:textId="3DE0CEDE" w:rsidR="00C64097" w:rsidRDefault="00C64097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794B83B0" w14:textId="77777777" w:rsidR="00C64097" w:rsidRDefault="00C64097" w:rsidP="00917E0B"/>
                    <w:p w14:paraId="52CC84CD" w14:textId="77777777" w:rsidR="00C64097" w:rsidRDefault="00C64097" w:rsidP="00861EF6"/>
                    <w:p w14:paraId="0B0F92C1" w14:textId="77777777" w:rsidR="00C64097" w:rsidRDefault="00C64097" w:rsidP="00861EF6"/>
                    <w:p w14:paraId="6F7DA744" w14:textId="77777777" w:rsidR="00C64097" w:rsidRDefault="00C64097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7735CF" w:rsidRDefault="00CA09B2">
      <w:pPr>
        <w:rPr>
          <w:b/>
          <w:sz w:val="20"/>
          <w:u w:val="single"/>
        </w:rPr>
      </w:pPr>
      <w:r w:rsidRPr="007735CF">
        <w:rPr>
          <w:sz w:val="20"/>
        </w:rPr>
        <w:br w:type="page"/>
      </w:r>
    </w:p>
    <w:p w14:paraId="4F33D33B" w14:textId="77777777" w:rsidR="006F2A4B" w:rsidRDefault="006F2A4B" w:rsidP="005E3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1949"/>
        <w:gridCol w:w="3402"/>
        <w:gridCol w:w="3379"/>
      </w:tblGrid>
      <w:tr w:rsidR="005E3A14" w:rsidRPr="006F2A4B" w14:paraId="32CABA19" w14:textId="77777777" w:rsidTr="006F2A4B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8338C0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24D0A1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14:paraId="406470C7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8475649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13C6201D" w14:textId="77777777" w:rsidR="005E3A14" w:rsidRPr="006F2A4B" w:rsidRDefault="005E3A14" w:rsidP="002373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F2A4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F2A4B" w:rsidRPr="006F2A4B" w14:paraId="07EF2F93" w14:textId="77777777" w:rsidTr="006F2A4B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6522873" w14:textId="53DC64B0" w:rsidR="006F2A4B" w:rsidRPr="006F2A4B" w:rsidRDefault="006F2A4B" w:rsidP="006F2A4B">
            <w:pPr>
              <w:jc w:val="center"/>
              <w:rPr>
                <w:sz w:val="20"/>
              </w:rPr>
            </w:pPr>
            <w:r w:rsidRPr="006F2A4B">
              <w:rPr>
                <w:sz w:val="20"/>
              </w:rPr>
              <w:t>16632</w:t>
            </w:r>
          </w:p>
        </w:tc>
        <w:tc>
          <w:tcPr>
            <w:tcW w:w="630" w:type="dxa"/>
            <w:shd w:val="clear" w:color="auto" w:fill="auto"/>
            <w:noWrap/>
          </w:tcPr>
          <w:p w14:paraId="38E695AD" w14:textId="50784586" w:rsidR="006F2A4B" w:rsidRPr="006F2A4B" w:rsidRDefault="006F2A4B" w:rsidP="006F2A4B">
            <w:pPr>
              <w:jc w:val="center"/>
              <w:rPr>
                <w:sz w:val="20"/>
                <w:lang w:eastAsia="ko-KR"/>
              </w:rPr>
            </w:pPr>
            <w:r w:rsidRPr="006F2A4B">
              <w:rPr>
                <w:sz w:val="20"/>
              </w:rPr>
              <w:t>418.38</w:t>
            </w:r>
          </w:p>
        </w:tc>
        <w:tc>
          <w:tcPr>
            <w:tcW w:w="1949" w:type="dxa"/>
            <w:shd w:val="clear" w:color="auto" w:fill="auto"/>
            <w:noWrap/>
          </w:tcPr>
          <w:p w14:paraId="0108D5C8" w14:textId="4D856617" w:rsidR="006F2A4B" w:rsidRPr="006F2A4B" w:rsidRDefault="006F2A4B" w:rsidP="006F2A4B">
            <w:pPr>
              <w:rPr>
                <w:sz w:val="20"/>
              </w:rPr>
            </w:pPr>
            <w:r w:rsidRPr="006F2A4B">
              <w:rPr>
                <w:sz w:val="20"/>
              </w:rPr>
              <w:t>Are there indeed cases where an HE-LTF would not have any pilot subcarriers?</w:t>
            </w:r>
          </w:p>
        </w:tc>
        <w:tc>
          <w:tcPr>
            <w:tcW w:w="3402" w:type="dxa"/>
            <w:shd w:val="clear" w:color="auto" w:fill="auto"/>
            <w:noWrap/>
          </w:tcPr>
          <w:p w14:paraId="4AFE1B85" w14:textId="52949C55" w:rsidR="006F2A4B" w:rsidRPr="006F2A4B" w:rsidRDefault="006F2A4B" w:rsidP="006F2A4B">
            <w:pPr>
              <w:rPr>
                <w:sz w:val="20"/>
              </w:rPr>
            </w:pPr>
            <w:r w:rsidRPr="006F2A4B">
              <w:rPr>
                <w:sz w:val="20"/>
              </w:rPr>
              <w:t>Either a) Rewrite to "The location of pilot subcarrers ... shall be the same as ... the 4x HE-LTF except for pilot subcarriers that are deleted because they do not meet the following conditions: in a 1x HE-LTF, pilot subcarriers that are not a multiple of 4 are deleted, and in a 2x HE-LTF pilot subcarriers that are not a multiple of 2 are deleted" or b) add a note to explain how this field can be entirely bereft of pilot subcarriers</w:t>
            </w:r>
          </w:p>
        </w:tc>
        <w:tc>
          <w:tcPr>
            <w:tcW w:w="3379" w:type="dxa"/>
            <w:shd w:val="clear" w:color="auto" w:fill="auto"/>
          </w:tcPr>
          <w:p w14:paraId="08BBB050" w14:textId="77591279" w:rsidR="006F2A4B" w:rsidRPr="006F2A4B" w:rsidRDefault="006F2A4B" w:rsidP="006F2A4B">
            <w:pPr>
              <w:rPr>
                <w:sz w:val="20"/>
              </w:rPr>
            </w:pPr>
            <w:r w:rsidRPr="006F2A4B">
              <w:rPr>
                <w:sz w:val="20"/>
              </w:rPr>
              <w:t>Revised.</w:t>
            </w:r>
          </w:p>
          <w:p w14:paraId="26F8C72F" w14:textId="77777777" w:rsidR="006F2A4B" w:rsidRDefault="006F2A4B" w:rsidP="006F2A4B">
            <w:pPr>
              <w:rPr>
                <w:sz w:val="20"/>
              </w:rPr>
            </w:pPr>
          </w:p>
          <w:p w14:paraId="1D6DB023" w14:textId="77777777" w:rsidR="006F2A4B" w:rsidRDefault="006F2A4B" w:rsidP="006F2A4B">
            <w:pPr>
              <w:rPr>
                <w:sz w:val="20"/>
              </w:rPr>
            </w:pPr>
          </w:p>
          <w:p w14:paraId="30A0126A" w14:textId="152387B9" w:rsidR="006F2A4B" w:rsidRPr="006F2A4B" w:rsidRDefault="006F2A4B" w:rsidP="006F2A4B">
            <w:pPr>
              <w:rPr>
                <w:sz w:val="20"/>
              </w:rPr>
            </w:pPr>
            <w:r w:rsidRPr="006F2A4B">
              <w:rPr>
                <w:sz w:val="20"/>
              </w:rPr>
              <w:t>TGax Editor: make changes according to this document 11-18-</w:t>
            </w:r>
            <w:r w:rsidR="004E7335">
              <w:rPr>
                <w:sz w:val="20"/>
              </w:rPr>
              <w:t>1734</w:t>
            </w:r>
            <w:r w:rsidRPr="006F2A4B">
              <w:rPr>
                <w:sz w:val="20"/>
              </w:rPr>
              <w:t>-00-00ax CR on PHY subcarriers and RU part 2</w:t>
            </w:r>
          </w:p>
        </w:tc>
      </w:tr>
    </w:tbl>
    <w:p w14:paraId="7E00BD51" w14:textId="344C7DFD" w:rsidR="005E3A14" w:rsidRPr="007735CF" w:rsidRDefault="005E3A14" w:rsidP="005E3A14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TGax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 w:rsidR="00595E25">
        <w:rPr>
          <w:b/>
          <w:i/>
          <w:highlight w:val="yellow"/>
        </w:rPr>
        <w:t>4</w:t>
      </w:r>
      <w:r w:rsidR="00AF32D7">
        <w:rPr>
          <w:b/>
          <w:i/>
          <w:highlight w:val="yellow"/>
        </w:rPr>
        <w:t>36</w:t>
      </w:r>
      <w:r w:rsidRPr="007735CF">
        <w:rPr>
          <w:b/>
          <w:i/>
          <w:highlight w:val="yellow"/>
        </w:rPr>
        <w:t>L</w:t>
      </w:r>
      <w:r w:rsidR="00AF32D7">
        <w:rPr>
          <w:b/>
          <w:i/>
          <w:highlight w:val="yellow"/>
        </w:rPr>
        <w:t>41</w:t>
      </w:r>
      <w:r w:rsidRPr="007735CF">
        <w:rPr>
          <w:i/>
        </w:rPr>
        <w:t xml:space="preserve"> replace the current text with the proposed changes below.</w:t>
      </w:r>
      <w:r w:rsidR="00B76561" w:rsidRPr="00B76561">
        <w:rPr>
          <w:highlight w:val="yellow"/>
        </w:rPr>
        <w:t xml:space="preserve"> (</w:t>
      </w:r>
      <w:r w:rsidR="00B76561" w:rsidRPr="00B76561">
        <w:rPr>
          <w:i/>
          <w:highlight w:val="yellow"/>
        </w:rPr>
        <w:t>#</w:t>
      </w:r>
      <w:r w:rsidR="00595E25">
        <w:rPr>
          <w:i/>
          <w:highlight w:val="yellow"/>
        </w:rPr>
        <w:t>16632</w:t>
      </w:r>
      <w:r w:rsidR="00B76561"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3ADD47DB" w14:textId="77777777" w:rsidR="00595E25" w:rsidRDefault="00595E25" w:rsidP="005E3A14">
      <w:pPr>
        <w:pStyle w:val="T"/>
        <w:rPr>
          <w:b/>
          <w:bCs/>
        </w:rPr>
      </w:pPr>
      <w:r>
        <w:rPr>
          <w:b/>
          <w:bCs/>
        </w:rPr>
        <w:t xml:space="preserve">28.3.2.4 Pilot subcarriers </w:t>
      </w:r>
    </w:p>
    <w:p w14:paraId="68FD64D4" w14:textId="0FA43A96" w:rsidR="00595E25" w:rsidRDefault="00595E25" w:rsidP="005E3A14">
      <w:pPr>
        <w:pStyle w:val="T"/>
      </w:pPr>
      <w:r>
        <w:t xml:space="preserve">If pilot subcarriers are present in the HE-LTF field of an HE SU PPDU, HE MU PPDU, HE ER SU PPDU, or HE TB PPDU, the pilot subcarrier locations in the HE-LTF field and Data field </w:t>
      </w:r>
      <w:r w:rsidRPr="002058E6">
        <w:rPr>
          <w:strike/>
          <w:color w:val="FF0000"/>
        </w:rPr>
        <w:t>shall</w:t>
      </w:r>
      <w:r w:rsidRPr="002058E6">
        <w:rPr>
          <w:color w:val="FF0000"/>
        </w:rPr>
        <w:t xml:space="preserve"> </w:t>
      </w:r>
      <w:r w:rsidRPr="00B904E7">
        <w:rPr>
          <w:strike/>
          <w:color w:val="FF0000"/>
        </w:rPr>
        <w:t>be</w:t>
      </w:r>
      <w:r w:rsidR="00B904E7" w:rsidRPr="00B904E7">
        <w:rPr>
          <w:color w:val="FF0000"/>
        </w:rPr>
        <w:t xml:space="preserve"> </w:t>
      </w:r>
      <w:r w:rsidR="00B904E7" w:rsidRPr="002058E6">
        <w:rPr>
          <w:rFonts w:hint="eastAsia"/>
          <w:color w:val="FF0000"/>
          <w:u w:val="single"/>
        </w:rPr>
        <w:t>a</w:t>
      </w:r>
      <w:r w:rsidR="00B904E7" w:rsidRPr="002058E6">
        <w:rPr>
          <w:color w:val="FF0000"/>
          <w:u w:val="single"/>
        </w:rPr>
        <w:t>re</w:t>
      </w:r>
      <w:r>
        <w:t xml:space="preserve"> the same for the 4x HE-LTF. In a 1x HE-LTF, the pilot subcarrier locations in the HE-LTF only consist of the pilot subcarri-ers for the Data field that are multiples of four. If pilot subcarriers are present in a 2x HE-LTF, then their locations shall be the same as those pilots in a 4x data symbol. All pilot subcarriers are at the even indices enumerated in Table 28-10 (Pilot subcarrier indices). </w:t>
      </w:r>
    </w:p>
    <w:p w14:paraId="509DAC21" w14:textId="19C300AB" w:rsidR="005E3A14" w:rsidRDefault="005E3A14" w:rsidP="005E3A14">
      <w:pPr>
        <w:pStyle w:val="T"/>
        <w:rPr>
          <w:b/>
          <w:i/>
        </w:rPr>
      </w:pPr>
      <w:r w:rsidRPr="007735CF">
        <w:rPr>
          <w:b/>
          <w:i/>
        </w:rPr>
        <w:t>------------- End Text Changes ---------------</w:t>
      </w:r>
    </w:p>
    <w:p w14:paraId="5717DACE" w14:textId="77777777" w:rsidR="0024140F" w:rsidRDefault="0024140F">
      <w:pPr>
        <w:rPr>
          <w:b/>
          <w:i/>
        </w:rPr>
      </w:pPr>
    </w:p>
    <w:p w14:paraId="4931F1F1" w14:textId="77777777" w:rsidR="0024140F" w:rsidRDefault="0024140F" w:rsidP="0024140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941"/>
        <w:gridCol w:w="2410"/>
        <w:gridCol w:w="3379"/>
      </w:tblGrid>
      <w:tr w:rsidR="0024140F" w:rsidRPr="0024140F" w14:paraId="4B1D521F" w14:textId="77777777" w:rsidTr="0024140F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1B93FA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08A719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0BFF5CA7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921BBA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263E9D17" w14:textId="77777777" w:rsidR="0024140F" w:rsidRPr="0024140F" w:rsidRDefault="0024140F" w:rsidP="002E0E5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4140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4140F" w:rsidRPr="0024140F" w14:paraId="3878DE99" w14:textId="77777777" w:rsidTr="0024140F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3EE45623" w14:textId="44339E09" w:rsidR="0024140F" w:rsidRPr="0024140F" w:rsidRDefault="0024140F" w:rsidP="0024140F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16692</w:t>
            </w:r>
          </w:p>
        </w:tc>
        <w:tc>
          <w:tcPr>
            <w:tcW w:w="630" w:type="dxa"/>
            <w:shd w:val="clear" w:color="auto" w:fill="auto"/>
            <w:noWrap/>
          </w:tcPr>
          <w:p w14:paraId="58C9659D" w14:textId="1E99F927" w:rsidR="0024140F" w:rsidRPr="0024140F" w:rsidRDefault="0024140F" w:rsidP="0024140F">
            <w:pPr>
              <w:jc w:val="center"/>
              <w:rPr>
                <w:sz w:val="20"/>
                <w:lang w:eastAsia="ko-KR"/>
              </w:rPr>
            </w:pPr>
            <w:r w:rsidRPr="0024140F">
              <w:rPr>
                <w:sz w:val="20"/>
              </w:rPr>
              <w:t>421.45</w:t>
            </w:r>
          </w:p>
        </w:tc>
        <w:tc>
          <w:tcPr>
            <w:tcW w:w="2941" w:type="dxa"/>
            <w:shd w:val="clear" w:color="auto" w:fill="auto"/>
            <w:noWrap/>
          </w:tcPr>
          <w:p w14:paraId="414C1D43" w14:textId="13F81746" w:rsidR="0024140F" w:rsidRPr="0024140F" w:rsidRDefault="0024140F" w:rsidP="0024140F">
            <w:pPr>
              <w:rPr>
                <w:sz w:val="20"/>
              </w:rPr>
            </w:pPr>
            <w:r w:rsidRPr="0024140F">
              <w:rPr>
                <w:sz w:val="20"/>
              </w:rPr>
              <w:t>This statement and the one in the next paragraph belong in the MAC clause.</w:t>
            </w:r>
          </w:p>
        </w:tc>
        <w:tc>
          <w:tcPr>
            <w:tcW w:w="2410" w:type="dxa"/>
            <w:shd w:val="clear" w:color="auto" w:fill="auto"/>
            <w:noWrap/>
          </w:tcPr>
          <w:p w14:paraId="200B7C64" w14:textId="2FA1A48F" w:rsidR="0024140F" w:rsidRPr="0024140F" w:rsidRDefault="0024140F" w:rsidP="0024140F">
            <w:pPr>
              <w:rPr>
                <w:sz w:val="20"/>
              </w:rPr>
            </w:pPr>
            <w:r w:rsidRPr="0024140F">
              <w:rPr>
                <w:sz w:val="20"/>
              </w:rPr>
              <w:t>Move to MAC clause</w:t>
            </w:r>
          </w:p>
        </w:tc>
        <w:tc>
          <w:tcPr>
            <w:tcW w:w="3379" w:type="dxa"/>
            <w:shd w:val="clear" w:color="auto" w:fill="auto"/>
          </w:tcPr>
          <w:p w14:paraId="315FC00A" w14:textId="77777777" w:rsidR="0024140F" w:rsidRDefault="005113DD" w:rsidP="0024140F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</w:t>
            </w:r>
            <w:r>
              <w:rPr>
                <w:sz w:val="20"/>
                <w:lang w:eastAsia="ko-KR"/>
              </w:rPr>
              <w:t>evised</w:t>
            </w:r>
          </w:p>
          <w:p w14:paraId="43E3897F" w14:textId="03027E61" w:rsidR="005113DD" w:rsidRDefault="005113DD" w:rsidP="0024140F">
            <w:pPr>
              <w:rPr>
                <w:sz w:val="20"/>
                <w:lang w:eastAsia="ko-KR"/>
              </w:rPr>
            </w:pPr>
          </w:p>
          <w:p w14:paraId="11B70B69" w14:textId="33E58416" w:rsidR="002220C9" w:rsidRDefault="002220C9" w:rsidP="002414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Each statement covering HE MU PPDU and HE TB PPDU is split into HE DL MU operation and UL MU operation, respectively.</w:t>
            </w:r>
          </w:p>
          <w:p w14:paraId="6CF7DBE0" w14:textId="77777777" w:rsidR="002220C9" w:rsidRDefault="002220C9" w:rsidP="0024140F">
            <w:pPr>
              <w:rPr>
                <w:sz w:val="20"/>
                <w:lang w:eastAsia="ko-KR"/>
              </w:rPr>
            </w:pPr>
          </w:p>
          <w:p w14:paraId="30E0BB29" w14:textId="082E8691" w:rsidR="005113DD" w:rsidRPr="0024140F" w:rsidRDefault="005113DD" w:rsidP="0024140F">
            <w:pPr>
              <w:rPr>
                <w:sz w:val="20"/>
                <w:lang w:eastAsia="ko-KR"/>
              </w:rPr>
            </w:pPr>
            <w:r w:rsidRPr="006F2A4B">
              <w:rPr>
                <w:sz w:val="20"/>
              </w:rPr>
              <w:t>TGax Editor: make changes according to this document 11-18-</w:t>
            </w:r>
            <w:r w:rsidR="004E7335">
              <w:rPr>
                <w:sz w:val="20"/>
              </w:rPr>
              <w:t>1734</w:t>
            </w:r>
            <w:r w:rsidRPr="006F2A4B">
              <w:rPr>
                <w:sz w:val="20"/>
              </w:rPr>
              <w:t>-00-00ax CR on PHY subcarriers and RU part 2</w:t>
            </w:r>
          </w:p>
        </w:tc>
      </w:tr>
      <w:tr w:rsidR="00D01ED3" w:rsidRPr="0024140F" w14:paraId="7E7CB651" w14:textId="77777777" w:rsidTr="0024140F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B9D5169" w14:textId="513BA0A1" w:rsidR="00D01ED3" w:rsidRPr="0024140F" w:rsidRDefault="00D01ED3" w:rsidP="00D01ED3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16693</w:t>
            </w:r>
          </w:p>
        </w:tc>
        <w:tc>
          <w:tcPr>
            <w:tcW w:w="630" w:type="dxa"/>
            <w:shd w:val="clear" w:color="auto" w:fill="auto"/>
            <w:noWrap/>
          </w:tcPr>
          <w:p w14:paraId="4D48EE74" w14:textId="778E21E4" w:rsidR="00D01ED3" w:rsidRPr="0024140F" w:rsidRDefault="00D01ED3" w:rsidP="00D01ED3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421.55</w:t>
            </w:r>
          </w:p>
        </w:tc>
        <w:tc>
          <w:tcPr>
            <w:tcW w:w="2941" w:type="dxa"/>
            <w:shd w:val="clear" w:color="auto" w:fill="auto"/>
            <w:noWrap/>
          </w:tcPr>
          <w:p w14:paraId="01F0B2A8" w14:textId="22B72D21" w:rsidR="00D01ED3" w:rsidRPr="0024140F" w:rsidRDefault="00D01ED3" w:rsidP="00D01ED3">
            <w:pPr>
              <w:rPr>
                <w:sz w:val="20"/>
              </w:rPr>
            </w:pPr>
            <w:r w:rsidRPr="0024140F">
              <w:rPr>
                <w:sz w:val="20"/>
              </w:rPr>
              <w:t>This whole subclause belongs in the MAC clause</w:t>
            </w:r>
          </w:p>
        </w:tc>
        <w:tc>
          <w:tcPr>
            <w:tcW w:w="2410" w:type="dxa"/>
            <w:shd w:val="clear" w:color="auto" w:fill="auto"/>
            <w:noWrap/>
          </w:tcPr>
          <w:p w14:paraId="0A029AB2" w14:textId="684B03DB" w:rsidR="00D01ED3" w:rsidRPr="0024140F" w:rsidRDefault="00D01ED3" w:rsidP="00D01ED3">
            <w:pPr>
              <w:rPr>
                <w:sz w:val="20"/>
              </w:rPr>
            </w:pPr>
            <w:r w:rsidRPr="0024140F">
              <w:rPr>
                <w:sz w:val="20"/>
              </w:rPr>
              <w:t>Move to MAC clause</w:t>
            </w:r>
          </w:p>
        </w:tc>
        <w:tc>
          <w:tcPr>
            <w:tcW w:w="3379" w:type="dxa"/>
            <w:shd w:val="clear" w:color="auto" w:fill="auto"/>
          </w:tcPr>
          <w:p w14:paraId="20DFE398" w14:textId="77777777" w:rsidR="00D01ED3" w:rsidRDefault="00D01ED3" w:rsidP="00D01ED3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</w:t>
            </w:r>
            <w:r>
              <w:rPr>
                <w:sz w:val="20"/>
                <w:lang w:eastAsia="ko-KR"/>
              </w:rPr>
              <w:t>evised</w:t>
            </w:r>
          </w:p>
          <w:p w14:paraId="33FCBA86" w14:textId="48D1ECEB" w:rsidR="00D01ED3" w:rsidRPr="005843F0" w:rsidRDefault="00D01ED3" w:rsidP="00D01ED3">
            <w:pPr>
              <w:pStyle w:val="T"/>
              <w:jc w:val="left"/>
              <w:rPr>
                <w:lang w:val="en-GB"/>
              </w:rPr>
            </w:pPr>
            <w:r w:rsidRPr="005843F0">
              <w:rPr>
                <w:lang w:val="en-GB"/>
              </w:rPr>
              <w:t xml:space="preserve">Since restricted RU assignment part needs to be </w:t>
            </w:r>
            <w:r>
              <w:rPr>
                <w:lang w:val="en-GB"/>
              </w:rPr>
              <w:t>moved</w:t>
            </w:r>
            <w:r w:rsidRPr="005843F0">
              <w:rPr>
                <w:lang w:val="en-GB"/>
              </w:rPr>
              <w:t xml:space="preserve"> in both HE DL MU operation and UL MU operation, most texts in this subclause would be</w:t>
            </w:r>
            <w:r>
              <w:rPr>
                <w:lang w:val="en-GB"/>
              </w:rPr>
              <w:t xml:space="preserve"> </w:t>
            </w:r>
            <w:r w:rsidRPr="005843F0">
              <w:rPr>
                <w:lang w:val="en-GB"/>
              </w:rPr>
              <w:t xml:space="preserve">repeated in 27.5.1 (HE DL MU operation) and 27.5.3 </w:t>
            </w:r>
            <w:r>
              <w:rPr>
                <w:lang w:val="en-GB"/>
              </w:rPr>
              <w:t>(</w:t>
            </w:r>
            <w:r w:rsidRPr="005843F0">
              <w:rPr>
                <w:lang w:val="en-GB"/>
              </w:rPr>
              <w:t>UL MU operation</w:t>
            </w:r>
            <w:r>
              <w:rPr>
                <w:lang w:val="en-GB"/>
              </w:rPr>
              <w:t>)</w:t>
            </w:r>
            <w:r w:rsidRPr="005843F0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="006D4D03">
              <w:rPr>
                <w:lang w:val="en-GB"/>
              </w:rPr>
              <w:t>It remains</w:t>
            </w:r>
            <w:r w:rsidR="0092385B">
              <w:rPr>
                <w:lang w:val="en-GB"/>
              </w:rPr>
              <w:t xml:space="preserve"> as of now. </w:t>
            </w:r>
            <w:r>
              <w:rPr>
                <w:lang w:val="en-GB"/>
              </w:rPr>
              <w:t>Other parts are moved into corresponding MAC subclauses, respectively.</w:t>
            </w:r>
          </w:p>
          <w:p w14:paraId="018C816C" w14:textId="77777777" w:rsidR="00D01ED3" w:rsidRDefault="00D01ED3" w:rsidP="00D01ED3">
            <w:pPr>
              <w:rPr>
                <w:sz w:val="20"/>
                <w:lang w:eastAsia="ko-KR"/>
              </w:rPr>
            </w:pPr>
          </w:p>
          <w:p w14:paraId="20F552F8" w14:textId="50780BB2" w:rsidR="00D01ED3" w:rsidRDefault="00D01ED3" w:rsidP="00D01ED3">
            <w:pPr>
              <w:rPr>
                <w:sz w:val="20"/>
                <w:lang w:eastAsia="ko-KR"/>
              </w:rPr>
            </w:pPr>
            <w:r w:rsidRPr="006F2A4B">
              <w:rPr>
                <w:sz w:val="20"/>
              </w:rPr>
              <w:t>TGax Editor: make changes according to this document 11-18-</w:t>
            </w:r>
            <w:r w:rsidR="004E7335">
              <w:rPr>
                <w:sz w:val="20"/>
              </w:rPr>
              <w:t>1734</w:t>
            </w:r>
            <w:r w:rsidRPr="006F2A4B">
              <w:rPr>
                <w:sz w:val="20"/>
              </w:rPr>
              <w:t>-00-00ax CR on PHY subcarriers and RU part 2</w:t>
            </w:r>
          </w:p>
        </w:tc>
      </w:tr>
      <w:tr w:rsidR="00D01ED3" w:rsidRPr="0024140F" w14:paraId="48F55FD5" w14:textId="77777777" w:rsidTr="0024140F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116B4843" w14:textId="22337AE5" w:rsidR="00D01ED3" w:rsidRPr="0024140F" w:rsidRDefault="00D01ED3" w:rsidP="00D01ED3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lastRenderedPageBreak/>
              <w:t>16694</w:t>
            </w:r>
          </w:p>
        </w:tc>
        <w:tc>
          <w:tcPr>
            <w:tcW w:w="630" w:type="dxa"/>
            <w:shd w:val="clear" w:color="auto" w:fill="auto"/>
            <w:noWrap/>
          </w:tcPr>
          <w:p w14:paraId="5BBFF3C0" w14:textId="2BFE5D43" w:rsidR="00D01ED3" w:rsidRPr="0024140F" w:rsidRDefault="00D01ED3" w:rsidP="00D01ED3">
            <w:pPr>
              <w:jc w:val="center"/>
              <w:rPr>
                <w:sz w:val="20"/>
              </w:rPr>
            </w:pPr>
            <w:r w:rsidRPr="0024140F">
              <w:rPr>
                <w:sz w:val="20"/>
              </w:rPr>
              <w:t>422.50</w:t>
            </w:r>
          </w:p>
        </w:tc>
        <w:tc>
          <w:tcPr>
            <w:tcW w:w="2941" w:type="dxa"/>
            <w:shd w:val="clear" w:color="auto" w:fill="auto"/>
            <w:noWrap/>
          </w:tcPr>
          <w:p w14:paraId="6DF6FC8A" w14:textId="584CA469" w:rsidR="00D01ED3" w:rsidRPr="0024140F" w:rsidRDefault="00D01ED3" w:rsidP="00D01ED3">
            <w:pPr>
              <w:rPr>
                <w:sz w:val="20"/>
              </w:rPr>
            </w:pPr>
            <w:r w:rsidRPr="0024140F">
              <w:rPr>
                <w:sz w:val="20"/>
              </w:rPr>
              <w:t>The statements in this subclause belong in the MAC clause</w:t>
            </w:r>
          </w:p>
        </w:tc>
        <w:tc>
          <w:tcPr>
            <w:tcW w:w="2410" w:type="dxa"/>
            <w:shd w:val="clear" w:color="auto" w:fill="auto"/>
            <w:noWrap/>
          </w:tcPr>
          <w:p w14:paraId="37433AA3" w14:textId="0F4C3E84" w:rsidR="00D01ED3" w:rsidRPr="0024140F" w:rsidRDefault="00D01ED3" w:rsidP="00D01ED3">
            <w:pPr>
              <w:rPr>
                <w:sz w:val="20"/>
              </w:rPr>
            </w:pPr>
            <w:r w:rsidRPr="0024140F">
              <w:rPr>
                <w:sz w:val="20"/>
              </w:rPr>
              <w:t>Move to MAC clause</w:t>
            </w:r>
          </w:p>
        </w:tc>
        <w:tc>
          <w:tcPr>
            <w:tcW w:w="3379" w:type="dxa"/>
            <w:shd w:val="clear" w:color="auto" w:fill="auto"/>
          </w:tcPr>
          <w:p w14:paraId="033C12F6" w14:textId="77777777" w:rsidR="00B22202" w:rsidRDefault="00B22202" w:rsidP="00B22202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</w:t>
            </w:r>
            <w:r>
              <w:rPr>
                <w:sz w:val="20"/>
                <w:lang w:eastAsia="ko-KR"/>
              </w:rPr>
              <w:t>evised</w:t>
            </w:r>
          </w:p>
          <w:p w14:paraId="32B01FDD" w14:textId="77777777" w:rsidR="00B22202" w:rsidRDefault="00B22202" w:rsidP="00B22202">
            <w:pPr>
              <w:rPr>
                <w:sz w:val="20"/>
                <w:lang w:eastAsia="ko-KR"/>
              </w:rPr>
            </w:pPr>
          </w:p>
          <w:p w14:paraId="29C3397B" w14:textId="77777777" w:rsidR="00B22202" w:rsidRDefault="00B22202" w:rsidP="00B2220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Each statement covering HE MU PPDU and HE TB PPDU is split into HE DL MU operation and UL MU operation, respectively.</w:t>
            </w:r>
          </w:p>
          <w:p w14:paraId="4180E625" w14:textId="77777777" w:rsidR="00B22202" w:rsidRDefault="00B22202" w:rsidP="00B22202">
            <w:pPr>
              <w:rPr>
                <w:sz w:val="20"/>
                <w:lang w:eastAsia="ko-KR"/>
              </w:rPr>
            </w:pPr>
          </w:p>
          <w:p w14:paraId="292D4679" w14:textId="5A942DF7" w:rsidR="00D01ED3" w:rsidRDefault="00B22202" w:rsidP="00B22202">
            <w:pPr>
              <w:rPr>
                <w:sz w:val="20"/>
                <w:lang w:eastAsia="ko-KR"/>
              </w:rPr>
            </w:pPr>
            <w:r w:rsidRPr="006F2A4B">
              <w:rPr>
                <w:sz w:val="20"/>
              </w:rPr>
              <w:t>TGax Editor: make changes according to this document 11-18-</w:t>
            </w:r>
            <w:r w:rsidR="004E7335">
              <w:rPr>
                <w:sz w:val="20"/>
              </w:rPr>
              <w:t>1734</w:t>
            </w:r>
            <w:r w:rsidRPr="006F2A4B">
              <w:rPr>
                <w:sz w:val="20"/>
              </w:rPr>
              <w:t>-00-00ax CR on PHY subcarriers and RU part 2</w:t>
            </w:r>
          </w:p>
        </w:tc>
      </w:tr>
    </w:tbl>
    <w:p w14:paraId="10007119" w14:textId="578C25A7" w:rsidR="0024140F" w:rsidRPr="007735CF" w:rsidRDefault="0024140F" w:rsidP="0024140F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TGax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 w:rsidR="00B62C45">
        <w:rPr>
          <w:b/>
          <w:i/>
          <w:highlight w:val="yellow"/>
        </w:rPr>
        <w:t>4</w:t>
      </w:r>
      <w:r w:rsidR="00A7309B">
        <w:rPr>
          <w:b/>
          <w:i/>
          <w:highlight w:val="yellow"/>
        </w:rPr>
        <w:t>39</w:t>
      </w:r>
      <w:r w:rsidRPr="007735CF">
        <w:rPr>
          <w:b/>
          <w:i/>
          <w:highlight w:val="yellow"/>
        </w:rPr>
        <w:t>L</w:t>
      </w:r>
      <w:r w:rsidR="00B62C45">
        <w:rPr>
          <w:b/>
          <w:i/>
          <w:highlight w:val="yellow"/>
        </w:rPr>
        <w:t>4</w:t>
      </w:r>
      <w:r w:rsidR="00A7309B">
        <w:rPr>
          <w:b/>
          <w:i/>
          <w:highlight w:val="yellow"/>
        </w:rPr>
        <w:t>3</w:t>
      </w:r>
      <w:r w:rsidRPr="007735CF">
        <w:rPr>
          <w:i/>
        </w:rPr>
        <w:t xml:space="preserve"> </w:t>
      </w:r>
      <w:r w:rsidR="00B62C45">
        <w:rPr>
          <w:i/>
        </w:rPr>
        <w:t>delete</w:t>
      </w:r>
      <w:r w:rsidRPr="007735CF">
        <w:rPr>
          <w:i/>
        </w:rPr>
        <w:t xml:space="preserve"> the current text </w:t>
      </w:r>
      <w:r w:rsidR="00B62C45">
        <w:rPr>
          <w:i/>
        </w:rPr>
        <w:t>below</w:t>
      </w:r>
      <w:r w:rsidRPr="007735CF">
        <w:rPr>
          <w:i/>
        </w:rPr>
        <w:t>.</w:t>
      </w:r>
      <w:r w:rsidRPr="00B76561">
        <w:rPr>
          <w:highlight w:val="yellow"/>
        </w:rPr>
        <w:t xml:space="preserve"> (</w:t>
      </w:r>
      <w:r w:rsidRPr="00B76561">
        <w:rPr>
          <w:i/>
          <w:highlight w:val="yellow"/>
        </w:rPr>
        <w:t>#</w:t>
      </w:r>
      <w:r w:rsidR="00B62C45">
        <w:rPr>
          <w:i/>
          <w:highlight w:val="yellow"/>
        </w:rPr>
        <w:t>16692</w:t>
      </w:r>
      <w:r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002D6703" w14:textId="77777777" w:rsidR="00B62C45" w:rsidRPr="004827A6" w:rsidRDefault="00B62C45" w:rsidP="0024140F">
      <w:pPr>
        <w:pStyle w:val="T"/>
        <w:rPr>
          <w:strike/>
          <w:color w:val="FF0000"/>
        </w:rPr>
      </w:pPr>
      <w:r w:rsidRPr="004827A6">
        <w:rPr>
          <w:strike/>
          <w:color w:val="FF0000"/>
        </w:rPr>
        <w:t xml:space="preserve">An HE AP shall not allocate an RU in a 40 MHz HE MU PPDU or HE TB PPDU to a 20 MHz operating non-AP HE STA with the 20 MHz in 40 MHz HE PPDU In 2.4 GHz Band subfield in the HE PHY Capabilities Information field in its HE Capabilities element equal to 0. </w:t>
      </w:r>
    </w:p>
    <w:p w14:paraId="2C98E582" w14:textId="37CDC053" w:rsidR="00B62C45" w:rsidRPr="004827A6" w:rsidRDefault="00B62C45" w:rsidP="0024140F">
      <w:pPr>
        <w:pStyle w:val="T"/>
        <w:rPr>
          <w:strike/>
          <w:color w:val="FF0000"/>
        </w:rPr>
      </w:pPr>
      <w:r w:rsidRPr="004827A6">
        <w:rPr>
          <w:strike/>
          <w:color w:val="FF0000"/>
        </w:rPr>
        <w:t xml:space="preserve">An HE AP shall not allocate an RU in an 160 MHz or 80+80 MHz HE MU PPDU or HE TB PPDU to a 20 MHz operating non-AP HE STA with the 20 MHz In 160/80+80 MHz HE PPDU subfield in the HE PHY Capabilities Information field in its HE Capabilities element equal to 0. </w:t>
      </w:r>
    </w:p>
    <w:p w14:paraId="5D4B18CB" w14:textId="1938C56B" w:rsidR="0024140F" w:rsidRDefault="0024140F" w:rsidP="0024140F">
      <w:pPr>
        <w:pStyle w:val="T"/>
        <w:rPr>
          <w:b/>
          <w:i/>
        </w:rPr>
      </w:pPr>
      <w:r w:rsidRPr="007735CF">
        <w:rPr>
          <w:b/>
          <w:i/>
        </w:rPr>
        <w:t>------------- End Text Changes ---------------</w:t>
      </w:r>
    </w:p>
    <w:p w14:paraId="2EA611B2" w14:textId="21A8063F" w:rsidR="00D01ED3" w:rsidRPr="007735CF" w:rsidRDefault="00D01ED3" w:rsidP="00D01ED3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TGax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4</w:t>
      </w:r>
      <w:r w:rsidR="00A7309B">
        <w:rPr>
          <w:b/>
          <w:i/>
          <w:highlight w:val="yellow"/>
        </w:rPr>
        <w:t>40</w:t>
      </w:r>
      <w:r w:rsidRPr="007735CF">
        <w:rPr>
          <w:b/>
          <w:i/>
          <w:highlight w:val="yellow"/>
        </w:rPr>
        <w:t>L</w:t>
      </w:r>
      <w:r w:rsidR="00A7309B">
        <w:rPr>
          <w:b/>
          <w:i/>
          <w:highlight w:val="yellow"/>
        </w:rPr>
        <w:t>29</w:t>
      </w:r>
      <w:r w:rsidRPr="007735CF">
        <w:rPr>
          <w:i/>
        </w:rPr>
        <w:t xml:space="preserve"> </w:t>
      </w:r>
      <w:r>
        <w:rPr>
          <w:i/>
        </w:rPr>
        <w:t>delete</w:t>
      </w:r>
      <w:r w:rsidRPr="007735CF">
        <w:rPr>
          <w:i/>
        </w:rPr>
        <w:t xml:space="preserve"> the current text with the proposed changes below.</w:t>
      </w:r>
      <w:r w:rsidRPr="00B76561">
        <w:rPr>
          <w:highlight w:val="yellow"/>
        </w:rPr>
        <w:t xml:space="preserve"> 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340197B5" w14:textId="77777777" w:rsidR="00D01ED3" w:rsidRPr="001E6999" w:rsidRDefault="00D01ED3" w:rsidP="00D01ED3">
      <w:pPr>
        <w:pStyle w:val="T"/>
        <w:rPr>
          <w:strike/>
          <w:color w:val="FF0000"/>
        </w:rPr>
      </w:pPr>
      <w:r w:rsidRPr="001E6999">
        <w:rPr>
          <w:strike/>
          <w:color w:val="FF0000"/>
        </w:rPr>
        <w:t xml:space="preserve">The center 26-tone RU in any 20 MHz channel of a 40 MHz, 80 MHz, 160 MHz, or 80+80 MHz HE MU PPDU shall not be assigned to a 20 MHz operating non-AP STA. </w:t>
      </w:r>
    </w:p>
    <w:p w14:paraId="3C25BD84" w14:textId="77777777" w:rsidR="00D01ED3" w:rsidRPr="001E6999" w:rsidRDefault="00D01ED3" w:rsidP="00D01ED3">
      <w:pPr>
        <w:pStyle w:val="T"/>
        <w:rPr>
          <w:strike/>
          <w:color w:val="FF0000"/>
        </w:rPr>
      </w:pPr>
      <w:r w:rsidRPr="001E6999">
        <w:rPr>
          <w:strike/>
          <w:color w:val="FF0000"/>
        </w:rPr>
        <w:t xml:space="preserve">An HE AP shall not allocate to a 20 MHz operating non-AP HE STA a 242-tone RU in a 40 MHz HE MU PPDU transmitted in the 2.4 GHz band unless the non-AP STA has B4 of the Channel Width Set subfield of the HE PHY Capabilities Information field equal to 1 in the HE Capabilities element it transmits. </w:t>
      </w:r>
    </w:p>
    <w:p w14:paraId="0EE444BA" w14:textId="77777777" w:rsidR="00D01ED3" w:rsidRPr="001E6999" w:rsidRDefault="00D01ED3" w:rsidP="00D01ED3">
      <w:pPr>
        <w:pStyle w:val="T"/>
        <w:rPr>
          <w:strike/>
          <w:color w:val="FF0000"/>
        </w:rPr>
      </w:pPr>
      <w:r w:rsidRPr="001E6999">
        <w:rPr>
          <w:strike/>
          <w:color w:val="FF0000"/>
        </w:rPr>
        <w:t xml:space="preserve">An HE AP shall not allocate to a 20 MHz operating non-AP HE STA a 242-tone RU in a 40 MHz, 80 MHz, 160 MHz or 80+80 MHz HE MU PPDU transmitted in the 5 GHz band unless the non-AP HE STA has B5 of the Channel Width Set subfield of the HE PHY Capabilities Information field equal to 1 in the HE Capabilities element it transmits. </w:t>
      </w:r>
    </w:p>
    <w:p w14:paraId="662D49E4" w14:textId="77777777" w:rsidR="00D01ED3" w:rsidRPr="001E6999" w:rsidRDefault="00D01ED3" w:rsidP="00D01ED3">
      <w:pPr>
        <w:pStyle w:val="T"/>
        <w:rPr>
          <w:strike/>
          <w:color w:val="FF0000"/>
        </w:rPr>
      </w:pPr>
      <w:r w:rsidRPr="001E6999">
        <w:rPr>
          <w:strike/>
          <w:color w:val="FF0000"/>
        </w:rPr>
        <w:t xml:space="preserve">An HE AP shall not allocate to a 20 MHz operating non-AP HE STA a 242-tone RU for a 40 MHz, 80 MHz, 160 MHz, or 80+80 MHz HE TB PPDU transmission. </w:t>
      </w:r>
    </w:p>
    <w:p w14:paraId="19B2AECE" w14:textId="7278A41D" w:rsidR="004827A6" w:rsidRDefault="00D01ED3" w:rsidP="00D01ED3">
      <w:pPr>
        <w:pStyle w:val="T"/>
        <w:jc w:val="left"/>
        <w:rPr>
          <w:b/>
          <w:i/>
        </w:rPr>
      </w:pPr>
      <w:r w:rsidRPr="007735CF">
        <w:rPr>
          <w:b/>
          <w:i/>
        </w:rPr>
        <w:t>------------- End Text Changes ---------------</w:t>
      </w:r>
    </w:p>
    <w:p w14:paraId="76BC7340" w14:textId="6976C4D8" w:rsidR="00D01ED3" w:rsidRPr="007735CF" w:rsidRDefault="00D01ED3" w:rsidP="00D01ED3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TGax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4</w:t>
      </w:r>
      <w:r w:rsidR="003A68DC">
        <w:rPr>
          <w:b/>
          <w:i/>
          <w:highlight w:val="yellow"/>
        </w:rPr>
        <w:t>40</w:t>
      </w:r>
      <w:r w:rsidRPr="007735CF">
        <w:rPr>
          <w:b/>
          <w:i/>
          <w:highlight w:val="yellow"/>
        </w:rPr>
        <w:t>L</w:t>
      </w:r>
      <w:r w:rsidR="000B314A">
        <w:rPr>
          <w:b/>
          <w:i/>
          <w:highlight w:val="yellow"/>
        </w:rPr>
        <w:t>50</w:t>
      </w:r>
      <w:r w:rsidRPr="007735CF">
        <w:rPr>
          <w:i/>
        </w:rPr>
        <w:t xml:space="preserve"> </w:t>
      </w:r>
      <w:r>
        <w:rPr>
          <w:i/>
        </w:rPr>
        <w:t>delete</w:t>
      </w:r>
      <w:r w:rsidRPr="007735CF">
        <w:rPr>
          <w:i/>
        </w:rPr>
        <w:t xml:space="preserve"> the current text with the proposed changes below.</w:t>
      </w:r>
      <w:r w:rsidRPr="00B76561">
        <w:rPr>
          <w:highlight w:val="yellow"/>
        </w:rPr>
        <w:t xml:space="preserve"> 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16694</w:t>
      </w:r>
      <w:r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54A5E06C" w14:textId="77777777" w:rsidR="00D01ED3" w:rsidRPr="00D01ED3" w:rsidRDefault="00D01ED3" w:rsidP="00D01ED3">
      <w:pPr>
        <w:pStyle w:val="T"/>
        <w:jc w:val="left"/>
        <w:rPr>
          <w:b/>
          <w:bCs/>
          <w:strike/>
          <w:color w:val="FF0000"/>
        </w:rPr>
      </w:pPr>
      <w:r w:rsidRPr="00D01ED3">
        <w:rPr>
          <w:b/>
          <w:bCs/>
          <w:strike/>
          <w:color w:val="FF0000"/>
        </w:rPr>
        <w:t xml:space="preserve">28.3.2.9 80 MHz operating non-AP HE STAs </w:t>
      </w:r>
    </w:p>
    <w:p w14:paraId="4FB17988" w14:textId="77777777" w:rsidR="00D01ED3" w:rsidRPr="00F97E3C" w:rsidRDefault="00D01ED3" w:rsidP="00D01ED3">
      <w:pPr>
        <w:pStyle w:val="T"/>
        <w:jc w:val="left"/>
        <w:rPr>
          <w:strike/>
          <w:color w:val="FF0000"/>
        </w:rPr>
      </w:pPr>
      <w:r w:rsidRPr="00F97E3C">
        <w:rPr>
          <w:strike/>
          <w:color w:val="FF0000"/>
        </w:rPr>
        <w:t xml:space="preserve">A non-AP HE STA capable of up to 80 MHz channel width, when operating with 80 MHz channel width, indicates support of reception of 160 MHz or 80+80 MHz HE MU PPDU, or the transmission of 160 MHz or 80+80 MHz HE TB PPDU in the 80 MHz In 160/80+80 MHz HE PPDU subfield in the HE PHY Capa-bilities Information field in the HE Capabilities element (see 9.4.2.237.3 (HE PHY Capabilities Information field)). </w:t>
      </w:r>
    </w:p>
    <w:p w14:paraId="6DC91CA1" w14:textId="7A9F634D" w:rsidR="00D01ED3" w:rsidRPr="00F97E3C" w:rsidRDefault="00D01ED3" w:rsidP="00D01ED3">
      <w:pPr>
        <w:pStyle w:val="T"/>
        <w:jc w:val="left"/>
        <w:rPr>
          <w:b/>
          <w:i/>
          <w:strike/>
          <w:color w:val="FF0000"/>
        </w:rPr>
      </w:pPr>
      <w:r w:rsidRPr="00F97E3C">
        <w:rPr>
          <w:strike/>
          <w:color w:val="FF0000"/>
        </w:rPr>
        <w:t>An HE AP STA shall not allocate RUs outside of the primary 80 MHz when allocating an RU in an 160 MHz or 80+80 MHz HE MU PPDU or HE TB PPDU to a non-AP HE STA that sets the 80 MHz In 160/ 80+80 MHz HE PPDU subfield in the HE PHY Capabilities Information field in the HE Capabilities ele-ment to 1 and is operating in 80 MHz channel width mode.</w:t>
      </w:r>
    </w:p>
    <w:p w14:paraId="2268EF03" w14:textId="71BFFFE6" w:rsidR="00D01ED3" w:rsidRDefault="00D01ED3" w:rsidP="00D01ED3">
      <w:pPr>
        <w:pStyle w:val="T"/>
        <w:jc w:val="left"/>
        <w:rPr>
          <w:b/>
          <w:i/>
        </w:rPr>
      </w:pPr>
      <w:r w:rsidRPr="007735CF">
        <w:rPr>
          <w:b/>
          <w:i/>
        </w:rPr>
        <w:lastRenderedPageBreak/>
        <w:t>------------- End Text Changes ---------------</w:t>
      </w:r>
    </w:p>
    <w:p w14:paraId="133F195B" w14:textId="77777777" w:rsidR="00D01ED3" w:rsidRDefault="00D01ED3" w:rsidP="00B62C45">
      <w:pPr>
        <w:pStyle w:val="T"/>
        <w:jc w:val="left"/>
        <w:rPr>
          <w:b/>
          <w:i/>
        </w:rPr>
      </w:pPr>
    </w:p>
    <w:p w14:paraId="6BE33094" w14:textId="2FCA2024" w:rsidR="00B62C45" w:rsidRPr="007735CF" w:rsidRDefault="00B62C45" w:rsidP="00B62C45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TGax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2</w:t>
      </w:r>
      <w:r w:rsidR="005F2AAE">
        <w:rPr>
          <w:b/>
          <w:i/>
          <w:highlight w:val="yellow"/>
        </w:rPr>
        <w:t>9</w:t>
      </w:r>
      <w:r>
        <w:rPr>
          <w:b/>
          <w:i/>
          <w:highlight w:val="yellow"/>
        </w:rPr>
        <w:t>0</w:t>
      </w:r>
      <w:r w:rsidRPr="007735CF">
        <w:rPr>
          <w:b/>
          <w:i/>
          <w:highlight w:val="yellow"/>
        </w:rPr>
        <w:t>L</w:t>
      </w:r>
      <w:r w:rsidR="005F2AAE">
        <w:rPr>
          <w:b/>
          <w:i/>
          <w:highlight w:val="yellow"/>
        </w:rPr>
        <w:t>01</w:t>
      </w:r>
      <w:r w:rsidRPr="007735CF">
        <w:rPr>
          <w:i/>
        </w:rPr>
        <w:t xml:space="preserve"> replace the current text with the proposed changes below.</w:t>
      </w:r>
      <w:r w:rsidRPr="00B76561">
        <w:rPr>
          <w:highlight w:val="yellow"/>
        </w:rPr>
        <w:t xml:space="preserve"> 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50B71CB4" w14:textId="77777777" w:rsidR="00B62C45" w:rsidRDefault="00B62C45" w:rsidP="00B62C45">
      <w:pPr>
        <w:pStyle w:val="T"/>
        <w:rPr>
          <w:b/>
          <w:bCs/>
        </w:rPr>
      </w:pPr>
      <w:r>
        <w:rPr>
          <w:b/>
          <w:bCs/>
        </w:rPr>
        <w:t xml:space="preserve">27.5.1.3 RU allocation in an HE MU PPDU </w:t>
      </w:r>
    </w:p>
    <w:p w14:paraId="46038C77" w14:textId="1C1F7710" w:rsidR="00B62C45" w:rsidRPr="00B62C45" w:rsidRDefault="00B62C45" w:rsidP="00B62C45">
      <w:pPr>
        <w:pStyle w:val="T"/>
        <w:rPr>
          <w:color w:val="FF0000"/>
          <w:u w:val="single"/>
        </w:rPr>
      </w:pPr>
      <w:r w:rsidRPr="00B62C45">
        <w:rPr>
          <w:color w:val="FF0000"/>
          <w:u w:val="single"/>
        </w:rPr>
        <w:t xml:space="preserve">An HE AP shall not allocate an RU in a 40 MHz HE MU PPDU to a 20 MHz operating non-AP HE STA with the 20 MHz in 40 MHz HE PPDU In 2.4 GHz Band subfield in the HE PHY Capabilities Information field in its HE Capabilities element equal to 0. </w:t>
      </w:r>
      <w:r w:rsidR="00D01ED3" w:rsidRPr="00B76561">
        <w:rPr>
          <w:highlight w:val="yellow"/>
        </w:rPr>
        <w:t>(</w:t>
      </w:r>
      <w:r w:rsidR="00D01ED3" w:rsidRPr="00B76561">
        <w:rPr>
          <w:i/>
          <w:highlight w:val="yellow"/>
        </w:rPr>
        <w:t>#</w:t>
      </w:r>
      <w:r w:rsidR="00D01ED3">
        <w:rPr>
          <w:i/>
          <w:highlight w:val="yellow"/>
        </w:rPr>
        <w:t>16692</w:t>
      </w:r>
      <w:r w:rsidR="00D01ED3" w:rsidRPr="00B76561">
        <w:rPr>
          <w:highlight w:val="yellow"/>
        </w:rPr>
        <w:t>)</w:t>
      </w:r>
    </w:p>
    <w:p w14:paraId="11307917" w14:textId="6B57FBC1" w:rsidR="00B62C45" w:rsidRDefault="00B62C45" w:rsidP="00B62C45">
      <w:pPr>
        <w:pStyle w:val="T"/>
        <w:rPr>
          <w:highlight w:val="yellow"/>
        </w:rPr>
      </w:pPr>
      <w:r w:rsidRPr="00B62C45">
        <w:rPr>
          <w:color w:val="FF0000"/>
          <w:u w:val="single"/>
        </w:rPr>
        <w:t xml:space="preserve">An HE AP shall not allocate an RU in an 160 MHz or 80+80 MHz HE MU PPDU to a 20 MHz operating non-AP HE STA with the 20 MHz In 160/80+80 MHz HE PPDU subfield in the HE PHY Capabilities Information field in its HE Capabilities element equal to 0. </w:t>
      </w:r>
      <w:r w:rsidR="00D01ED3" w:rsidRPr="00B76561">
        <w:rPr>
          <w:highlight w:val="yellow"/>
        </w:rPr>
        <w:t>(</w:t>
      </w:r>
      <w:r w:rsidR="00D01ED3" w:rsidRPr="00B76561">
        <w:rPr>
          <w:i/>
          <w:highlight w:val="yellow"/>
        </w:rPr>
        <w:t>#</w:t>
      </w:r>
      <w:r w:rsidR="00D01ED3">
        <w:rPr>
          <w:i/>
          <w:highlight w:val="yellow"/>
        </w:rPr>
        <w:t>16692</w:t>
      </w:r>
      <w:r w:rsidR="00D01ED3" w:rsidRPr="00B76561">
        <w:rPr>
          <w:highlight w:val="yellow"/>
        </w:rPr>
        <w:t>)</w:t>
      </w:r>
    </w:p>
    <w:p w14:paraId="1DEBBBDA" w14:textId="66200E1B" w:rsidR="00D01ED3" w:rsidRPr="001E6999" w:rsidRDefault="00D01ED3" w:rsidP="00D01ED3">
      <w:pPr>
        <w:pStyle w:val="T"/>
        <w:rPr>
          <w:color w:val="FF0000"/>
          <w:u w:val="single"/>
        </w:rPr>
      </w:pPr>
      <w:r w:rsidRPr="001E6999">
        <w:rPr>
          <w:color w:val="FF0000"/>
          <w:u w:val="single"/>
        </w:rPr>
        <w:t xml:space="preserve">The center 26-tone RU in any 20 MHz channel of a 40 MHz, 80 MHz, 160 MHz, or 80+80 MHz HE MU PPDU shall not be assigned to a 20 MHz operating non-AP STA. </w:t>
      </w:r>
      <w:r w:rsidRPr="00B76561">
        <w:rPr>
          <w:highlight w:val="yellow"/>
        </w:rPr>
        <w:t>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</w:p>
    <w:p w14:paraId="7792674B" w14:textId="76CA0CA7" w:rsidR="00D01ED3" w:rsidRPr="001E6999" w:rsidRDefault="00D01ED3" w:rsidP="00D01ED3">
      <w:pPr>
        <w:pStyle w:val="T"/>
        <w:rPr>
          <w:color w:val="FF0000"/>
          <w:u w:val="single"/>
        </w:rPr>
      </w:pPr>
      <w:r w:rsidRPr="001E6999">
        <w:rPr>
          <w:color w:val="FF0000"/>
          <w:u w:val="single"/>
        </w:rPr>
        <w:t xml:space="preserve">An HE AP shall not allocate to a 20 MHz operating non-AP HE STA a 242-tone RU in a 40 MHz HE MU PPDU transmitted in the 2.4 GHz band unless the non-AP STA has B4 of the Channel Width Set subfield of the HE PHY Capabilities Information field equal to 1 in the HE Capabilities element it transmits. </w:t>
      </w:r>
      <w:r w:rsidRPr="00B76561">
        <w:rPr>
          <w:highlight w:val="yellow"/>
        </w:rPr>
        <w:t>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</w:p>
    <w:p w14:paraId="4691A4ED" w14:textId="007E9578" w:rsidR="00D01ED3" w:rsidRDefault="00D01ED3" w:rsidP="00D01ED3">
      <w:pPr>
        <w:pStyle w:val="T"/>
        <w:rPr>
          <w:color w:val="FF0000"/>
          <w:u w:val="single"/>
        </w:rPr>
      </w:pPr>
      <w:r w:rsidRPr="001E6999">
        <w:rPr>
          <w:color w:val="FF0000"/>
          <w:u w:val="single"/>
        </w:rPr>
        <w:t>An HE AP shall not allocate to a 20 MHz operating non-AP HE STA a 242-tone RU in a 40 MHz, 80 MHz, 160 MHz or 80+80 MHz HE MU PPDU transmitted in the 5 GHz band unless the non-AP HE STA has B5 of the Channel Width Set subfield of the HE PHY Capabilities Information field equal to 1 in the HE Capabilities element it transmits.</w:t>
      </w:r>
      <w:r>
        <w:rPr>
          <w:color w:val="FF0000"/>
          <w:u w:val="single"/>
        </w:rPr>
        <w:t xml:space="preserve"> </w:t>
      </w:r>
      <w:r w:rsidRPr="00B76561">
        <w:rPr>
          <w:highlight w:val="yellow"/>
        </w:rPr>
        <w:t>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</w:p>
    <w:p w14:paraId="75D2B335" w14:textId="691A3157" w:rsidR="00D01ED3" w:rsidRPr="00D01ED3" w:rsidRDefault="00D01ED3" w:rsidP="00D01ED3">
      <w:pPr>
        <w:pStyle w:val="T"/>
        <w:jc w:val="left"/>
        <w:rPr>
          <w:color w:val="FF0000"/>
          <w:u w:val="single"/>
        </w:rPr>
      </w:pPr>
      <w:r w:rsidRPr="00D01ED3">
        <w:rPr>
          <w:color w:val="FF0000"/>
          <w:u w:val="single"/>
        </w:rPr>
        <w:t xml:space="preserve">A non-AP HE STA capable of up to 80 MHz channel width, when operating with 80 MHz channel width, indicates support of reception of 160 MHz or 80+80 MHz HE MU PPDU in the 80 MHz In 160/80+80 MHz HE PPDU subfield in the HE PHY Capa-bilities Information field in the HE Capabilities element (see 9.4.2.237.3 (HE PHY Capabilities Information field)). </w:t>
      </w:r>
      <w:r w:rsidR="00F97E3C" w:rsidRPr="00B76561">
        <w:rPr>
          <w:highlight w:val="yellow"/>
        </w:rPr>
        <w:t>(</w:t>
      </w:r>
      <w:r w:rsidR="00F97E3C" w:rsidRPr="00B76561">
        <w:rPr>
          <w:i/>
          <w:highlight w:val="yellow"/>
        </w:rPr>
        <w:t>#</w:t>
      </w:r>
      <w:r w:rsidR="00F97E3C">
        <w:rPr>
          <w:i/>
          <w:highlight w:val="yellow"/>
        </w:rPr>
        <w:t>16694</w:t>
      </w:r>
      <w:r w:rsidR="00F97E3C" w:rsidRPr="00B76561">
        <w:rPr>
          <w:highlight w:val="yellow"/>
        </w:rPr>
        <w:t>)</w:t>
      </w:r>
    </w:p>
    <w:p w14:paraId="2F31E4C0" w14:textId="3795BB56" w:rsidR="00D01ED3" w:rsidRPr="00D01ED3" w:rsidRDefault="00D01ED3" w:rsidP="00D01ED3">
      <w:pPr>
        <w:pStyle w:val="T"/>
        <w:jc w:val="left"/>
        <w:rPr>
          <w:b/>
          <w:i/>
          <w:color w:val="FF0000"/>
          <w:u w:val="single"/>
        </w:rPr>
      </w:pPr>
      <w:r w:rsidRPr="00D01ED3">
        <w:rPr>
          <w:color w:val="FF0000"/>
          <w:u w:val="single"/>
        </w:rPr>
        <w:t>An HE AP STA shall not allocate RUs outside of the primary 80 MHz when allocating an RU in an 160 MHz or 80+80 MHz HE MU PPDU to a non-AP HE STA that sets the 80 MHz In 160/ 80+80 MHz HE PPDU subfield in the HE PHY Capabilities Information field in the HE Capabilities ele-ment to 1 and is operating in 80 MHz channel width mode.</w:t>
      </w:r>
      <w:r w:rsidR="00F97E3C" w:rsidRPr="00F97E3C">
        <w:rPr>
          <w:highlight w:val="yellow"/>
        </w:rPr>
        <w:t xml:space="preserve"> </w:t>
      </w:r>
      <w:r w:rsidR="00F97E3C" w:rsidRPr="00B76561">
        <w:rPr>
          <w:highlight w:val="yellow"/>
        </w:rPr>
        <w:t>(</w:t>
      </w:r>
      <w:r w:rsidR="00F97E3C" w:rsidRPr="00B76561">
        <w:rPr>
          <w:i/>
          <w:highlight w:val="yellow"/>
        </w:rPr>
        <w:t>#</w:t>
      </w:r>
      <w:r w:rsidR="00F97E3C">
        <w:rPr>
          <w:i/>
          <w:highlight w:val="yellow"/>
        </w:rPr>
        <w:t>16694</w:t>
      </w:r>
      <w:r w:rsidR="00F97E3C" w:rsidRPr="00B76561">
        <w:rPr>
          <w:highlight w:val="yellow"/>
        </w:rPr>
        <w:t>)</w:t>
      </w:r>
    </w:p>
    <w:p w14:paraId="6BB51016" w14:textId="66604B8B" w:rsidR="00B62C45" w:rsidRDefault="00B62C45" w:rsidP="00B62C45">
      <w:pPr>
        <w:pStyle w:val="T"/>
      </w:pPr>
      <w:r>
        <w:t>An HE MU PPDU shall have a sufficient number of RUs allocated to users such that all of the following conditions are satisfied:</w:t>
      </w:r>
    </w:p>
    <w:p w14:paraId="71A52F80" w14:textId="77777777" w:rsidR="001E6999" w:rsidRDefault="001E6999" w:rsidP="001E6999">
      <w:pPr>
        <w:pStyle w:val="T"/>
        <w:rPr>
          <w:b/>
          <w:i/>
        </w:rPr>
      </w:pPr>
      <w:r w:rsidRPr="007735CF">
        <w:rPr>
          <w:b/>
          <w:i/>
        </w:rPr>
        <w:t>----------- End Text Changes ---------------</w:t>
      </w:r>
    </w:p>
    <w:p w14:paraId="488E2F4E" w14:textId="77777777" w:rsidR="004827A6" w:rsidRDefault="004827A6" w:rsidP="00B62C45">
      <w:pPr>
        <w:pStyle w:val="T"/>
        <w:jc w:val="left"/>
        <w:rPr>
          <w:b/>
          <w:i/>
        </w:rPr>
      </w:pPr>
    </w:p>
    <w:p w14:paraId="64C7A68A" w14:textId="656ECCD9" w:rsidR="00B62C45" w:rsidRPr="007735CF" w:rsidRDefault="00B62C45" w:rsidP="00B62C45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TGax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2</w:t>
      </w:r>
      <w:r w:rsidR="00EE3555">
        <w:rPr>
          <w:b/>
          <w:i/>
          <w:highlight w:val="yellow"/>
        </w:rPr>
        <w:t>9</w:t>
      </w:r>
      <w:r>
        <w:rPr>
          <w:b/>
          <w:i/>
          <w:highlight w:val="yellow"/>
        </w:rPr>
        <w:t>2</w:t>
      </w:r>
      <w:r w:rsidRPr="007735CF">
        <w:rPr>
          <w:b/>
          <w:i/>
          <w:highlight w:val="yellow"/>
        </w:rPr>
        <w:t>L</w:t>
      </w:r>
      <w:r w:rsidR="00EE3555">
        <w:rPr>
          <w:b/>
          <w:i/>
          <w:highlight w:val="yellow"/>
        </w:rPr>
        <w:t>59</w:t>
      </w:r>
      <w:r w:rsidRPr="007735CF">
        <w:rPr>
          <w:i/>
        </w:rPr>
        <w:t xml:space="preserve"> replace the current text with the proposed changes below.</w:t>
      </w:r>
      <w:r w:rsidRPr="00B76561">
        <w:rPr>
          <w:highlight w:val="yellow"/>
        </w:rPr>
        <w:t xml:space="preserve"> 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16692</w:t>
      </w:r>
      <w:r w:rsidRPr="00B76561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1BC797C8" w14:textId="77777777" w:rsidR="00B62C45" w:rsidRDefault="00B62C45" w:rsidP="00B62C45">
      <w:pPr>
        <w:pStyle w:val="T"/>
        <w:rPr>
          <w:b/>
          <w:bCs/>
        </w:rPr>
      </w:pPr>
      <w:r>
        <w:rPr>
          <w:b/>
          <w:bCs/>
        </w:rPr>
        <w:t xml:space="preserve">27.5.3.2 Rules for soliciting UL MU frames </w:t>
      </w:r>
    </w:p>
    <w:p w14:paraId="00636D4E" w14:textId="016506EE" w:rsidR="00B62C45" w:rsidRDefault="00B62C45" w:rsidP="00B62C45">
      <w:pPr>
        <w:pStyle w:val="T"/>
      </w:pPr>
      <w:r>
        <w:rPr>
          <w:b/>
          <w:bCs/>
        </w:rPr>
        <w:t xml:space="preserve">27.5.3.2.1 General </w:t>
      </w:r>
    </w:p>
    <w:p w14:paraId="3F50C6EE" w14:textId="48A52C5A" w:rsidR="00B62C45" w:rsidRPr="00B62C45" w:rsidRDefault="00B62C45" w:rsidP="00B62C45">
      <w:pPr>
        <w:pStyle w:val="T"/>
        <w:rPr>
          <w:color w:val="FF0000"/>
          <w:u w:val="single"/>
        </w:rPr>
      </w:pPr>
      <w:r w:rsidRPr="00B62C45">
        <w:rPr>
          <w:color w:val="FF0000"/>
          <w:u w:val="single"/>
        </w:rPr>
        <w:t xml:space="preserve">An HE AP shall not allocate an RU in a 40 MHz HE TB PPDU to a 20 MHz operating non-AP HE STA with the 20 MHz in 40 MHz HE PPDU In 2.4 GHz Band subfield in the HE PHY Capabilities Information field in its HE Capabilities element equal to 0. </w:t>
      </w:r>
      <w:r w:rsidR="00D01ED3" w:rsidRPr="00B76561">
        <w:rPr>
          <w:highlight w:val="yellow"/>
        </w:rPr>
        <w:t>(</w:t>
      </w:r>
      <w:r w:rsidR="00D01ED3" w:rsidRPr="00B76561">
        <w:rPr>
          <w:i/>
          <w:highlight w:val="yellow"/>
        </w:rPr>
        <w:t>#</w:t>
      </w:r>
      <w:r w:rsidR="00D01ED3">
        <w:rPr>
          <w:i/>
          <w:highlight w:val="yellow"/>
        </w:rPr>
        <w:t>16692</w:t>
      </w:r>
      <w:r w:rsidR="00D01ED3" w:rsidRPr="00B76561">
        <w:rPr>
          <w:highlight w:val="yellow"/>
        </w:rPr>
        <w:t>)</w:t>
      </w:r>
    </w:p>
    <w:p w14:paraId="18EC7EF7" w14:textId="2961FF85" w:rsidR="00B62C45" w:rsidRDefault="00B62C45" w:rsidP="00B62C45">
      <w:pPr>
        <w:pStyle w:val="T"/>
        <w:rPr>
          <w:highlight w:val="yellow"/>
        </w:rPr>
      </w:pPr>
      <w:r w:rsidRPr="00B62C45">
        <w:rPr>
          <w:color w:val="FF0000"/>
          <w:u w:val="single"/>
        </w:rPr>
        <w:lastRenderedPageBreak/>
        <w:t xml:space="preserve">An HE AP shall not allocate an RU in an 160 MHz or 80+80 MHz HE TB PPDU to a 20 MHz operating non-AP HE STA with the 20 MHz In 160/80+80 MHz HE PPDU in the HE PHY Capabilities Information field in its HE Capabilities element equal to 0. </w:t>
      </w:r>
      <w:r w:rsidR="00D01ED3" w:rsidRPr="00B76561">
        <w:rPr>
          <w:highlight w:val="yellow"/>
        </w:rPr>
        <w:t>(</w:t>
      </w:r>
      <w:r w:rsidR="00D01ED3" w:rsidRPr="00B76561">
        <w:rPr>
          <w:i/>
          <w:highlight w:val="yellow"/>
        </w:rPr>
        <w:t>#</w:t>
      </w:r>
      <w:r w:rsidR="00D01ED3">
        <w:rPr>
          <w:i/>
          <w:highlight w:val="yellow"/>
        </w:rPr>
        <w:t>16692</w:t>
      </w:r>
      <w:r w:rsidR="00D01ED3" w:rsidRPr="00B76561">
        <w:rPr>
          <w:highlight w:val="yellow"/>
        </w:rPr>
        <w:t>)</w:t>
      </w:r>
    </w:p>
    <w:p w14:paraId="305D8F51" w14:textId="061FEDE1" w:rsidR="00D01ED3" w:rsidRDefault="00D01ED3" w:rsidP="00D01ED3">
      <w:pPr>
        <w:pStyle w:val="T"/>
        <w:rPr>
          <w:color w:val="FF0000"/>
          <w:u w:val="single"/>
        </w:rPr>
      </w:pPr>
      <w:r w:rsidRPr="001E6999">
        <w:rPr>
          <w:color w:val="FF0000"/>
          <w:u w:val="single"/>
        </w:rPr>
        <w:t>An HE AP shall not allocate to a 20 MHz operating non-AP HE STA a 242-tone RU for a 40 MHz, 80 MHz, 160 MHz, or 80+80 MHz HE TB PPDU transmission.</w:t>
      </w:r>
      <w:r w:rsidRPr="00D01ED3">
        <w:rPr>
          <w:highlight w:val="yellow"/>
        </w:rPr>
        <w:t xml:space="preserve"> </w:t>
      </w:r>
      <w:r w:rsidRPr="00B76561">
        <w:rPr>
          <w:highlight w:val="yellow"/>
        </w:rPr>
        <w:t>(</w:t>
      </w:r>
      <w:r w:rsidRPr="00B76561">
        <w:rPr>
          <w:i/>
          <w:highlight w:val="yellow"/>
        </w:rPr>
        <w:t>#</w:t>
      </w:r>
      <w:r>
        <w:rPr>
          <w:i/>
          <w:highlight w:val="yellow"/>
        </w:rPr>
        <w:t>16693</w:t>
      </w:r>
      <w:r w:rsidRPr="00B76561">
        <w:rPr>
          <w:highlight w:val="yellow"/>
        </w:rPr>
        <w:t>)</w:t>
      </w:r>
    </w:p>
    <w:p w14:paraId="28217431" w14:textId="2DDD6EC6" w:rsidR="00D01ED3" w:rsidRPr="00F97E3C" w:rsidRDefault="00D01ED3" w:rsidP="00D01ED3">
      <w:pPr>
        <w:pStyle w:val="T"/>
        <w:jc w:val="left"/>
        <w:rPr>
          <w:color w:val="FF0000"/>
          <w:u w:val="single"/>
        </w:rPr>
      </w:pPr>
      <w:r w:rsidRPr="00F97E3C">
        <w:rPr>
          <w:color w:val="FF0000"/>
          <w:u w:val="single"/>
        </w:rPr>
        <w:t xml:space="preserve">A non-AP HE STA capable of up to 80 MHz channel width, when operating with 80 MHz channel width, indicates support of the transmission of 160 MHz or 80+80 MHz HE TB PPDU in the 80 MHz In 160/80+80 MHz HE PPDU subfield in the HE PHY Capabilities Information field in the HE Capabilities element (see 9.4.2.237.3 (HE PHY Capabilities Information field)). </w:t>
      </w:r>
      <w:r w:rsidR="00F97E3C" w:rsidRPr="00B76561">
        <w:rPr>
          <w:highlight w:val="yellow"/>
        </w:rPr>
        <w:t>(</w:t>
      </w:r>
      <w:r w:rsidR="00F97E3C" w:rsidRPr="00B76561">
        <w:rPr>
          <w:i/>
          <w:highlight w:val="yellow"/>
        </w:rPr>
        <w:t>#</w:t>
      </w:r>
      <w:r w:rsidR="00F97E3C">
        <w:rPr>
          <w:i/>
          <w:highlight w:val="yellow"/>
        </w:rPr>
        <w:t>16694</w:t>
      </w:r>
      <w:r w:rsidR="00F97E3C" w:rsidRPr="00B76561">
        <w:rPr>
          <w:highlight w:val="yellow"/>
        </w:rPr>
        <w:t>)</w:t>
      </w:r>
    </w:p>
    <w:p w14:paraId="2673387F" w14:textId="0F9B3BCC" w:rsidR="00D01ED3" w:rsidRDefault="00D01ED3" w:rsidP="00D01ED3">
      <w:pPr>
        <w:pStyle w:val="T"/>
        <w:jc w:val="left"/>
        <w:rPr>
          <w:highlight w:val="yellow"/>
        </w:rPr>
      </w:pPr>
      <w:r w:rsidRPr="00F97E3C">
        <w:rPr>
          <w:color w:val="FF0000"/>
          <w:u w:val="single"/>
        </w:rPr>
        <w:t>An HE AP STA shall not allocate RUs outside of the primary 80 MHz when allocating an RU in an 160 MHz or 80+80 MHz HE TB PPDU to a non-AP HE STA that sets the 80 MHz In 160/ 80+80 MHz HE PPDU subfield in the HE PHY Capabilities Information field in the HE Capabilities ele-ment to 1 and is operating in 80 MHz channel width mode.</w:t>
      </w:r>
      <w:r w:rsidR="00F97E3C">
        <w:rPr>
          <w:color w:val="FF0000"/>
          <w:u w:val="single"/>
        </w:rPr>
        <w:t xml:space="preserve"> </w:t>
      </w:r>
      <w:r w:rsidR="00F97E3C" w:rsidRPr="00B76561">
        <w:rPr>
          <w:highlight w:val="yellow"/>
        </w:rPr>
        <w:t>(</w:t>
      </w:r>
      <w:r w:rsidR="00F97E3C" w:rsidRPr="00B76561">
        <w:rPr>
          <w:i/>
          <w:highlight w:val="yellow"/>
        </w:rPr>
        <w:t>#</w:t>
      </w:r>
      <w:r w:rsidR="00F97E3C">
        <w:rPr>
          <w:i/>
          <w:highlight w:val="yellow"/>
        </w:rPr>
        <w:t>16694</w:t>
      </w:r>
      <w:r w:rsidR="00F97E3C" w:rsidRPr="00B76561">
        <w:rPr>
          <w:highlight w:val="yellow"/>
        </w:rPr>
        <w:t>)</w:t>
      </w:r>
    </w:p>
    <w:p w14:paraId="5D006AFF" w14:textId="18BB89A5" w:rsidR="00866AA2" w:rsidRDefault="00866AA2" w:rsidP="00B62C45">
      <w:pPr>
        <w:pStyle w:val="T"/>
      </w:pPr>
      <w:r>
        <w:t>(#15081)An AP shall not transmit a Trigger frame soliciting an HE TB PPDU that uses UL MU-MIMO within an RU that does not span the entire PPDU bandwidth to a non-AP STA(#16592) from which it has not received an HE Capabilities element with the Partial Bandwidth UL MU-MIMO subfield of the HE PHY Capabilities Information field equal to 1.</w:t>
      </w:r>
    </w:p>
    <w:p w14:paraId="31FA56DD" w14:textId="7415B0AB" w:rsidR="00B62C45" w:rsidRDefault="00B62C45" w:rsidP="00B62C45">
      <w:pPr>
        <w:pStyle w:val="T"/>
        <w:rPr>
          <w:b/>
          <w:i/>
        </w:rPr>
      </w:pPr>
      <w:r w:rsidRPr="007735CF">
        <w:rPr>
          <w:b/>
          <w:i/>
        </w:rPr>
        <w:t>----------- End Text Changes ---------------</w:t>
      </w:r>
    </w:p>
    <w:sectPr w:rsidR="00B62C4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6BA0F" w14:textId="77777777" w:rsidR="003B52DA" w:rsidRDefault="003B52DA">
      <w:r>
        <w:separator/>
      </w:r>
    </w:p>
  </w:endnote>
  <w:endnote w:type="continuationSeparator" w:id="0">
    <w:p w14:paraId="59FFA825" w14:textId="77777777" w:rsidR="003B52DA" w:rsidRDefault="003B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7208B1C4" w:rsidR="00C64097" w:rsidRDefault="003B52D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</w:instrText>
    </w:r>
    <w:r>
      <w:instrText xml:space="preserve">T  \* MERGEFORMAT </w:instrText>
    </w:r>
    <w:r>
      <w:fldChar w:fldCharType="separate"/>
    </w:r>
    <w:r w:rsidR="00B904E7">
      <w:t>Submission</w:t>
    </w:r>
    <w:r>
      <w:fldChar w:fldCharType="end"/>
    </w:r>
    <w:r w:rsidR="00C64097">
      <w:tab/>
      <w:t xml:space="preserve">page </w:t>
    </w:r>
    <w:r w:rsidR="00C64097">
      <w:fldChar w:fldCharType="begin"/>
    </w:r>
    <w:r w:rsidR="00C64097">
      <w:instrText xml:space="preserve">page </w:instrText>
    </w:r>
    <w:r w:rsidR="00C64097">
      <w:fldChar w:fldCharType="separate"/>
    </w:r>
    <w:r w:rsidR="00C21E19">
      <w:rPr>
        <w:noProof/>
      </w:rPr>
      <w:t>2</w:t>
    </w:r>
    <w:r w:rsidR="00C64097">
      <w:fldChar w:fldCharType="end"/>
    </w:r>
    <w:r w:rsidR="00C64097">
      <w:tab/>
    </w:r>
    <w:r w:rsidR="00C64097">
      <w:fldChar w:fldCharType="begin"/>
    </w:r>
    <w:r w:rsidR="00C64097">
      <w:instrText xml:space="preserve"> COMMENTS  \* MERGEFORMAT </w:instrText>
    </w:r>
    <w:r w:rsidR="00C64097">
      <w:fldChar w:fldCharType="end"/>
    </w:r>
  </w:p>
  <w:p w14:paraId="3DA233A1" w14:textId="77777777" w:rsidR="00C64097" w:rsidRDefault="00C640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B97C" w14:textId="77777777" w:rsidR="003B52DA" w:rsidRDefault="003B52DA">
      <w:r>
        <w:separator/>
      </w:r>
    </w:p>
  </w:footnote>
  <w:footnote w:type="continuationSeparator" w:id="0">
    <w:p w14:paraId="5F5C1569" w14:textId="77777777" w:rsidR="003B52DA" w:rsidRDefault="003B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61C84F76" w:rsidR="00C64097" w:rsidRDefault="00236D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C64097">
      <w:t xml:space="preserve"> 2018</w:t>
    </w:r>
    <w:r w:rsidR="00C64097">
      <w:tab/>
    </w:r>
    <w:r w:rsidR="00C64097">
      <w:tab/>
      <w:t>doc.: IEEE 802.11-18/</w:t>
    </w:r>
    <w:r w:rsidR="004E7335">
      <w:t>1734</w:t>
    </w:r>
    <w:r w:rsidR="00C64097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3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76F4"/>
    <w:rsid w:val="00011033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5686"/>
    <w:rsid w:val="00025A64"/>
    <w:rsid w:val="00027CD6"/>
    <w:rsid w:val="00031B8A"/>
    <w:rsid w:val="00031E7B"/>
    <w:rsid w:val="00036B49"/>
    <w:rsid w:val="00037BE2"/>
    <w:rsid w:val="0004049B"/>
    <w:rsid w:val="00040A8E"/>
    <w:rsid w:val="00040B6D"/>
    <w:rsid w:val="0004431E"/>
    <w:rsid w:val="00044B25"/>
    <w:rsid w:val="00044D12"/>
    <w:rsid w:val="0004596D"/>
    <w:rsid w:val="0005358F"/>
    <w:rsid w:val="000627C8"/>
    <w:rsid w:val="00066195"/>
    <w:rsid w:val="00070343"/>
    <w:rsid w:val="00074294"/>
    <w:rsid w:val="00076465"/>
    <w:rsid w:val="00076D53"/>
    <w:rsid w:val="000813F5"/>
    <w:rsid w:val="00081BF2"/>
    <w:rsid w:val="00084D3D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B2180"/>
    <w:rsid w:val="000B2CDB"/>
    <w:rsid w:val="000B314A"/>
    <w:rsid w:val="000B72A0"/>
    <w:rsid w:val="000C13F5"/>
    <w:rsid w:val="000C5543"/>
    <w:rsid w:val="000C5D9A"/>
    <w:rsid w:val="000C6CCB"/>
    <w:rsid w:val="000D1813"/>
    <w:rsid w:val="000D322B"/>
    <w:rsid w:val="000E152B"/>
    <w:rsid w:val="000E226E"/>
    <w:rsid w:val="000E4005"/>
    <w:rsid w:val="000E457A"/>
    <w:rsid w:val="000E6555"/>
    <w:rsid w:val="000E74A7"/>
    <w:rsid w:val="000E7883"/>
    <w:rsid w:val="000F031C"/>
    <w:rsid w:val="000F11CE"/>
    <w:rsid w:val="000F1E72"/>
    <w:rsid w:val="000F564E"/>
    <w:rsid w:val="000F72A7"/>
    <w:rsid w:val="000F7BF7"/>
    <w:rsid w:val="001000D3"/>
    <w:rsid w:val="00101230"/>
    <w:rsid w:val="0010131E"/>
    <w:rsid w:val="00101ADF"/>
    <w:rsid w:val="00102053"/>
    <w:rsid w:val="00103876"/>
    <w:rsid w:val="0010409F"/>
    <w:rsid w:val="0010418E"/>
    <w:rsid w:val="00104BEB"/>
    <w:rsid w:val="0010501E"/>
    <w:rsid w:val="00107591"/>
    <w:rsid w:val="00114701"/>
    <w:rsid w:val="00120F51"/>
    <w:rsid w:val="001245B3"/>
    <w:rsid w:val="00125962"/>
    <w:rsid w:val="001327FA"/>
    <w:rsid w:val="00133E7A"/>
    <w:rsid w:val="00133FB8"/>
    <w:rsid w:val="001347EE"/>
    <w:rsid w:val="00134F75"/>
    <w:rsid w:val="00135C70"/>
    <w:rsid w:val="00136DDD"/>
    <w:rsid w:val="00137FE4"/>
    <w:rsid w:val="00143692"/>
    <w:rsid w:val="00144196"/>
    <w:rsid w:val="0014633C"/>
    <w:rsid w:val="00147788"/>
    <w:rsid w:val="00151F5F"/>
    <w:rsid w:val="00152933"/>
    <w:rsid w:val="001607E0"/>
    <w:rsid w:val="00160F61"/>
    <w:rsid w:val="00161C61"/>
    <w:rsid w:val="00161F24"/>
    <w:rsid w:val="00165640"/>
    <w:rsid w:val="00165A35"/>
    <w:rsid w:val="0017065E"/>
    <w:rsid w:val="00170BC1"/>
    <w:rsid w:val="00172178"/>
    <w:rsid w:val="00172233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B0983"/>
    <w:rsid w:val="001B1ECA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250B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6999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58E6"/>
    <w:rsid w:val="0021066D"/>
    <w:rsid w:val="00210DB0"/>
    <w:rsid w:val="002114A1"/>
    <w:rsid w:val="00211809"/>
    <w:rsid w:val="00211D6F"/>
    <w:rsid w:val="00213203"/>
    <w:rsid w:val="0021565B"/>
    <w:rsid w:val="00220653"/>
    <w:rsid w:val="0022119E"/>
    <w:rsid w:val="002220C9"/>
    <w:rsid w:val="00222FEA"/>
    <w:rsid w:val="00224973"/>
    <w:rsid w:val="0022520C"/>
    <w:rsid w:val="0022637F"/>
    <w:rsid w:val="00226B1A"/>
    <w:rsid w:val="0022746B"/>
    <w:rsid w:val="00232500"/>
    <w:rsid w:val="00234D48"/>
    <w:rsid w:val="00235619"/>
    <w:rsid w:val="00236DE0"/>
    <w:rsid w:val="0024140F"/>
    <w:rsid w:val="0024311D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9E4"/>
    <w:rsid w:val="00286EE9"/>
    <w:rsid w:val="0029020B"/>
    <w:rsid w:val="00290BD3"/>
    <w:rsid w:val="00294A07"/>
    <w:rsid w:val="00294A86"/>
    <w:rsid w:val="00296F3D"/>
    <w:rsid w:val="002A1916"/>
    <w:rsid w:val="002A1F76"/>
    <w:rsid w:val="002A6592"/>
    <w:rsid w:val="002A69E4"/>
    <w:rsid w:val="002A7314"/>
    <w:rsid w:val="002B1954"/>
    <w:rsid w:val="002B491C"/>
    <w:rsid w:val="002B74C5"/>
    <w:rsid w:val="002B7F7F"/>
    <w:rsid w:val="002C03B2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779"/>
    <w:rsid w:val="002F19AB"/>
    <w:rsid w:val="002F1C8B"/>
    <w:rsid w:val="002F40BD"/>
    <w:rsid w:val="002F6E90"/>
    <w:rsid w:val="003000F5"/>
    <w:rsid w:val="00301EFA"/>
    <w:rsid w:val="0030446E"/>
    <w:rsid w:val="00305929"/>
    <w:rsid w:val="00306F71"/>
    <w:rsid w:val="00307956"/>
    <w:rsid w:val="00311079"/>
    <w:rsid w:val="003112CA"/>
    <w:rsid w:val="003113A8"/>
    <w:rsid w:val="00311AEB"/>
    <w:rsid w:val="0032164B"/>
    <w:rsid w:val="003249D3"/>
    <w:rsid w:val="0032539C"/>
    <w:rsid w:val="0033078C"/>
    <w:rsid w:val="00336601"/>
    <w:rsid w:val="00337761"/>
    <w:rsid w:val="00340A4E"/>
    <w:rsid w:val="0034119D"/>
    <w:rsid w:val="00351FC9"/>
    <w:rsid w:val="00352515"/>
    <w:rsid w:val="00356D88"/>
    <w:rsid w:val="00361241"/>
    <w:rsid w:val="00361C5E"/>
    <w:rsid w:val="0036200D"/>
    <w:rsid w:val="00364A1B"/>
    <w:rsid w:val="00366BE6"/>
    <w:rsid w:val="00367BEF"/>
    <w:rsid w:val="00371FF9"/>
    <w:rsid w:val="003726F8"/>
    <w:rsid w:val="003727F1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158A"/>
    <w:rsid w:val="003923A3"/>
    <w:rsid w:val="00395993"/>
    <w:rsid w:val="0039622F"/>
    <w:rsid w:val="003962D0"/>
    <w:rsid w:val="003A1E14"/>
    <w:rsid w:val="003A68DC"/>
    <w:rsid w:val="003B240F"/>
    <w:rsid w:val="003B2A2C"/>
    <w:rsid w:val="003B2B39"/>
    <w:rsid w:val="003B3827"/>
    <w:rsid w:val="003B4350"/>
    <w:rsid w:val="003B52DA"/>
    <w:rsid w:val="003B58F9"/>
    <w:rsid w:val="003B5ECB"/>
    <w:rsid w:val="003B7673"/>
    <w:rsid w:val="003C1089"/>
    <w:rsid w:val="003C171F"/>
    <w:rsid w:val="003C4750"/>
    <w:rsid w:val="003D0341"/>
    <w:rsid w:val="003D2005"/>
    <w:rsid w:val="003D29C4"/>
    <w:rsid w:val="003D2AEA"/>
    <w:rsid w:val="003D5E97"/>
    <w:rsid w:val="003D6FFB"/>
    <w:rsid w:val="003E050C"/>
    <w:rsid w:val="003E21D0"/>
    <w:rsid w:val="003E2DD7"/>
    <w:rsid w:val="003E3B2C"/>
    <w:rsid w:val="003E43D9"/>
    <w:rsid w:val="003E49A0"/>
    <w:rsid w:val="003E556B"/>
    <w:rsid w:val="003F100E"/>
    <w:rsid w:val="003F29F6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805"/>
    <w:rsid w:val="00423FB2"/>
    <w:rsid w:val="00424659"/>
    <w:rsid w:val="00424B5B"/>
    <w:rsid w:val="0042538F"/>
    <w:rsid w:val="004300AF"/>
    <w:rsid w:val="00430F78"/>
    <w:rsid w:val="004338BC"/>
    <w:rsid w:val="004343FC"/>
    <w:rsid w:val="0043714F"/>
    <w:rsid w:val="0043747D"/>
    <w:rsid w:val="0044107A"/>
    <w:rsid w:val="00442037"/>
    <w:rsid w:val="00442E00"/>
    <w:rsid w:val="00443837"/>
    <w:rsid w:val="0044430E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1F55"/>
    <w:rsid w:val="0046227F"/>
    <w:rsid w:val="00464963"/>
    <w:rsid w:val="00466391"/>
    <w:rsid w:val="004670C0"/>
    <w:rsid w:val="00471448"/>
    <w:rsid w:val="00471E83"/>
    <w:rsid w:val="00472CB7"/>
    <w:rsid w:val="00474D53"/>
    <w:rsid w:val="0047732A"/>
    <w:rsid w:val="00480585"/>
    <w:rsid w:val="004827A6"/>
    <w:rsid w:val="00484EEF"/>
    <w:rsid w:val="00485E46"/>
    <w:rsid w:val="00486220"/>
    <w:rsid w:val="00486AA7"/>
    <w:rsid w:val="00494527"/>
    <w:rsid w:val="00494BCE"/>
    <w:rsid w:val="00495D02"/>
    <w:rsid w:val="004977AD"/>
    <w:rsid w:val="004A06DD"/>
    <w:rsid w:val="004A10D6"/>
    <w:rsid w:val="004A2FF9"/>
    <w:rsid w:val="004B064B"/>
    <w:rsid w:val="004B1429"/>
    <w:rsid w:val="004B157A"/>
    <w:rsid w:val="004B48CE"/>
    <w:rsid w:val="004B53A3"/>
    <w:rsid w:val="004B5AE5"/>
    <w:rsid w:val="004B6745"/>
    <w:rsid w:val="004C48DE"/>
    <w:rsid w:val="004C7A29"/>
    <w:rsid w:val="004D0B5D"/>
    <w:rsid w:val="004D0FE5"/>
    <w:rsid w:val="004D51D1"/>
    <w:rsid w:val="004D6056"/>
    <w:rsid w:val="004E383A"/>
    <w:rsid w:val="004E67B1"/>
    <w:rsid w:val="004E7335"/>
    <w:rsid w:val="004F0FC1"/>
    <w:rsid w:val="004F16CE"/>
    <w:rsid w:val="004F2FAB"/>
    <w:rsid w:val="004F3DA6"/>
    <w:rsid w:val="004F5A69"/>
    <w:rsid w:val="004F6F39"/>
    <w:rsid w:val="004F7C6F"/>
    <w:rsid w:val="00503A04"/>
    <w:rsid w:val="00504726"/>
    <w:rsid w:val="00504B72"/>
    <w:rsid w:val="005059FA"/>
    <w:rsid w:val="005113DD"/>
    <w:rsid w:val="00511798"/>
    <w:rsid w:val="005121E1"/>
    <w:rsid w:val="005149CB"/>
    <w:rsid w:val="00515958"/>
    <w:rsid w:val="0052304E"/>
    <w:rsid w:val="00523189"/>
    <w:rsid w:val="0052574F"/>
    <w:rsid w:val="00526A53"/>
    <w:rsid w:val="00527828"/>
    <w:rsid w:val="005315E5"/>
    <w:rsid w:val="005318AC"/>
    <w:rsid w:val="00531AE4"/>
    <w:rsid w:val="00532A5F"/>
    <w:rsid w:val="00533785"/>
    <w:rsid w:val="00534C83"/>
    <w:rsid w:val="00535405"/>
    <w:rsid w:val="005372F8"/>
    <w:rsid w:val="005400DC"/>
    <w:rsid w:val="00541314"/>
    <w:rsid w:val="00542B72"/>
    <w:rsid w:val="0054429D"/>
    <w:rsid w:val="0054540D"/>
    <w:rsid w:val="00551FC4"/>
    <w:rsid w:val="00555A23"/>
    <w:rsid w:val="00557D06"/>
    <w:rsid w:val="005609C8"/>
    <w:rsid w:val="00562E6D"/>
    <w:rsid w:val="005639D4"/>
    <w:rsid w:val="005653E6"/>
    <w:rsid w:val="00566D32"/>
    <w:rsid w:val="005700B7"/>
    <w:rsid w:val="00570461"/>
    <w:rsid w:val="00570A1C"/>
    <w:rsid w:val="00570BC3"/>
    <w:rsid w:val="00572386"/>
    <w:rsid w:val="00575360"/>
    <w:rsid w:val="005762BB"/>
    <w:rsid w:val="00577EC8"/>
    <w:rsid w:val="00580557"/>
    <w:rsid w:val="005820C3"/>
    <w:rsid w:val="00582210"/>
    <w:rsid w:val="00583312"/>
    <w:rsid w:val="00583986"/>
    <w:rsid w:val="005843F0"/>
    <w:rsid w:val="00585923"/>
    <w:rsid w:val="005866B5"/>
    <w:rsid w:val="005874B0"/>
    <w:rsid w:val="005874BE"/>
    <w:rsid w:val="0059053A"/>
    <w:rsid w:val="005913EC"/>
    <w:rsid w:val="0059145B"/>
    <w:rsid w:val="00591EA0"/>
    <w:rsid w:val="00595232"/>
    <w:rsid w:val="00595E25"/>
    <w:rsid w:val="00597CB2"/>
    <w:rsid w:val="005A01CD"/>
    <w:rsid w:val="005A2915"/>
    <w:rsid w:val="005A3A6D"/>
    <w:rsid w:val="005A4153"/>
    <w:rsid w:val="005A432B"/>
    <w:rsid w:val="005A49DD"/>
    <w:rsid w:val="005A56EF"/>
    <w:rsid w:val="005A667D"/>
    <w:rsid w:val="005A699A"/>
    <w:rsid w:val="005B0800"/>
    <w:rsid w:val="005B089E"/>
    <w:rsid w:val="005B478D"/>
    <w:rsid w:val="005B4DA5"/>
    <w:rsid w:val="005B4F34"/>
    <w:rsid w:val="005B7602"/>
    <w:rsid w:val="005C02CA"/>
    <w:rsid w:val="005C14D4"/>
    <w:rsid w:val="005C28FB"/>
    <w:rsid w:val="005C3021"/>
    <w:rsid w:val="005C36EF"/>
    <w:rsid w:val="005C3FAB"/>
    <w:rsid w:val="005C472B"/>
    <w:rsid w:val="005C6ECD"/>
    <w:rsid w:val="005C7B28"/>
    <w:rsid w:val="005D1B3A"/>
    <w:rsid w:val="005D24AA"/>
    <w:rsid w:val="005D2FCC"/>
    <w:rsid w:val="005D395C"/>
    <w:rsid w:val="005D41F1"/>
    <w:rsid w:val="005E12A3"/>
    <w:rsid w:val="005E3A14"/>
    <w:rsid w:val="005E624D"/>
    <w:rsid w:val="005E62A3"/>
    <w:rsid w:val="005E6DE2"/>
    <w:rsid w:val="005E7400"/>
    <w:rsid w:val="005E7A6E"/>
    <w:rsid w:val="005F2AAE"/>
    <w:rsid w:val="005F4D3F"/>
    <w:rsid w:val="005F67EC"/>
    <w:rsid w:val="005F79D4"/>
    <w:rsid w:val="00601583"/>
    <w:rsid w:val="00601A85"/>
    <w:rsid w:val="00602026"/>
    <w:rsid w:val="00602DF4"/>
    <w:rsid w:val="0060354A"/>
    <w:rsid w:val="00604062"/>
    <w:rsid w:val="006101FD"/>
    <w:rsid w:val="00611A02"/>
    <w:rsid w:val="0061301A"/>
    <w:rsid w:val="00613069"/>
    <w:rsid w:val="00613182"/>
    <w:rsid w:val="00615C45"/>
    <w:rsid w:val="0062087C"/>
    <w:rsid w:val="0062440B"/>
    <w:rsid w:val="00626083"/>
    <w:rsid w:val="00626380"/>
    <w:rsid w:val="00626557"/>
    <w:rsid w:val="00635134"/>
    <w:rsid w:val="00642B12"/>
    <w:rsid w:val="00644047"/>
    <w:rsid w:val="00647017"/>
    <w:rsid w:val="00661282"/>
    <w:rsid w:val="00670DA0"/>
    <w:rsid w:val="006757F7"/>
    <w:rsid w:val="0067610C"/>
    <w:rsid w:val="006801A4"/>
    <w:rsid w:val="00682EA5"/>
    <w:rsid w:val="00687217"/>
    <w:rsid w:val="00687446"/>
    <w:rsid w:val="00687BEE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63C"/>
    <w:rsid w:val="006B597C"/>
    <w:rsid w:val="006B7585"/>
    <w:rsid w:val="006C0727"/>
    <w:rsid w:val="006C0895"/>
    <w:rsid w:val="006C33F7"/>
    <w:rsid w:val="006C3DD7"/>
    <w:rsid w:val="006C4954"/>
    <w:rsid w:val="006C66D4"/>
    <w:rsid w:val="006D11A2"/>
    <w:rsid w:val="006D30A5"/>
    <w:rsid w:val="006D31FF"/>
    <w:rsid w:val="006D38B4"/>
    <w:rsid w:val="006D4D03"/>
    <w:rsid w:val="006E1381"/>
    <w:rsid w:val="006E145F"/>
    <w:rsid w:val="006E1B92"/>
    <w:rsid w:val="006E4033"/>
    <w:rsid w:val="006E5CAB"/>
    <w:rsid w:val="006E6CE5"/>
    <w:rsid w:val="006F0B12"/>
    <w:rsid w:val="006F1481"/>
    <w:rsid w:val="006F1717"/>
    <w:rsid w:val="006F2A4B"/>
    <w:rsid w:val="006F4729"/>
    <w:rsid w:val="006F4FD1"/>
    <w:rsid w:val="006F6F4F"/>
    <w:rsid w:val="006F7770"/>
    <w:rsid w:val="00707F35"/>
    <w:rsid w:val="0071075B"/>
    <w:rsid w:val="00710DFE"/>
    <w:rsid w:val="00712CB7"/>
    <w:rsid w:val="00714EB7"/>
    <w:rsid w:val="00715B65"/>
    <w:rsid w:val="007166BC"/>
    <w:rsid w:val="00716D84"/>
    <w:rsid w:val="00717219"/>
    <w:rsid w:val="007222F1"/>
    <w:rsid w:val="00724317"/>
    <w:rsid w:val="00725025"/>
    <w:rsid w:val="00730877"/>
    <w:rsid w:val="00730C76"/>
    <w:rsid w:val="007310B4"/>
    <w:rsid w:val="007360CB"/>
    <w:rsid w:val="007365D2"/>
    <w:rsid w:val="0074163A"/>
    <w:rsid w:val="007416FA"/>
    <w:rsid w:val="00744E8C"/>
    <w:rsid w:val="00745172"/>
    <w:rsid w:val="00745717"/>
    <w:rsid w:val="00745E92"/>
    <w:rsid w:val="0074761F"/>
    <w:rsid w:val="00752717"/>
    <w:rsid w:val="00752A5B"/>
    <w:rsid w:val="00754E0C"/>
    <w:rsid w:val="00756A36"/>
    <w:rsid w:val="00756E58"/>
    <w:rsid w:val="00757497"/>
    <w:rsid w:val="00757C66"/>
    <w:rsid w:val="0076138F"/>
    <w:rsid w:val="00761593"/>
    <w:rsid w:val="00761D12"/>
    <w:rsid w:val="00761E4C"/>
    <w:rsid w:val="00764049"/>
    <w:rsid w:val="007641E1"/>
    <w:rsid w:val="00764CA1"/>
    <w:rsid w:val="00765083"/>
    <w:rsid w:val="007670EB"/>
    <w:rsid w:val="00767B00"/>
    <w:rsid w:val="00770572"/>
    <w:rsid w:val="007735CF"/>
    <w:rsid w:val="00774981"/>
    <w:rsid w:val="00780E8B"/>
    <w:rsid w:val="0078255D"/>
    <w:rsid w:val="0078264D"/>
    <w:rsid w:val="00783DC4"/>
    <w:rsid w:val="007841A6"/>
    <w:rsid w:val="00784A3A"/>
    <w:rsid w:val="007913AD"/>
    <w:rsid w:val="0079397B"/>
    <w:rsid w:val="0079433E"/>
    <w:rsid w:val="00796598"/>
    <w:rsid w:val="007A2620"/>
    <w:rsid w:val="007A44CC"/>
    <w:rsid w:val="007A4BE9"/>
    <w:rsid w:val="007A55B2"/>
    <w:rsid w:val="007A6219"/>
    <w:rsid w:val="007A64B5"/>
    <w:rsid w:val="007A7126"/>
    <w:rsid w:val="007A78F0"/>
    <w:rsid w:val="007B3F74"/>
    <w:rsid w:val="007B40FF"/>
    <w:rsid w:val="007B6576"/>
    <w:rsid w:val="007B70F4"/>
    <w:rsid w:val="007B75F9"/>
    <w:rsid w:val="007C3731"/>
    <w:rsid w:val="007C40D4"/>
    <w:rsid w:val="007C4D3F"/>
    <w:rsid w:val="007C5953"/>
    <w:rsid w:val="007D019D"/>
    <w:rsid w:val="007D19DD"/>
    <w:rsid w:val="007D2796"/>
    <w:rsid w:val="007D2AB1"/>
    <w:rsid w:val="007E0A15"/>
    <w:rsid w:val="007E2770"/>
    <w:rsid w:val="007E2A20"/>
    <w:rsid w:val="007E2A2B"/>
    <w:rsid w:val="007E2BCA"/>
    <w:rsid w:val="007E3F19"/>
    <w:rsid w:val="007E44DE"/>
    <w:rsid w:val="007F0210"/>
    <w:rsid w:val="007F26F8"/>
    <w:rsid w:val="007F4160"/>
    <w:rsid w:val="007F5EAC"/>
    <w:rsid w:val="007F6E4C"/>
    <w:rsid w:val="007F71DA"/>
    <w:rsid w:val="00800E85"/>
    <w:rsid w:val="00801938"/>
    <w:rsid w:val="00801F27"/>
    <w:rsid w:val="008027B1"/>
    <w:rsid w:val="008032E2"/>
    <w:rsid w:val="00806A25"/>
    <w:rsid w:val="0080745E"/>
    <w:rsid w:val="008077FA"/>
    <w:rsid w:val="00807D5B"/>
    <w:rsid w:val="00810990"/>
    <w:rsid w:val="008124B4"/>
    <w:rsid w:val="00813CBA"/>
    <w:rsid w:val="00814A65"/>
    <w:rsid w:val="00815BDF"/>
    <w:rsid w:val="00817064"/>
    <w:rsid w:val="0082149E"/>
    <w:rsid w:val="00821AE3"/>
    <w:rsid w:val="00822111"/>
    <w:rsid w:val="00822EB5"/>
    <w:rsid w:val="008238B9"/>
    <w:rsid w:val="00823FBF"/>
    <w:rsid w:val="0082746E"/>
    <w:rsid w:val="00827770"/>
    <w:rsid w:val="00830DDA"/>
    <w:rsid w:val="0083128D"/>
    <w:rsid w:val="0083384F"/>
    <w:rsid w:val="00836CF2"/>
    <w:rsid w:val="00836F74"/>
    <w:rsid w:val="00843068"/>
    <w:rsid w:val="008465EC"/>
    <w:rsid w:val="008469D2"/>
    <w:rsid w:val="00850FCA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6AA2"/>
    <w:rsid w:val="00867AD4"/>
    <w:rsid w:val="00871350"/>
    <w:rsid w:val="0087249D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1176"/>
    <w:rsid w:val="008927F6"/>
    <w:rsid w:val="00893018"/>
    <w:rsid w:val="00897F11"/>
    <w:rsid w:val="008A002B"/>
    <w:rsid w:val="008A059D"/>
    <w:rsid w:val="008B0396"/>
    <w:rsid w:val="008B063C"/>
    <w:rsid w:val="008B2716"/>
    <w:rsid w:val="008B72BF"/>
    <w:rsid w:val="008B7D0A"/>
    <w:rsid w:val="008C12CE"/>
    <w:rsid w:val="008C1319"/>
    <w:rsid w:val="008C1A1D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F0143"/>
    <w:rsid w:val="008F11AF"/>
    <w:rsid w:val="008F14D1"/>
    <w:rsid w:val="008F17E9"/>
    <w:rsid w:val="008F1FC1"/>
    <w:rsid w:val="008F2344"/>
    <w:rsid w:val="00900945"/>
    <w:rsid w:val="00901889"/>
    <w:rsid w:val="00911D26"/>
    <w:rsid w:val="00917DF0"/>
    <w:rsid w:val="00917E0B"/>
    <w:rsid w:val="0092052D"/>
    <w:rsid w:val="0092143F"/>
    <w:rsid w:val="0092219A"/>
    <w:rsid w:val="009222AB"/>
    <w:rsid w:val="0092385B"/>
    <w:rsid w:val="00923BC6"/>
    <w:rsid w:val="00927641"/>
    <w:rsid w:val="00927CEA"/>
    <w:rsid w:val="00934638"/>
    <w:rsid w:val="00936863"/>
    <w:rsid w:val="009370B7"/>
    <w:rsid w:val="00937821"/>
    <w:rsid w:val="00940916"/>
    <w:rsid w:val="0094423B"/>
    <w:rsid w:val="00945980"/>
    <w:rsid w:val="0094703D"/>
    <w:rsid w:val="00947AB2"/>
    <w:rsid w:val="009507FF"/>
    <w:rsid w:val="009519AC"/>
    <w:rsid w:val="00951AB9"/>
    <w:rsid w:val="00952EB9"/>
    <w:rsid w:val="00953815"/>
    <w:rsid w:val="00956CDE"/>
    <w:rsid w:val="009600D0"/>
    <w:rsid w:val="009626A2"/>
    <w:rsid w:val="0096305F"/>
    <w:rsid w:val="009631D5"/>
    <w:rsid w:val="00965D72"/>
    <w:rsid w:val="009664D2"/>
    <w:rsid w:val="00967EC8"/>
    <w:rsid w:val="00973E59"/>
    <w:rsid w:val="00973E87"/>
    <w:rsid w:val="00973EE3"/>
    <w:rsid w:val="0097505A"/>
    <w:rsid w:val="00975E9C"/>
    <w:rsid w:val="00976DB8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28C3"/>
    <w:rsid w:val="009C4629"/>
    <w:rsid w:val="009C54D4"/>
    <w:rsid w:val="009D27C4"/>
    <w:rsid w:val="009D3DFA"/>
    <w:rsid w:val="009D473D"/>
    <w:rsid w:val="009D6CB2"/>
    <w:rsid w:val="009D787D"/>
    <w:rsid w:val="009E226E"/>
    <w:rsid w:val="009E24C5"/>
    <w:rsid w:val="009E4888"/>
    <w:rsid w:val="009E4E3B"/>
    <w:rsid w:val="009F1766"/>
    <w:rsid w:val="009F2A49"/>
    <w:rsid w:val="009F2FBC"/>
    <w:rsid w:val="009F3B34"/>
    <w:rsid w:val="009F41F1"/>
    <w:rsid w:val="009F7C8F"/>
    <w:rsid w:val="00A12E59"/>
    <w:rsid w:val="00A1434B"/>
    <w:rsid w:val="00A149CD"/>
    <w:rsid w:val="00A15947"/>
    <w:rsid w:val="00A162A2"/>
    <w:rsid w:val="00A1793C"/>
    <w:rsid w:val="00A20143"/>
    <w:rsid w:val="00A26857"/>
    <w:rsid w:val="00A27C01"/>
    <w:rsid w:val="00A319F2"/>
    <w:rsid w:val="00A330DC"/>
    <w:rsid w:val="00A34F2B"/>
    <w:rsid w:val="00A36AB5"/>
    <w:rsid w:val="00A45BE4"/>
    <w:rsid w:val="00A47FFC"/>
    <w:rsid w:val="00A554BF"/>
    <w:rsid w:val="00A55B8E"/>
    <w:rsid w:val="00A57E45"/>
    <w:rsid w:val="00A60D60"/>
    <w:rsid w:val="00A61A1C"/>
    <w:rsid w:val="00A64584"/>
    <w:rsid w:val="00A665DE"/>
    <w:rsid w:val="00A66CA6"/>
    <w:rsid w:val="00A70AFC"/>
    <w:rsid w:val="00A7309B"/>
    <w:rsid w:val="00A76A14"/>
    <w:rsid w:val="00A80630"/>
    <w:rsid w:val="00A809CB"/>
    <w:rsid w:val="00A80A20"/>
    <w:rsid w:val="00A8134F"/>
    <w:rsid w:val="00A84B73"/>
    <w:rsid w:val="00A860E6"/>
    <w:rsid w:val="00A9188A"/>
    <w:rsid w:val="00A93987"/>
    <w:rsid w:val="00A939F8"/>
    <w:rsid w:val="00A94973"/>
    <w:rsid w:val="00A963F0"/>
    <w:rsid w:val="00AA1DAE"/>
    <w:rsid w:val="00AA2B04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C58EF"/>
    <w:rsid w:val="00AC68CE"/>
    <w:rsid w:val="00AD170F"/>
    <w:rsid w:val="00AD1CEA"/>
    <w:rsid w:val="00AD3512"/>
    <w:rsid w:val="00AE091E"/>
    <w:rsid w:val="00AE17D8"/>
    <w:rsid w:val="00AE1D31"/>
    <w:rsid w:val="00AE5AEB"/>
    <w:rsid w:val="00AE5FC8"/>
    <w:rsid w:val="00AF0BF1"/>
    <w:rsid w:val="00AF32D7"/>
    <w:rsid w:val="00AF548F"/>
    <w:rsid w:val="00AF6115"/>
    <w:rsid w:val="00B006C5"/>
    <w:rsid w:val="00B02AD4"/>
    <w:rsid w:val="00B03F14"/>
    <w:rsid w:val="00B05281"/>
    <w:rsid w:val="00B05CA9"/>
    <w:rsid w:val="00B07F52"/>
    <w:rsid w:val="00B11D83"/>
    <w:rsid w:val="00B12BC8"/>
    <w:rsid w:val="00B138A3"/>
    <w:rsid w:val="00B156EF"/>
    <w:rsid w:val="00B22202"/>
    <w:rsid w:val="00B241A5"/>
    <w:rsid w:val="00B24920"/>
    <w:rsid w:val="00B251E5"/>
    <w:rsid w:val="00B268B1"/>
    <w:rsid w:val="00B26EDF"/>
    <w:rsid w:val="00B371BB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C47"/>
    <w:rsid w:val="00B56166"/>
    <w:rsid w:val="00B6006D"/>
    <w:rsid w:val="00B62C45"/>
    <w:rsid w:val="00B634E3"/>
    <w:rsid w:val="00B65688"/>
    <w:rsid w:val="00B657F4"/>
    <w:rsid w:val="00B661F1"/>
    <w:rsid w:val="00B73469"/>
    <w:rsid w:val="00B74CEE"/>
    <w:rsid w:val="00B759AA"/>
    <w:rsid w:val="00B76561"/>
    <w:rsid w:val="00B774B5"/>
    <w:rsid w:val="00B779EE"/>
    <w:rsid w:val="00B80996"/>
    <w:rsid w:val="00B842B4"/>
    <w:rsid w:val="00B84C2A"/>
    <w:rsid w:val="00B904E7"/>
    <w:rsid w:val="00B9058C"/>
    <w:rsid w:val="00B92736"/>
    <w:rsid w:val="00B92A5D"/>
    <w:rsid w:val="00B92CB0"/>
    <w:rsid w:val="00B93E2C"/>
    <w:rsid w:val="00B97A2F"/>
    <w:rsid w:val="00BB26D8"/>
    <w:rsid w:val="00BB27B5"/>
    <w:rsid w:val="00BB45AB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3C55"/>
    <w:rsid w:val="00BF463C"/>
    <w:rsid w:val="00C046E4"/>
    <w:rsid w:val="00C05043"/>
    <w:rsid w:val="00C07857"/>
    <w:rsid w:val="00C07A29"/>
    <w:rsid w:val="00C07D26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B49"/>
    <w:rsid w:val="00C37011"/>
    <w:rsid w:val="00C431E0"/>
    <w:rsid w:val="00C4515D"/>
    <w:rsid w:val="00C463EC"/>
    <w:rsid w:val="00C476D3"/>
    <w:rsid w:val="00C47D32"/>
    <w:rsid w:val="00C513FA"/>
    <w:rsid w:val="00C525DC"/>
    <w:rsid w:val="00C5433A"/>
    <w:rsid w:val="00C55F15"/>
    <w:rsid w:val="00C569E4"/>
    <w:rsid w:val="00C57B94"/>
    <w:rsid w:val="00C6072F"/>
    <w:rsid w:val="00C6241A"/>
    <w:rsid w:val="00C627F9"/>
    <w:rsid w:val="00C64097"/>
    <w:rsid w:val="00C664DE"/>
    <w:rsid w:val="00C67521"/>
    <w:rsid w:val="00C7040B"/>
    <w:rsid w:val="00C70495"/>
    <w:rsid w:val="00C70A97"/>
    <w:rsid w:val="00C70B83"/>
    <w:rsid w:val="00C711D1"/>
    <w:rsid w:val="00C72B20"/>
    <w:rsid w:val="00C7374F"/>
    <w:rsid w:val="00C81CF6"/>
    <w:rsid w:val="00C82CBC"/>
    <w:rsid w:val="00C86BB9"/>
    <w:rsid w:val="00C903B2"/>
    <w:rsid w:val="00C9098F"/>
    <w:rsid w:val="00C911C3"/>
    <w:rsid w:val="00C93FB0"/>
    <w:rsid w:val="00C945AF"/>
    <w:rsid w:val="00C9474B"/>
    <w:rsid w:val="00C94C72"/>
    <w:rsid w:val="00C97B0F"/>
    <w:rsid w:val="00CA09B2"/>
    <w:rsid w:val="00CA1045"/>
    <w:rsid w:val="00CA1C4F"/>
    <w:rsid w:val="00CA21BC"/>
    <w:rsid w:val="00CA2F15"/>
    <w:rsid w:val="00CA681B"/>
    <w:rsid w:val="00CA6A2C"/>
    <w:rsid w:val="00CB00C4"/>
    <w:rsid w:val="00CB0522"/>
    <w:rsid w:val="00CB10AD"/>
    <w:rsid w:val="00CB1E4B"/>
    <w:rsid w:val="00CB2AF9"/>
    <w:rsid w:val="00CB3BFA"/>
    <w:rsid w:val="00CB6D5A"/>
    <w:rsid w:val="00CC0B3E"/>
    <w:rsid w:val="00CC14E6"/>
    <w:rsid w:val="00CC4146"/>
    <w:rsid w:val="00CC5B63"/>
    <w:rsid w:val="00CC6ACC"/>
    <w:rsid w:val="00CD05F3"/>
    <w:rsid w:val="00CD071C"/>
    <w:rsid w:val="00CD430E"/>
    <w:rsid w:val="00CD43FE"/>
    <w:rsid w:val="00CD7970"/>
    <w:rsid w:val="00CE1550"/>
    <w:rsid w:val="00CE25D0"/>
    <w:rsid w:val="00CE57BB"/>
    <w:rsid w:val="00CE751B"/>
    <w:rsid w:val="00CF0474"/>
    <w:rsid w:val="00CF2C30"/>
    <w:rsid w:val="00CF2C8A"/>
    <w:rsid w:val="00CF4E9B"/>
    <w:rsid w:val="00CF4F5E"/>
    <w:rsid w:val="00CF5CEF"/>
    <w:rsid w:val="00CF7348"/>
    <w:rsid w:val="00D00450"/>
    <w:rsid w:val="00D01ED3"/>
    <w:rsid w:val="00D02369"/>
    <w:rsid w:val="00D0325E"/>
    <w:rsid w:val="00D03A93"/>
    <w:rsid w:val="00D0503C"/>
    <w:rsid w:val="00D0548B"/>
    <w:rsid w:val="00D0636F"/>
    <w:rsid w:val="00D06885"/>
    <w:rsid w:val="00D06C25"/>
    <w:rsid w:val="00D07C38"/>
    <w:rsid w:val="00D11391"/>
    <w:rsid w:val="00D11EA1"/>
    <w:rsid w:val="00D1423D"/>
    <w:rsid w:val="00D15159"/>
    <w:rsid w:val="00D236F7"/>
    <w:rsid w:val="00D351B5"/>
    <w:rsid w:val="00D37F81"/>
    <w:rsid w:val="00D41124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62DF"/>
    <w:rsid w:val="00D673D7"/>
    <w:rsid w:val="00D67EDF"/>
    <w:rsid w:val="00D713A2"/>
    <w:rsid w:val="00D731CD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3DCF"/>
    <w:rsid w:val="00D86840"/>
    <w:rsid w:val="00D86D19"/>
    <w:rsid w:val="00D87430"/>
    <w:rsid w:val="00D93842"/>
    <w:rsid w:val="00D9413B"/>
    <w:rsid w:val="00D97C97"/>
    <w:rsid w:val="00DA1993"/>
    <w:rsid w:val="00DA2630"/>
    <w:rsid w:val="00DA349D"/>
    <w:rsid w:val="00DA545A"/>
    <w:rsid w:val="00DB012E"/>
    <w:rsid w:val="00DB091D"/>
    <w:rsid w:val="00DB1461"/>
    <w:rsid w:val="00DB19B7"/>
    <w:rsid w:val="00DB4E07"/>
    <w:rsid w:val="00DB7930"/>
    <w:rsid w:val="00DC01F0"/>
    <w:rsid w:val="00DC3E33"/>
    <w:rsid w:val="00DC503E"/>
    <w:rsid w:val="00DC5916"/>
    <w:rsid w:val="00DC5A7B"/>
    <w:rsid w:val="00DC5FB9"/>
    <w:rsid w:val="00DC63E3"/>
    <w:rsid w:val="00DD0D38"/>
    <w:rsid w:val="00DD4EA4"/>
    <w:rsid w:val="00DD55CA"/>
    <w:rsid w:val="00DD7139"/>
    <w:rsid w:val="00DD73FC"/>
    <w:rsid w:val="00DD7D79"/>
    <w:rsid w:val="00DE0445"/>
    <w:rsid w:val="00DE04FC"/>
    <w:rsid w:val="00DE1955"/>
    <w:rsid w:val="00DE38AB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6813"/>
    <w:rsid w:val="00E10947"/>
    <w:rsid w:val="00E1218A"/>
    <w:rsid w:val="00E121D0"/>
    <w:rsid w:val="00E14418"/>
    <w:rsid w:val="00E1565C"/>
    <w:rsid w:val="00E158BB"/>
    <w:rsid w:val="00E15BC4"/>
    <w:rsid w:val="00E15E0B"/>
    <w:rsid w:val="00E173A2"/>
    <w:rsid w:val="00E22407"/>
    <w:rsid w:val="00E2618C"/>
    <w:rsid w:val="00E270B0"/>
    <w:rsid w:val="00E30275"/>
    <w:rsid w:val="00E33224"/>
    <w:rsid w:val="00E33473"/>
    <w:rsid w:val="00E36E20"/>
    <w:rsid w:val="00E37F48"/>
    <w:rsid w:val="00E4002E"/>
    <w:rsid w:val="00E400BC"/>
    <w:rsid w:val="00E4147D"/>
    <w:rsid w:val="00E4262E"/>
    <w:rsid w:val="00E4407D"/>
    <w:rsid w:val="00E45757"/>
    <w:rsid w:val="00E46828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721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DD7"/>
    <w:rsid w:val="00E95C3A"/>
    <w:rsid w:val="00E95EDC"/>
    <w:rsid w:val="00E95FF4"/>
    <w:rsid w:val="00EA0ACB"/>
    <w:rsid w:val="00EA1ECA"/>
    <w:rsid w:val="00EA4157"/>
    <w:rsid w:val="00EA4CE5"/>
    <w:rsid w:val="00EA6CC7"/>
    <w:rsid w:val="00EA7959"/>
    <w:rsid w:val="00EB020D"/>
    <w:rsid w:val="00EB115C"/>
    <w:rsid w:val="00EB1163"/>
    <w:rsid w:val="00EB2AAC"/>
    <w:rsid w:val="00EC0806"/>
    <w:rsid w:val="00EC08A3"/>
    <w:rsid w:val="00EC25D1"/>
    <w:rsid w:val="00EC5678"/>
    <w:rsid w:val="00EC5BA3"/>
    <w:rsid w:val="00EC6A29"/>
    <w:rsid w:val="00ED00BB"/>
    <w:rsid w:val="00ED223D"/>
    <w:rsid w:val="00ED7A3B"/>
    <w:rsid w:val="00EE23E1"/>
    <w:rsid w:val="00EE2487"/>
    <w:rsid w:val="00EE33B9"/>
    <w:rsid w:val="00EE3555"/>
    <w:rsid w:val="00EE3A93"/>
    <w:rsid w:val="00EF0544"/>
    <w:rsid w:val="00EF0D30"/>
    <w:rsid w:val="00EF3561"/>
    <w:rsid w:val="00EF7DB6"/>
    <w:rsid w:val="00F00818"/>
    <w:rsid w:val="00F00F7F"/>
    <w:rsid w:val="00F01211"/>
    <w:rsid w:val="00F01ECC"/>
    <w:rsid w:val="00F039C6"/>
    <w:rsid w:val="00F04948"/>
    <w:rsid w:val="00F0659F"/>
    <w:rsid w:val="00F06D55"/>
    <w:rsid w:val="00F1283B"/>
    <w:rsid w:val="00F1585E"/>
    <w:rsid w:val="00F206A6"/>
    <w:rsid w:val="00F24E18"/>
    <w:rsid w:val="00F2795F"/>
    <w:rsid w:val="00F32C31"/>
    <w:rsid w:val="00F33644"/>
    <w:rsid w:val="00F3473C"/>
    <w:rsid w:val="00F415E3"/>
    <w:rsid w:val="00F428A9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217C"/>
    <w:rsid w:val="00F74CB7"/>
    <w:rsid w:val="00F76D2B"/>
    <w:rsid w:val="00F80009"/>
    <w:rsid w:val="00F83A07"/>
    <w:rsid w:val="00F847C3"/>
    <w:rsid w:val="00F84E00"/>
    <w:rsid w:val="00F85587"/>
    <w:rsid w:val="00F864E5"/>
    <w:rsid w:val="00F868BF"/>
    <w:rsid w:val="00F95632"/>
    <w:rsid w:val="00F96B2B"/>
    <w:rsid w:val="00F97E3C"/>
    <w:rsid w:val="00FA0584"/>
    <w:rsid w:val="00FA66DA"/>
    <w:rsid w:val="00FA6C2B"/>
    <w:rsid w:val="00FA751A"/>
    <w:rsid w:val="00FA7D2A"/>
    <w:rsid w:val="00FB095E"/>
    <w:rsid w:val="00FB0CA2"/>
    <w:rsid w:val="00FB2136"/>
    <w:rsid w:val="00FB4407"/>
    <w:rsid w:val="00FB4540"/>
    <w:rsid w:val="00FB71B9"/>
    <w:rsid w:val="00FB78A5"/>
    <w:rsid w:val="00FC0063"/>
    <w:rsid w:val="00FC4CF1"/>
    <w:rsid w:val="00FC4E17"/>
    <w:rsid w:val="00FC6835"/>
    <w:rsid w:val="00FD34AC"/>
    <w:rsid w:val="00FD34BD"/>
    <w:rsid w:val="00FD7C52"/>
    <w:rsid w:val="00FE1EFD"/>
    <w:rsid w:val="00FE45A1"/>
    <w:rsid w:val="00FE4834"/>
    <w:rsid w:val="00FE4EE7"/>
    <w:rsid w:val="00FF0B62"/>
    <w:rsid w:val="00FF2382"/>
    <w:rsid w:val="00FF4322"/>
    <w:rsid w:val="00FF6AE1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character" w:styleId="PlaceholderText">
    <w:name w:val="Placeholder Text"/>
    <w:basedOn w:val="DefaultParagraphFont"/>
    <w:uiPriority w:val="99"/>
    <w:semiHidden/>
    <w:rsid w:val="005C47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93998907-A9BC-434F-8913-25822C45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yj.noh</cp:lastModifiedBy>
  <cp:revision>5</cp:revision>
  <cp:lastPrinted>2018-10-08T16:43:00Z</cp:lastPrinted>
  <dcterms:created xsi:type="dcterms:W3CDTF">2018-11-01T19:49:00Z</dcterms:created>
  <dcterms:modified xsi:type="dcterms:W3CDTF">2018-11-06T02:08:00Z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