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2126"/>
        <w:gridCol w:w="1501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0181F1B6" w:rsidR="00CA09B2" w:rsidRDefault="00524F1E" w:rsidP="004628C1">
            <w:pPr>
              <w:pStyle w:val="T2"/>
            </w:pPr>
            <w:r>
              <w:t xml:space="preserve">CID </w:t>
            </w:r>
            <w:r w:rsidR="00D57959">
              <w:t>1002, 1003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493E3A00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D57959">
              <w:rPr>
                <w:b w:val="0"/>
                <w:sz w:val="20"/>
              </w:rPr>
              <w:t>October 1</w:t>
            </w:r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E3118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E3118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212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50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2918E09C" w14:textId="4F8ECC70" w:rsidR="00C1055E" w:rsidRDefault="007A0827" w:rsidP="00B254C8">
      <w:r w:rsidRPr="00606365">
        <w:t xml:space="preserve">This document </w:t>
      </w:r>
      <w:r w:rsidR="00524F1E">
        <w:t>p</w:t>
      </w:r>
      <w:r w:rsidR="00D057FE">
        <w:t>roposes a</w:t>
      </w:r>
      <w:r w:rsidR="000B0EBF">
        <w:t xml:space="preserve"> resolution for CID</w:t>
      </w:r>
      <w:r w:rsidR="00D57959">
        <w:t>s 1002 and 1003</w:t>
      </w:r>
      <w:r w:rsidR="009D5EA2" w:rsidRPr="00606365">
        <w:t>.</w:t>
      </w:r>
    </w:p>
    <w:p w14:paraId="5808B85B" w14:textId="08083D38" w:rsidR="00CE4D87" w:rsidRDefault="00CE4D87" w:rsidP="00B254C8"/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1B56550D" w:rsidR="00D607ED" w:rsidRPr="008947BF" w:rsidRDefault="008947BF" w:rsidP="00D607E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18"/>
          <w:szCs w:val="18"/>
        </w:rPr>
      </w:pPr>
      <w:r w:rsidRPr="008947BF">
        <w:rPr>
          <w:rFonts w:ascii="TimesNewRomanPSMT" w:hAnsi="TimesNewRomanPSMT" w:cs="TimesNewRomanPSMT"/>
          <w:b/>
          <w:sz w:val="18"/>
          <w:szCs w:val="18"/>
        </w:rPr>
        <w:lastRenderedPageBreak/>
        <w:t>Comment</w:t>
      </w:r>
      <w:r w:rsidR="00D57959">
        <w:rPr>
          <w:rFonts w:ascii="TimesNewRomanPSMT" w:hAnsi="TimesNewRomanPSMT" w:cs="TimesNewRomanPSMT"/>
          <w:b/>
          <w:sz w:val="18"/>
          <w:szCs w:val="18"/>
        </w:rPr>
        <w:t>s</w:t>
      </w:r>
    </w:p>
    <w:p w14:paraId="2403D1F2" w14:textId="77777777" w:rsidR="008947BF" w:rsidRDefault="008947BF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5F071D7" w14:textId="3445BD2E" w:rsidR="0047123B" w:rsidRDefault="0047123B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390"/>
        <w:gridCol w:w="910"/>
        <w:gridCol w:w="620"/>
        <w:gridCol w:w="630"/>
        <w:gridCol w:w="2610"/>
        <w:gridCol w:w="2790"/>
      </w:tblGrid>
      <w:tr w:rsidR="00D57959" w:rsidRPr="00D57959" w14:paraId="4F9790CA" w14:textId="77777777" w:rsidTr="00D57959">
        <w:trPr>
          <w:trHeight w:val="140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301F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1002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C79E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Yoshio Urabe</w:t>
            </w:r>
          </w:p>
        </w:tc>
        <w:tc>
          <w:tcPr>
            <w:tcW w:w="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AE45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21.3.20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7DE9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3000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1C67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38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5D34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The start position of "Decoding delay" in the Figure 21-36 is not aligned to the start position of the received signal depicted below in the figure.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802A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Align the start position of "Decoding delay" to the start of L-SIG in the received signal.</w:t>
            </w:r>
          </w:p>
        </w:tc>
      </w:tr>
      <w:tr w:rsidR="00D57959" w:rsidRPr="00D57959" w14:paraId="12106DF0" w14:textId="77777777" w:rsidTr="00D57959">
        <w:trPr>
          <w:trHeight w:val="140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84CE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1003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8A22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Yoshio Urabe</w:t>
            </w:r>
          </w:p>
        </w:tc>
        <w:tc>
          <w:tcPr>
            <w:tcW w:w="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1624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23.3.19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2A1D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3191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5581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30</w:t>
            </w: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0DD5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The start position of "Decoding delay" in the Figure 23-31 is not aligned to the start position of the received signal depicted below in the figure.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614C" w14:textId="77777777" w:rsidR="00D57959" w:rsidRPr="00D57959" w:rsidRDefault="00D57959" w:rsidP="00D57959">
            <w:pPr>
              <w:rPr>
                <w:rFonts w:ascii="Calibri" w:hAnsi="Calibri" w:cs="Calibri"/>
                <w:sz w:val="18"/>
                <w:szCs w:val="18"/>
              </w:rPr>
            </w:pPr>
            <w:r w:rsidRPr="00D57959">
              <w:rPr>
                <w:sz w:val="18"/>
                <w:szCs w:val="18"/>
              </w:rPr>
              <w:t>Align the start position of "Decoding delay" to the start of SIG in the received signal.</w:t>
            </w:r>
          </w:p>
        </w:tc>
      </w:tr>
    </w:tbl>
    <w:p w14:paraId="7277550A" w14:textId="67065DD6" w:rsidR="00D57959" w:rsidRDefault="00D5795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A4AC8A9" w14:textId="77777777" w:rsidR="00D57959" w:rsidRDefault="00D5795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7491BB7" w14:textId="6010F7E7" w:rsidR="0047123B" w:rsidRPr="00BF7D4A" w:rsidRDefault="00F65F39" w:rsidP="00D607ED">
      <w:pPr>
        <w:autoSpaceDE w:val="0"/>
        <w:autoSpaceDN w:val="0"/>
        <w:adjustRightInd w:val="0"/>
        <w:rPr>
          <w:b/>
        </w:rPr>
      </w:pPr>
      <w:r w:rsidRPr="00BF7D4A">
        <w:rPr>
          <w:b/>
        </w:rPr>
        <w:t>Discussion</w:t>
      </w:r>
    </w:p>
    <w:p w14:paraId="19C6848C" w14:textId="18B80CE5" w:rsidR="00DF70D1" w:rsidRDefault="00DF70D1" w:rsidP="00862435">
      <w:pPr>
        <w:autoSpaceDE w:val="0"/>
        <w:autoSpaceDN w:val="0"/>
        <w:adjustRightInd w:val="0"/>
      </w:pPr>
    </w:p>
    <w:p w14:paraId="67D37558" w14:textId="60A19488" w:rsidR="00862435" w:rsidRDefault="00862435" w:rsidP="00862435">
      <w:pPr>
        <w:autoSpaceDE w:val="0"/>
        <w:autoSpaceDN w:val="0"/>
        <w:adjustRightInd w:val="0"/>
      </w:pPr>
      <w:r>
        <w:t>These are the</w:t>
      </w:r>
      <w:r w:rsidR="00587854">
        <w:t xml:space="preserve"> cited</w:t>
      </w:r>
      <w:r>
        <w:t xml:space="preserve"> figures:</w:t>
      </w:r>
    </w:p>
    <w:p w14:paraId="3241F796" w14:textId="108F4EB7" w:rsidR="00862435" w:rsidRPr="00862435" w:rsidRDefault="00862435" w:rsidP="00862435">
      <w:pPr>
        <w:jc w:val="left"/>
        <w:rPr>
          <w:rFonts w:ascii="Calibri" w:hAnsi="Calibri" w:cs="Calibri"/>
          <w:noProof w:val="0"/>
          <w:sz w:val="24"/>
          <w:szCs w:val="24"/>
        </w:rPr>
      </w:pPr>
      <w:r w:rsidRPr="00862435">
        <w:rPr>
          <w:rFonts w:ascii="Calibri" w:hAnsi="Calibri" w:cs="Calibri"/>
          <w:noProof w:val="0"/>
          <w:sz w:val="22"/>
          <w:szCs w:val="22"/>
        </w:rPr>
        <w:fldChar w:fldCharType="begin"/>
      </w:r>
      <w:r w:rsidRPr="00862435">
        <w:rPr>
          <w:rFonts w:ascii="Calibri" w:hAnsi="Calibri" w:cs="Calibri"/>
          <w:noProof w:val="0"/>
          <w:sz w:val="22"/>
          <w:szCs w:val="22"/>
        </w:rPr>
        <w:instrText xml:space="preserve"> INCLUDEPICTURE "cid:image001.png@01D45973.8AD282F0" \* MERGEFORMATINET </w:instrText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separate"/>
      </w:r>
      <w:r w:rsidRPr="00862435">
        <w:rPr>
          <w:rFonts w:ascii="Calibri" w:hAnsi="Calibri" w:cs="Calibri"/>
          <w:sz w:val="22"/>
          <w:szCs w:val="22"/>
        </w:rPr>
        <w:drawing>
          <wp:inline distT="0" distB="0" distL="0" distR="0" wp14:anchorId="172CF1B9" wp14:editId="6F6F013C">
            <wp:extent cx="5852160" cy="4742180"/>
            <wp:effectExtent l="0" t="0" r="2540" b="0"/>
            <wp:docPr id="1" name="Picture 1" descr="cid:image003.png@01D4596A.73A29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596A.73A29F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end"/>
      </w:r>
    </w:p>
    <w:p w14:paraId="4C2FA59F" w14:textId="64CB75F4" w:rsidR="00862435" w:rsidRDefault="00862435" w:rsidP="00862435">
      <w:pPr>
        <w:autoSpaceDE w:val="0"/>
        <w:autoSpaceDN w:val="0"/>
        <w:adjustRightInd w:val="0"/>
      </w:pPr>
    </w:p>
    <w:p w14:paraId="6C7909AC" w14:textId="77777777" w:rsidR="00862435" w:rsidRDefault="00862435" w:rsidP="00862435">
      <w:pPr>
        <w:autoSpaceDE w:val="0"/>
        <w:autoSpaceDN w:val="0"/>
        <w:adjustRightInd w:val="0"/>
      </w:pPr>
    </w:p>
    <w:p w14:paraId="59CB847E" w14:textId="076A6BD9" w:rsidR="00862435" w:rsidRPr="00862435" w:rsidRDefault="00862435" w:rsidP="00862435">
      <w:pPr>
        <w:jc w:val="left"/>
        <w:rPr>
          <w:rFonts w:ascii="Calibri" w:hAnsi="Calibri" w:cs="Calibri"/>
          <w:noProof w:val="0"/>
          <w:sz w:val="24"/>
          <w:szCs w:val="24"/>
        </w:rPr>
      </w:pPr>
      <w:r w:rsidRPr="00862435">
        <w:rPr>
          <w:rFonts w:ascii="Calibri" w:hAnsi="Calibri" w:cs="Calibri"/>
          <w:noProof w:val="0"/>
          <w:sz w:val="22"/>
          <w:szCs w:val="22"/>
        </w:rPr>
        <w:lastRenderedPageBreak/>
        <w:fldChar w:fldCharType="begin"/>
      </w:r>
      <w:r w:rsidRPr="00862435">
        <w:rPr>
          <w:rFonts w:ascii="Calibri" w:hAnsi="Calibri" w:cs="Calibri"/>
          <w:noProof w:val="0"/>
          <w:sz w:val="22"/>
          <w:szCs w:val="22"/>
        </w:rPr>
        <w:instrText xml:space="preserve"> INCLUDEPICTURE "cid:image002.png@01D45973.8AD282F0" \* MERGEFORMATINET </w:instrText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separate"/>
      </w:r>
      <w:r w:rsidRPr="00862435">
        <w:rPr>
          <w:rFonts w:ascii="Calibri" w:hAnsi="Calibri" w:cs="Calibri"/>
          <w:sz w:val="22"/>
          <w:szCs w:val="22"/>
        </w:rPr>
        <w:drawing>
          <wp:inline distT="0" distB="0" distL="0" distR="0" wp14:anchorId="64F3031E" wp14:editId="038E5BF5">
            <wp:extent cx="5852160" cy="4031615"/>
            <wp:effectExtent l="0" t="0" r="2540" b="0"/>
            <wp:docPr id="2" name="Picture 2" descr="cid:image004.png@01D4596A.73A29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4596A.73A29F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435">
        <w:rPr>
          <w:rFonts w:ascii="Calibri" w:hAnsi="Calibri" w:cs="Calibri"/>
          <w:noProof w:val="0"/>
          <w:sz w:val="22"/>
          <w:szCs w:val="22"/>
        </w:rPr>
        <w:fldChar w:fldCharType="end"/>
      </w:r>
    </w:p>
    <w:p w14:paraId="05216BCF" w14:textId="199C09A3" w:rsidR="00862435" w:rsidRDefault="00862435" w:rsidP="00862435">
      <w:pPr>
        <w:autoSpaceDE w:val="0"/>
        <w:autoSpaceDN w:val="0"/>
        <w:adjustRightInd w:val="0"/>
      </w:pPr>
    </w:p>
    <w:p w14:paraId="122A7521" w14:textId="64468A60" w:rsidR="00862435" w:rsidRDefault="00862435" w:rsidP="00862435">
      <w:pPr>
        <w:autoSpaceDE w:val="0"/>
        <w:autoSpaceDN w:val="0"/>
        <w:adjustRightInd w:val="0"/>
      </w:pPr>
      <w:r>
        <w:t>The decoding delay is indicative of a</w:t>
      </w:r>
      <w:r w:rsidR="00D46741">
        <w:t>n implementation specific</w:t>
      </w:r>
      <w:r>
        <w:t xml:space="preserve"> delay that exists between the receipt of certain information in a packet and the moment at which it becomes available to the MAC. The decoding starts somewhere </w:t>
      </w:r>
      <w:r w:rsidR="00C70D57">
        <w:t xml:space="preserve">during or </w:t>
      </w:r>
      <w:r>
        <w:t>after the start of the receipt of the information, so the current location in the middle of the SIG is probably fine.</w:t>
      </w:r>
    </w:p>
    <w:p w14:paraId="00E4A9F6" w14:textId="5F58FC0F" w:rsidR="00862435" w:rsidRDefault="00862435" w:rsidP="00862435">
      <w:pPr>
        <w:autoSpaceDE w:val="0"/>
        <w:autoSpaceDN w:val="0"/>
        <w:adjustRightInd w:val="0"/>
      </w:pPr>
    </w:p>
    <w:p w14:paraId="73CAC668" w14:textId="68E02793" w:rsidR="00862435" w:rsidRDefault="00862435" w:rsidP="00862435">
      <w:pPr>
        <w:autoSpaceDE w:val="0"/>
        <w:autoSpaceDN w:val="0"/>
        <w:adjustRightInd w:val="0"/>
      </w:pPr>
      <w:r>
        <w:t>So one option to resolve the comments is to reject with the reason that the decoding delay is indicative and start</w:t>
      </w:r>
      <w:r w:rsidR="00C70D57">
        <w:t>s</w:t>
      </w:r>
      <w:r>
        <w:t xml:space="preserve"> somewhere during or after the </w:t>
      </w:r>
      <w:r w:rsidR="00C70D57">
        <w:t>moment at which the information is received, as shown in the figure.</w:t>
      </w:r>
    </w:p>
    <w:p w14:paraId="49F71D01" w14:textId="28208801" w:rsidR="00C70D57" w:rsidRDefault="00C70D57" w:rsidP="00862435">
      <w:pPr>
        <w:autoSpaceDE w:val="0"/>
        <w:autoSpaceDN w:val="0"/>
        <w:adjustRightInd w:val="0"/>
      </w:pPr>
    </w:p>
    <w:p w14:paraId="030E63A3" w14:textId="50CCC368" w:rsidR="00C70D57" w:rsidRDefault="00C70D57" w:rsidP="00862435">
      <w:pPr>
        <w:autoSpaceDE w:val="0"/>
        <w:autoSpaceDN w:val="0"/>
        <w:adjustRightInd w:val="0"/>
      </w:pPr>
      <w:r>
        <w:t xml:space="preserve">Another option is to revise and add "(indicative)" </w:t>
      </w:r>
      <w:r w:rsidR="00D46741">
        <w:t xml:space="preserve">or "(implementation specific)" </w:t>
      </w:r>
      <w:r>
        <w:t>underneath "Decoding Delay".</w:t>
      </w:r>
    </w:p>
    <w:p w14:paraId="5A7158D4" w14:textId="04AB5158" w:rsidR="00D46741" w:rsidRDefault="00D46741" w:rsidP="00862435">
      <w:pPr>
        <w:autoSpaceDE w:val="0"/>
        <w:autoSpaceDN w:val="0"/>
        <w:adjustRightInd w:val="0"/>
      </w:pPr>
    </w:p>
    <w:p w14:paraId="3B5C3F5D" w14:textId="03FC70EC" w:rsidR="002908EF" w:rsidRDefault="002908EF" w:rsidP="00862435">
      <w:pPr>
        <w:autoSpaceDE w:val="0"/>
        <w:autoSpaceDN w:val="0"/>
        <w:adjustRightInd w:val="0"/>
      </w:pPr>
      <w:r>
        <w:t>Discussion:</w:t>
      </w:r>
    </w:p>
    <w:p w14:paraId="210B9150" w14:textId="77777777" w:rsidR="002908EF" w:rsidRDefault="002908EF" w:rsidP="00862435">
      <w:pPr>
        <w:autoSpaceDE w:val="0"/>
        <w:autoSpaceDN w:val="0"/>
        <w:adjustRightInd w:val="0"/>
      </w:pPr>
    </w:p>
    <w:p w14:paraId="2ED3F8B4" w14:textId="58A85FE6" w:rsidR="0071401B" w:rsidRDefault="002908EF" w:rsidP="00862435">
      <w:pPr>
        <w:autoSpaceDE w:val="0"/>
        <w:autoSpaceDN w:val="0"/>
        <w:adjustRightInd w:val="0"/>
      </w:pPr>
      <w:r>
        <w:t xml:space="preserve">Another option is to </w:t>
      </w:r>
      <w:r w:rsidR="001D75B1">
        <w:t xml:space="preserve">show </w:t>
      </w:r>
      <w:r w:rsidR="00997327">
        <w:t>no starting point</w:t>
      </w:r>
      <w:r w:rsidR="001D75B1">
        <w:t xml:space="preserve"> at all</w:t>
      </w:r>
      <w:r w:rsidR="003272C5">
        <w:t>.</w:t>
      </w:r>
    </w:p>
    <w:p w14:paraId="4E73CD20" w14:textId="4B9124E8" w:rsidR="002908EF" w:rsidRDefault="002908EF" w:rsidP="00862435">
      <w:pPr>
        <w:autoSpaceDE w:val="0"/>
        <w:autoSpaceDN w:val="0"/>
        <w:adjustRightInd w:val="0"/>
      </w:pPr>
    </w:p>
    <w:p w14:paraId="1A41C1C8" w14:textId="44C1C333" w:rsidR="002908EF" w:rsidRDefault="002908EF" w:rsidP="00862435">
      <w:pPr>
        <w:autoSpaceDE w:val="0"/>
        <w:autoSpaceDN w:val="0"/>
        <w:adjustRightInd w:val="0"/>
      </w:pPr>
      <w:r>
        <w:t>There are a total of 7 figures affected.</w:t>
      </w:r>
    </w:p>
    <w:p w14:paraId="586A42DC" w14:textId="7F93C8C3" w:rsidR="002908EF" w:rsidRDefault="002908EF" w:rsidP="00862435">
      <w:pPr>
        <w:autoSpaceDE w:val="0"/>
        <w:autoSpaceDN w:val="0"/>
        <w:adjustRightInd w:val="0"/>
      </w:pPr>
    </w:p>
    <w:p w14:paraId="6389CEAF" w14:textId="1C248EBD" w:rsidR="002908EF" w:rsidRDefault="002908EF" w:rsidP="00862435">
      <w:pPr>
        <w:autoSpaceDE w:val="0"/>
        <w:autoSpaceDN w:val="0"/>
        <w:adjustRightInd w:val="0"/>
      </w:pPr>
      <w:r>
        <w:t>Starting at the beginning of the SIG is fine but symbol reception time should then also be included.</w:t>
      </w:r>
    </w:p>
    <w:p w14:paraId="04BB677A" w14:textId="247D6081" w:rsidR="003272C5" w:rsidRDefault="003272C5" w:rsidP="00862435">
      <w:pPr>
        <w:autoSpaceDE w:val="0"/>
        <w:autoSpaceDN w:val="0"/>
        <w:adjustRightInd w:val="0"/>
      </w:pPr>
    </w:p>
    <w:p w14:paraId="17FB6CC4" w14:textId="0F185F67" w:rsidR="001D75B1" w:rsidRDefault="001D75B1" w:rsidP="00862435">
      <w:pPr>
        <w:autoSpaceDE w:val="0"/>
        <w:autoSpaceDN w:val="0"/>
        <w:adjustRightInd w:val="0"/>
      </w:pPr>
      <w:r>
        <w:t>Proposed resolution as discussed on th</w:t>
      </w:r>
      <w:r w:rsidR="00DC224D">
        <w:t>e call (Mike has the right one i</w:t>
      </w:r>
      <w:bookmarkStart w:id="0" w:name="_GoBack"/>
      <w:bookmarkEnd w:id="0"/>
      <w:r>
        <w:t>n the comment spreadsheet):</w:t>
      </w:r>
    </w:p>
    <w:p w14:paraId="0B46A660" w14:textId="77777777" w:rsidR="001D75B1" w:rsidRDefault="001D75B1" w:rsidP="00862435">
      <w:pPr>
        <w:autoSpaceDE w:val="0"/>
        <w:autoSpaceDN w:val="0"/>
        <w:adjustRightInd w:val="0"/>
      </w:pPr>
    </w:p>
    <w:p w14:paraId="273B104E" w14:textId="77F0930B" w:rsidR="00AD18EA" w:rsidRDefault="00233538" w:rsidP="002908EF">
      <w:pPr>
        <w:autoSpaceDE w:val="0"/>
        <w:autoSpaceDN w:val="0"/>
        <w:adjustRightInd w:val="0"/>
        <w:ind w:left="720"/>
      </w:pPr>
      <w:r>
        <w:t xml:space="preserve">Move the start of the "Decoding Delay" </w:t>
      </w:r>
      <w:r w:rsidR="00AD18EA">
        <w:t xml:space="preserve">arrow </w:t>
      </w:r>
      <w:r>
        <w:t xml:space="preserve">to the </w:t>
      </w:r>
      <w:r w:rsidR="00AD18EA">
        <w:t xml:space="preserve">beginning of </w:t>
      </w:r>
      <w:r>
        <w:t xml:space="preserve">the </w:t>
      </w:r>
      <w:r w:rsidR="009F2FAB">
        <w:t>(L-)(HT-)</w:t>
      </w:r>
      <w:r w:rsidR="00AD18EA">
        <w:t>SIG</w:t>
      </w:r>
      <w:r w:rsidR="009F2FAB">
        <w:t>(NAL)</w:t>
      </w:r>
      <w:r w:rsidR="00AD18EA">
        <w:t xml:space="preserve"> field </w:t>
      </w:r>
      <w:r w:rsidR="009F2FAB">
        <w:t xml:space="preserve">in the lower part </w:t>
      </w:r>
      <w:r w:rsidR="00AD18EA">
        <w:t xml:space="preserve">and rename </w:t>
      </w:r>
      <w:r>
        <w:t>"Decoding Delay" to "S</w:t>
      </w:r>
      <w:r w:rsidR="00AD18EA">
        <w:t>ymbol reception</w:t>
      </w:r>
      <w:r w:rsidR="009F2FAB">
        <w:t xml:space="preserve"> and </w:t>
      </w:r>
      <w:r w:rsidR="00AD18EA">
        <w:t>implemen</w:t>
      </w:r>
      <w:r w:rsidR="009F2FAB">
        <w:t>tation specific</w:t>
      </w:r>
      <w:r w:rsidR="00AD18EA">
        <w:t xml:space="preserve"> decoding delay"</w:t>
      </w:r>
    </w:p>
    <w:p w14:paraId="35427529" w14:textId="28A50BAB" w:rsidR="00AD18EA" w:rsidRDefault="00AD18EA" w:rsidP="002908EF">
      <w:pPr>
        <w:autoSpaceDE w:val="0"/>
        <w:autoSpaceDN w:val="0"/>
        <w:adjustRightInd w:val="0"/>
        <w:ind w:left="720"/>
      </w:pPr>
    </w:p>
    <w:p w14:paraId="5EBD6660" w14:textId="5C785EC9" w:rsidR="00AD18EA" w:rsidRDefault="001D75B1" w:rsidP="002908EF">
      <w:pPr>
        <w:autoSpaceDE w:val="0"/>
        <w:autoSpaceDN w:val="0"/>
        <w:adjustRightInd w:val="0"/>
        <w:ind w:left="720"/>
      </w:pPr>
      <w:r>
        <w:t xml:space="preserve">Affected </w:t>
      </w:r>
      <w:r w:rsidR="00AD18EA">
        <w:t>figures (D1.5):</w:t>
      </w:r>
    </w:p>
    <w:p w14:paraId="10D91EDD" w14:textId="77777777" w:rsidR="001D75B1" w:rsidRDefault="001D75B1" w:rsidP="002908EF">
      <w:pPr>
        <w:autoSpaceDE w:val="0"/>
        <w:autoSpaceDN w:val="0"/>
        <w:adjustRightInd w:val="0"/>
        <w:ind w:left="720"/>
      </w:pPr>
    </w:p>
    <w:p w14:paraId="6F99FDBC" w14:textId="6A81E05D" w:rsidR="00AD18EA" w:rsidRDefault="00AD18EA" w:rsidP="002908EF">
      <w:pPr>
        <w:autoSpaceDE w:val="0"/>
        <w:autoSpaceDN w:val="0"/>
        <w:adjustRightInd w:val="0"/>
        <w:ind w:left="720"/>
      </w:pPr>
      <w:r>
        <w:t>17-19</w:t>
      </w:r>
    </w:p>
    <w:p w14:paraId="1389322B" w14:textId="2F13C05F" w:rsidR="00AD18EA" w:rsidRDefault="00AD18EA" w:rsidP="002908EF">
      <w:pPr>
        <w:autoSpaceDE w:val="0"/>
        <w:autoSpaceDN w:val="0"/>
        <w:adjustRightInd w:val="0"/>
        <w:ind w:left="720"/>
      </w:pPr>
      <w:r>
        <w:t>19-25</w:t>
      </w:r>
      <w:r w:rsidR="009F2FAB">
        <w:t xml:space="preserve"> (only change to the name, arrow start point is correct)</w:t>
      </w:r>
    </w:p>
    <w:p w14:paraId="05283D66" w14:textId="4F668685" w:rsidR="00AD18EA" w:rsidRDefault="00AD18EA" w:rsidP="002908EF">
      <w:pPr>
        <w:autoSpaceDE w:val="0"/>
        <w:autoSpaceDN w:val="0"/>
        <w:adjustRightInd w:val="0"/>
        <w:ind w:left="720"/>
      </w:pPr>
      <w:r>
        <w:t>19-26</w:t>
      </w:r>
      <w:r w:rsidR="00233538">
        <w:t xml:space="preserve"> (currently has no such arrow, should be added)</w:t>
      </w:r>
    </w:p>
    <w:p w14:paraId="1CDA93CF" w14:textId="01E02914" w:rsidR="00233538" w:rsidRDefault="00233538" w:rsidP="002908EF">
      <w:pPr>
        <w:autoSpaceDE w:val="0"/>
        <w:autoSpaceDN w:val="0"/>
        <w:adjustRightInd w:val="0"/>
        <w:ind w:left="720"/>
      </w:pPr>
      <w:r>
        <w:t>21-36</w:t>
      </w:r>
    </w:p>
    <w:p w14:paraId="514F140D" w14:textId="3F392EF0" w:rsidR="00233538" w:rsidRDefault="00233538" w:rsidP="002908EF">
      <w:pPr>
        <w:autoSpaceDE w:val="0"/>
        <w:autoSpaceDN w:val="0"/>
        <w:adjustRightInd w:val="0"/>
        <w:ind w:left="720"/>
      </w:pPr>
      <w:r>
        <w:lastRenderedPageBreak/>
        <w:t>23-33</w:t>
      </w:r>
    </w:p>
    <w:p w14:paraId="2503F8C4" w14:textId="0F948F6D" w:rsidR="00AD18EA" w:rsidRDefault="00233538" w:rsidP="002908EF">
      <w:pPr>
        <w:autoSpaceDE w:val="0"/>
        <w:autoSpaceDN w:val="0"/>
        <w:adjustRightInd w:val="0"/>
        <w:ind w:left="720"/>
      </w:pPr>
      <w:r>
        <w:t>23-3</w:t>
      </w:r>
      <w:r w:rsidR="00AD18EA">
        <w:t>4</w:t>
      </w:r>
    </w:p>
    <w:p w14:paraId="262E2AD6" w14:textId="466928FF" w:rsidR="00AD18EA" w:rsidRDefault="00233538" w:rsidP="002908EF">
      <w:pPr>
        <w:autoSpaceDE w:val="0"/>
        <w:autoSpaceDN w:val="0"/>
        <w:adjustRightInd w:val="0"/>
        <w:ind w:left="720"/>
      </w:pPr>
      <w:r>
        <w:t>23-35</w:t>
      </w:r>
    </w:p>
    <w:p w14:paraId="27A0D3F5" w14:textId="0FCA83CF" w:rsidR="00233538" w:rsidRDefault="00233538" w:rsidP="002908EF">
      <w:pPr>
        <w:autoSpaceDE w:val="0"/>
        <w:autoSpaceDN w:val="0"/>
        <w:adjustRightInd w:val="0"/>
        <w:ind w:left="720"/>
      </w:pPr>
    </w:p>
    <w:p w14:paraId="672F4EC6" w14:textId="3625A4AC" w:rsidR="00233538" w:rsidRDefault="00233538" w:rsidP="002908EF">
      <w:pPr>
        <w:autoSpaceDE w:val="0"/>
        <w:autoSpaceDN w:val="0"/>
        <w:adjustRightInd w:val="0"/>
        <w:ind w:left="720"/>
      </w:pPr>
      <w:r>
        <w:t>(7 figures total)</w:t>
      </w:r>
    </w:p>
    <w:p w14:paraId="1C4A8432" w14:textId="6DA8ED7A" w:rsidR="00AD18EA" w:rsidRPr="00BF7D4A" w:rsidRDefault="00AD18EA" w:rsidP="00862435">
      <w:pPr>
        <w:autoSpaceDE w:val="0"/>
        <w:autoSpaceDN w:val="0"/>
        <w:adjustRightInd w:val="0"/>
      </w:pPr>
    </w:p>
    <w:sectPr w:rsidR="00AD18EA" w:rsidRPr="00BF7D4A" w:rsidSect="00D92614">
      <w:headerReference w:type="default" r:id="rId10"/>
      <w:footerReference w:type="default" r:id="rId11"/>
      <w:pgSz w:w="12240" w:h="15840" w:code="1"/>
      <w:pgMar w:top="1080" w:right="1440" w:bottom="1080" w:left="86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D4785" w14:textId="77777777" w:rsidR="005F62EF" w:rsidRDefault="005F62EF">
      <w:r>
        <w:separator/>
      </w:r>
    </w:p>
  </w:endnote>
  <w:endnote w:type="continuationSeparator" w:id="0">
    <w:p w14:paraId="4513F7E1" w14:textId="77777777" w:rsidR="005F62EF" w:rsidRDefault="005F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88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5F62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B81">
      <w:t>Submission</w:t>
    </w:r>
    <w:r>
      <w:fldChar w:fldCharType="end"/>
    </w:r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5B81">
      <w:t>Menzo Wentink, Qualcomm</w:t>
    </w:r>
    <w:r>
      <w:fldChar w:fldCharType="end"/>
    </w:r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459EB" w14:textId="77777777" w:rsidR="005F62EF" w:rsidRDefault="005F62EF">
      <w:r>
        <w:separator/>
      </w:r>
    </w:p>
  </w:footnote>
  <w:footnote w:type="continuationSeparator" w:id="0">
    <w:p w14:paraId="37818D89" w14:textId="77777777" w:rsidR="005F62EF" w:rsidRDefault="005F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6ACC8199" w:rsidR="00E45B81" w:rsidRDefault="005F62E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31954">
      <w:t>September 2018</w:t>
    </w:r>
    <w:r>
      <w:fldChar w:fldCharType="end"/>
    </w:r>
    <w:r w:rsidR="00E45B81">
      <w:tab/>
    </w:r>
    <w:r w:rsidR="00E45B81">
      <w:tab/>
    </w:r>
    <w:r>
      <w:fldChar w:fldCharType="begin"/>
    </w:r>
    <w:r>
      <w:instrText xml:space="preserve"> TITLE  \* MERGEFORMAT </w:instrText>
    </w:r>
    <w:r>
      <w:fldChar w:fldCharType="separate"/>
    </w:r>
    <w:r w:rsidR="009B50AA">
      <w:t>doc.: IEEE 802.11-18/1704r0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F56416"/>
    <w:multiLevelType w:val="hybridMultilevel"/>
    <w:tmpl w:val="F9584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0D53"/>
    <w:multiLevelType w:val="hybridMultilevel"/>
    <w:tmpl w:val="A71696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1665"/>
    <w:multiLevelType w:val="hybridMultilevel"/>
    <w:tmpl w:val="8862BB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12AAF"/>
    <w:multiLevelType w:val="hybridMultilevel"/>
    <w:tmpl w:val="81DAFB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7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8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13"/>
  </w:num>
  <w:num w:numId="16">
    <w:abstractNumId w:val="16"/>
  </w:num>
  <w:num w:numId="17">
    <w:abstractNumId w:val="5"/>
  </w:num>
  <w:num w:numId="18">
    <w:abstractNumId w:val="4"/>
  </w:num>
  <w:num w:numId="19">
    <w:abstractNumId w:val="15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862"/>
    <w:rsid w:val="00006D28"/>
    <w:rsid w:val="00007960"/>
    <w:rsid w:val="00007D8C"/>
    <w:rsid w:val="00010968"/>
    <w:rsid w:val="000116E7"/>
    <w:rsid w:val="00012564"/>
    <w:rsid w:val="000130D9"/>
    <w:rsid w:val="000139C8"/>
    <w:rsid w:val="00015260"/>
    <w:rsid w:val="000157C1"/>
    <w:rsid w:val="0001641A"/>
    <w:rsid w:val="00017D9E"/>
    <w:rsid w:val="00020353"/>
    <w:rsid w:val="000233C0"/>
    <w:rsid w:val="00023710"/>
    <w:rsid w:val="00023A54"/>
    <w:rsid w:val="00024421"/>
    <w:rsid w:val="0002540B"/>
    <w:rsid w:val="0002685B"/>
    <w:rsid w:val="00027BF5"/>
    <w:rsid w:val="00031828"/>
    <w:rsid w:val="0003359A"/>
    <w:rsid w:val="00033C11"/>
    <w:rsid w:val="0003402B"/>
    <w:rsid w:val="00034FC4"/>
    <w:rsid w:val="00035098"/>
    <w:rsid w:val="00036227"/>
    <w:rsid w:val="00036B94"/>
    <w:rsid w:val="0004443C"/>
    <w:rsid w:val="0004477F"/>
    <w:rsid w:val="0004604E"/>
    <w:rsid w:val="000467A2"/>
    <w:rsid w:val="00047B50"/>
    <w:rsid w:val="000500C2"/>
    <w:rsid w:val="000514C0"/>
    <w:rsid w:val="000556F9"/>
    <w:rsid w:val="000602FF"/>
    <w:rsid w:val="00062058"/>
    <w:rsid w:val="00062A8D"/>
    <w:rsid w:val="00062F23"/>
    <w:rsid w:val="000668AF"/>
    <w:rsid w:val="00070079"/>
    <w:rsid w:val="00071822"/>
    <w:rsid w:val="00075B43"/>
    <w:rsid w:val="000767C3"/>
    <w:rsid w:val="00077A52"/>
    <w:rsid w:val="00080CEC"/>
    <w:rsid w:val="00083F34"/>
    <w:rsid w:val="00085109"/>
    <w:rsid w:val="0008547C"/>
    <w:rsid w:val="00085E17"/>
    <w:rsid w:val="000866D2"/>
    <w:rsid w:val="000877BA"/>
    <w:rsid w:val="00090043"/>
    <w:rsid w:val="00093C21"/>
    <w:rsid w:val="00094EF1"/>
    <w:rsid w:val="0009559A"/>
    <w:rsid w:val="000968D6"/>
    <w:rsid w:val="00097313"/>
    <w:rsid w:val="00097F04"/>
    <w:rsid w:val="000A1423"/>
    <w:rsid w:val="000A1B02"/>
    <w:rsid w:val="000A1C21"/>
    <w:rsid w:val="000A1F0E"/>
    <w:rsid w:val="000A2A02"/>
    <w:rsid w:val="000A4F77"/>
    <w:rsid w:val="000A54B6"/>
    <w:rsid w:val="000A6CEA"/>
    <w:rsid w:val="000B0EBF"/>
    <w:rsid w:val="000B15DD"/>
    <w:rsid w:val="000B5564"/>
    <w:rsid w:val="000B6D2C"/>
    <w:rsid w:val="000B7D18"/>
    <w:rsid w:val="000C1CC8"/>
    <w:rsid w:val="000C2343"/>
    <w:rsid w:val="000C2DAE"/>
    <w:rsid w:val="000C3B92"/>
    <w:rsid w:val="000C4A03"/>
    <w:rsid w:val="000C67D5"/>
    <w:rsid w:val="000C70A6"/>
    <w:rsid w:val="000C7354"/>
    <w:rsid w:val="000C7929"/>
    <w:rsid w:val="000D0E9D"/>
    <w:rsid w:val="000D125E"/>
    <w:rsid w:val="000D3DE4"/>
    <w:rsid w:val="000D40D8"/>
    <w:rsid w:val="000D45C5"/>
    <w:rsid w:val="000D5468"/>
    <w:rsid w:val="000E4910"/>
    <w:rsid w:val="000E51ED"/>
    <w:rsid w:val="000F0616"/>
    <w:rsid w:val="000F171B"/>
    <w:rsid w:val="000F199A"/>
    <w:rsid w:val="000F203A"/>
    <w:rsid w:val="000F4089"/>
    <w:rsid w:val="001001D6"/>
    <w:rsid w:val="001004FB"/>
    <w:rsid w:val="001010F1"/>
    <w:rsid w:val="00101578"/>
    <w:rsid w:val="001023A3"/>
    <w:rsid w:val="001035B7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3DA8"/>
    <w:rsid w:val="001346E4"/>
    <w:rsid w:val="00134DA7"/>
    <w:rsid w:val="001364E5"/>
    <w:rsid w:val="0013710B"/>
    <w:rsid w:val="00137E5C"/>
    <w:rsid w:val="00140B4B"/>
    <w:rsid w:val="00141B3A"/>
    <w:rsid w:val="001424B2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3A4"/>
    <w:rsid w:val="001568E5"/>
    <w:rsid w:val="00157537"/>
    <w:rsid w:val="00160DB9"/>
    <w:rsid w:val="00161430"/>
    <w:rsid w:val="0016206F"/>
    <w:rsid w:val="0016386C"/>
    <w:rsid w:val="00163D20"/>
    <w:rsid w:val="001644C1"/>
    <w:rsid w:val="00164785"/>
    <w:rsid w:val="00164C04"/>
    <w:rsid w:val="00165D6E"/>
    <w:rsid w:val="00165EC4"/>
    <w:rsid w:val="00166890"/>
    <w:rsid w:val="00166A18"/>
    <w:rsid w:val="0016720D"/>
    <w:rsid w:val="001679E3"/>
    <w:rsid w:val="00167A1A"/>
    <w:rsid w:val="001701B3"/>
    <w:rsid w:val="001711B0"/>
    <w:rsid w:val="00171707"/>
    <w:rsid w:val="00171DB0"/>
    <w:rsid w:val="00173D75"/>
    <w:rsid w:val="001759F5"/>
    <w:rsid w:val="001767A8"/>
    <w:rsid w:val="00177A65"/>
    <w:rsid w:val="00181748"/>
    <w:rsid w:val="00181D5A"/>
    <w:rsid w:val="00184899"/>
    <w:rsid w:val="00184C82"/>
    <w:rsid w:val="001869A0"/>
    <w:rsid w:val="001917E8"/>
    <w:rsid w:val="00193D21"/>
    <w:rsid w:val="0019479E"/>
    <w:rsid w:val="001947A1"/>
    <w:rsid w:val="00194BA5"/>
    <w:rsid w:val="00195151"/>
    <w:rsid w:val="00195D13"/>
    <w:rsid w:val="0019796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45C"/>
    <w:rsid w:val="001B694C"/>
    <w:rsid w:val="001B6B1E"/>
    <w:rsid w:val="001C0196"/>
    <w:rsid w:val="001C23E6"/>
    <w:rsid w:val="001C34F3"/>
    <w:rsid w:val="001C461A"/>
    <w:rsid w:val="001C4E48"/>
    <w:rsid w:val="001C75C1"/>
    <w:rsid w:val="001D3068"/>
    <w:rsid w:val="001D5195"/>
    <w:rsid w:val="001D594F"/>
    <w:rsid w:val="001D723B"/>
    <w:rsid w:val="001D75B1"/>
    <w:rsid w:val="001E0AC0"/>
    <w:rsid w:val="001E1B4C"/>
    <w:rsid w:val="001E2238"/>
    <w:rsid w:val="001E2974"/>
    <w:rsid w:val="001E5FF1"/>
    <w:rsid w:val="001E6EA8"/>
    <w:rsid w:val="001E7C0C"/>
    <w:rsid w:val="001E7EDA"/>
    <w:rsid w:val="001F0261"/>
    <w:rsid w:val="001F03AA"/>
    <w:rsid w:val="001F0C53"/>
    <w:rsid w:val="001F1C19"/>
    <w:rsid w:val="001F42F2"/>
    <w:rsid w:val="001F6520"/>
    <w:rsid w:val="00203037"/>
    <w:rsid w:val="00204BE8"/>
    <w:rsid w:val="00205467"/>
    <w:rsid w:val="00207C12"/>
    <w:rsid w:val="00210A20"/>
    <w:rsid w:val="00212CBD"/>
    <w:rsid w:val="0021372F"/>
    <w:rsid w:val="002145FC"/>
    <w:rsid w:val="00215CA6"/>
    <w:rsid w:val="0021630B"/>
    <w:rsid w:val="00217190"/>
    <w:rsid w:val="002171A5"/>
    <w:rsid w:val="0022099B"/>
    <w:rsid w:val="002222E6"/>
    <w:rsid w:val="00223A4A"/>
    <w:rsid w:val="002243D3"/>
    <w:rsid w:val="00224EE5"/>
    <w:rsid w:val="00227AAE"/>
    <w:rsid w:val="002301D4"/>
    <w:rsid w:val="00230EE3"/>
    <w:rsid w:val="00233538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9E2"/>
    <w:rsid w:val="0025125F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63DA2"/>
    <w:rsid w:val="00264B41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553C"/>
    <w:rsid w:val="002875F1"/>
    <w:rsid w:val="0029020B"/>
    <w:rsid w:val="002908EF"/>
    <w:rsid w:val="00291637"/>
    <w:rsid w:val="0029286A"/>
    <w:rsid w:val="002930C9"/>
    <w:rsid w:val="00293F85"/>
    <w:rsid w:val="00295902"/>
    <w:rsid w:val="00297250"/>
    <w:rsid w:val="00297605"/>
    <w:rsid w:val="002A01F4"/>
    <w:rsid w:val="002A0436"/>
    <w:rsid w:val="002A08F6"/>
    <w:rsid w:val="002A45C3"/>
    <w:rsid w:val="002B26F0"/>
    <w:rsid w:val="002B308F"/>
    <w:rsid w:val="002B4980"/>
    <w:rsid w:val="002B54A3"/>
    <w:rsid w:val="002C2631"/>
    <w:rsid w:val="002C48F1"/>
    <w:rsid w:val="002C5B52"/>
    <w:rsid w:val="002C5D77"/>
    <w:rsid w:val="002D037B"/>
    <w:rsid w:val="002D0FDF"/>
    <w:rsid w:val="002D1014"/>
    <w:rsid w:val="002D1E26"/>
    <w:rsid w:val="002D4392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0988"/>
    <w:rsid w:val="002F1CD1"/>
    <w:rsid w:val="002F1D77"/>
    <w:rsid w:val="002F2152"/>
    <w:rsid w:val="002F2863"/>
    <w:rsid w:val="002F434E"/>
    <w:rsid w:val="002F640E"/>
    <w:rsid w:val="003003EF"/>
    <w:rsid w:val="0030120A"/>
    <w:rsid w:val="00302432"/>
    <w:rsid w:val="00302D74"/>
    <w:rsid w:val="003044AA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032D"/>
    <w:rsid w:val="003229C4"/>
    <w:rsid w:val="00324011"/>
    <w:rsid w:val="003259C4"/>
    <w:rsid w:val="00326E3C"/>
    <w:rsid w:val="003272C5"/>
    <w:rsid w:val="003276C0"/>
    <w:rsid w:val="00327B89"/>
    <w:rsid w:val="00327FBB"/>
    <w:rsid w:val="00330276"/>
    <w:rsid w:val="00331F23"/>
    <w:rsid w:val="0033467A"/>
    <w:rsid w:val="003354A5"/>
    <w:rsid w:val="003356B0"/>
    <w:rsid w:val="00335788"/>
    <w:rsid w:val="00336A56"/>
    <w:rsid w:val="00336E33"/>
    <w:rsid w:val="0034298D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44F0"/>
    <w:rsid w:val="00365AB2"/>
    <w:rsid w:val="00366485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8128C"/>
    <w:rsid w:val="003813A5"/>
    <w:rsid w:val="0038355C"/>
    <w:rsid w:val="00384483"/>
    <w:rsid w:val="003852D4"/>
    <w:rsid w:val="003871EA"/>
    <w:rsid w:val="00390F34"/>
    <w:rsid w:val="003936E9"/>
    <w:rsid w:val="003941E9"/>
    <w:rsid w:val="003944F5"/>
    <w:rsid w:val="00396C7A"/>
    <w:rsid w:val="00396D34"/>
    <w:rsid w:val="003973C1"/>
    <w:rsid w:val="003A2167"/>
    <w:rsid w:val="003A3A85"/>
    <w:rsid w:val="003A4BED"/>
    <w:rsid w:val="003A5EF4"/>
    <w:rsid w:val="003A6ED7"/>
    <w:rsid w:val="003A747E"/>
    <w:rsid w:val="003B0249"/>
    <w:rsid w:val="003B1B03"/>
    <w:rsid w:val="003B2D88"/>
    <w:rsid w:val="003B2FA2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31D7"/>
    <w:rsid w:val="003C5A13"/>
    <w:rsid w:val="003C6681"/>
    <w:rsid w:val="003D04D5"/>
    <w:rsid w:val="003D0584"/>
    <w:rsid w:val="003D12C0"/>
    <w:rsid w:val="003D15BB"/>
    <w:rsid w:val="003D1FB6"/>
    <w:rsid w:val="003D3116"/>
    <w:rsid w:val="003D346D"/>
    <w:rsid w:val="003D379B"/>
    <w:rsid w:val="003D44AB"/>
    <w:rsid w:val="003E196C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2EC0"/>
    <w:rsid w:val="003F31EB"/>
    <w:rsid w:val="003F4736"/>
    <w:rsid w:val="003F6655"/>
    <w:rsid w:val="003F772E"/>
    <w:rsid w:val="00403303"/>
    <w:rsid w:val="00403C13"/>
    <w:rsid w:val="004057FB"/>
    <w:rsid w:val="00405B42"/>
    <w:rsid w:val="004061FC"/>
    <w:rsid w:val="00407432"/>
    <w:rsid w:val="00410ADA"/>
    <w:rsid w:val="00410BFA"/>
    <w:rsid w:val="004119B2"/>
    <w:rsid w:val="00413108"/>
    <w:rsid w:val="00415258"/>
    <w:rsid w:val="00415DF0"/>
    <w:rsid w:val="0041708E"/>
    <w:rsid w:val="004173B5"/>
    <w:rsid w:val="004202B7"/>
    <w:rsid w:val="00420DF7"/>
    <w:rsid w:val="00424838"/>
    <w:rsid w:val="0042486D"/>
    <w:rsid w:val="00425E62"/>
    <w:rsid w:val="00430501"/>
    <w:rsid w:val="00430B64"/>
    <w:rsid w:val="004333AD"/>
    <w:rsid w:val="00434DB0"/>
    <w:rsid w:val="004353B1"/>
    <w:rsid w:val="0043588D"/>
    <w:rsid w:val="0043609A"/>
    <w:rsid w:val="0043676F"/>
    <w:rsid w:val="004405F7"/>
    <w:rsid w:val="00440D2A"/>
    <w:rsid w:val="00440E46"/>
    <w:rsid w:val="004410CB"/>
    <w:rsid w:val="00441A6E"/>
    <w:rsid w:val="00442037"/>
    <w:rsid w:val="00443293"/>
    <w:rsid w:val="00445012"/>
    <w:rsid w:val="00445AB4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226"/>
    <w:rsid w:val="0046469E"/>
    <w:rsid w:val="0046647B"/>
    <w:rsid w:val="00466606"/>
    <w:rsid w:val="00467E9E"/>
    <w:rsid w:val="00470B48"/>
    <w:rsid w:val="0047123B"/>
    <w:rsid w:val="00471E23"/>
    <w:rsid w:val="0047247E"/>
    <w:rsid w:val="004729EF"/>
    <w:rsid w:val="00472FDE"/>
    <w:rsid w:val="00473EC2"/>
    <w:rsid w:val="00480472"/>
    <w:rsid w:val="00480F67"/>
    <w:rsid w:val="00481200"/>
    <w:rsid w:val="00481C3E"/>
    <w:rsid w:val="004832ED"/>
    <w:rsid w:val="00483649"/>
    <w:rsid w:val="00485230"/>
    <w:rsid w:val="00486712"/>
    <w:rsid w:val="00487071"/>
    <w:rsid w:val="00487905"/>
    <w:rsid w:val="00492D7B"/>
    <w:rsid w:val="00493196"/>
    <w:rsid w:val="0049585F"/>
    <w:rsid w:val="004A0834"/>
    <w:rsid w:val="004A131D"/>
    <w:rsid w:val="004A2AA8"/>
    <w:rsid w:val="004A565B"/>
    <w:rsid w:val="004A6152"/>
    <w:rsid w:val="004A7BBE"/>
    <w:rsid w:val="004B2100"/>
    <w:rsid w:val="004B43B1"/>
    <w:rsid w:val="004B4E25"/>
    <w:rsid w:val="004B6675"/>
    <w:rsid w:val="004C154B"/>
    <w:rsid w:val="004C4081"/>
    <w:rsid w:val="004C4739"/>
    <w:rsid w:val="004C5789"/>
    <w:rsid w:val="004C5D94"/>
    <w:rsid w:val="004C5DEB"/>
    <w:rsid w:val="004C7E02"/>
    <w:rsid w:val="004D315C"/>
    <w:rsid w:val="004D3EA5"/>
    <w:rsid w:val="004D4CC6"/>
    <w:rsid w:val="004D6BE3"/>
    <w:rsid w:val="004E0CE6"/>
    <w:rsid w:val="004E50B1"/>
    <w:rsid w:val="004E7361"/>
    <w:rsid w:val="004F0A26"/>
    <w:rsid w:val="004F24AA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77D6"/>
    <w:rsid w:val="005203C4"/>
    <w:rsid w:val="005209D1"/>
    <w:rsid w:val="00520BF9"/>
    <w:rsid w:val="0052169E"/>
    <w:rsid w:val="00522311"/>
    <w:rsid w:val="00523A96"/>
    <w:rsid w:val="00524F1E"/>
    <w:rsid w:val="00525721"/>
    <w:rsid w:val="00527555"/>
    <w:rsid w:val="00532614"/>
    <w:rsid w:val="00534707"/>
    <w:rsid w:val="00535208"/>
    <w:rsid w:val="00535635"/>
    <w:rsid w:val="0053634F"/>
    <w:rsid w:val="00540004"/>
    <w:rsid w:val="005415F6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4A8E"/>
    <w:rsid w:val="00565E8E"/>
    <w:rsid w:val="00565F0C"/>
    <w:rsid w:val="00565FB1"/>
    <w:rsid w:val="005674EF"/>
    <w:rsid w:val="00570654"/>
    <w:rsid w:val="005711C7"/>
    <w:rsid w:val="00571209"/>
    <w:rsid w:val="00573642"/>
    <w:rsid w:val="005747EC"/>
    <w:rsid w:val="00575E10"/>
    <w:rsid w:val="00577A07"/>
    <w:rsid w:val="00577EA8"/>
    <w:rsid w:val="00585966"/>
    <w:rsid w:val="0058622C"/>
    <w:rsid w:val="00586F04"/>
    <w:rsid w:val="00587854"/>
    <w:rsid w:val="00587B94"/>
    <w:rsid w:val="0059447E"/>
    <w:rsid w:val="0059488E"/>
    <w:rsid w:val="00595AD1"/>
    <w:rsid w:val="00595FFF"/>
    <w:rsid w:val="005A045E"/>
    <w:rsid w:val="005A1ACB"/>
    <w:rsid w:val="005A2AC0"/>
    <w:rsid w:val="005A3827"/>
    <w:rsid w:val="005A4099"/>
    <w:rsid w:val="005A53EE"/>
    <w:rsid w:val="005A557B"/>
    <w:rsid w:val="005A6281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12FF"/>
    <w:rsid w:val="005C387B"/>
    <w:rsid w:val="005C4811"/>
    <w:rsid w:val="005C70E3"/>
    <w:rsid w:val="005C79E5"/>
    <w:rsid w:val="005D0737"/>
    <w:rsid w:val="005D3AB6"/>
    <w:rsid w:val="005D462E"/>
    <w:rsid w:val="005D68B1"/>
    <w:rsid w:val="005D6E92"/>
    <w:rsid w:val="005E119E"/>
    <w:rsid w:val="005E15EB"/>
    <w:rsid w:val="005E1AD0"/>
    <w:rsid w:val="005E2249"/>
    <w:rsid w:val="005E2309"/>
    <w:rsid w:val="005E3C85"/>
    <w:rsid w:val="005E5DB9"/>
    <w:rsid w:val="005E7977"/>
    <w:rsid w:val="005F033E"/>
    <w:rsid w:val="005F07AD"/>
    <w:rsid w:val="005F1103"/>
    <w:rsid w:val="005F2D71"/>
    <w:rsid w:val="005F3E18"/>
    <w:rsid w:val="005F4A00"/>
    <w:rsid w:val="005F62EF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5E51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575F5"/>
    <w:rsid w:val="0066104F"/>
    <w:rsid w:val="00662FBE"/>
    <w:rsid w:val="00664CE7"/>
    <w:rsid w:val="00664DB2"/>
    <w:rsid w:val="00665A06"/>
    <w:rsid w:val="00667800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BA"/>
    <w:rsid w:val="00683487"/>
    <w:rsid w:val="00684532"/>
    <w:rsid w:val="0068471E"/>
    <w:rsid w:val="00684F3D"/>
    <w:rsid w:val="006914D2"/>
    <w:rsid w:val="00691645"/>
    <w:rsid w:val="00694631"/>
    <w:rsid w:val="00694DCD"/>
    <w:rsid w:val="0069610E"/>
    <w:rsid w:val="00696854"/>
    <w:rsid w:val="00697A28"/>
    <w:rsid w:val="00697C05"/>
    <w:rsid w:val="006A1835"/>
    <w:rsid w:val="006A2086"/>
    <w:rsid w:val="006A43A0"/>
    <w:rsid w:val="006A762F"/>
    <w:rsid w:val="006A7A05"/>
    <w:rsid w:val="006B1496"/>
    <w:rsid w:val="006B2177"/>
    <w:rsid w:val="006B2DAF"/>
    <w:rsid w:val="006B319C"/>
    <w:rsid w:val="006B4321"/>
    <w:rsid w:val="006B4CA5"/>
    <w:rsid w:val="006B4D33"/>
    <w:rsid w:val="006B6A51"/>
    <w:rsid w:val="006B6BF7"/>
    <w:rsid w:val="006B6EE3"/>
    <w:rsid w:val="006C0083"/>
    <w:rsid w:val="006C0727"/>
    <w:rsid w:val="006C0A8B"/>
    <w:rsid w:val="006C0DFC"/>
    <w:rsid w:val="006C1BAD"/>
    <w:rsid w:val="006C21CC"/>
    <w:rsid w:val="006C4D68"/>
    <w:rsid w:val="006C70B8"/>
    <w:rsid w:val="006C714D"/>
    <w:rsid w:val="006C73C5"/>
    <w:rsid w:val="006D0989"/>
    <w:rsid w:val="006D2852"/>
    <w:rsid w:val="006D2F2C"/>
    <w:rsid w:val="006D368A"/>
    <w:rsid w:val="006D3810"/>
    <w:rsid w:val="006D73CA"/>
    <w:rsid w:val="006D7E8A"/>
    <w:rsid w:val="006E145F"/>
    <w:rsid w:val="006E3547"/>
    <w:rsid w:val="006E44FF"/>
    <w:rsid w:val="006E5468"/>
    <w:rsid w:val="006E5B33"/>
    <w:rsid w:val="006E621A"/>
    <w:rsid w:val="006F19BB"/>
    <w:rsid w:val="006F2308"/>
    <w:rsid w:val="006F2B59"/>
    <w:rsid w:val="006F306A"/>
    <w:rsid w:val="006F4207"/>
    <w:rsid w:val="00701157"/>
    <w:rsid w:val="00701DD0"/>
    <w:rsid w:val="007024C0"/>
    <w:rsid w:val="00703AA6"/>
    <w:rsid w:val="00703BE7"/>
    <w:rsid w:val="007051ED"/>
    <w:rsid w:val="00705E2F"/>
    <w:rsid w:val="00706767"/>
    <w:rsid w:val="00707353"/>
    <w:rsid w:val="007114AC"/>
    <w:rsid w:val="00711D56"/>
    <w:rsid w:val="0071401B"/>
    <w:rsid w:val="007178B3"/>
    <w:rsid w:val="0072030C"/>
    <w:rsid w:val="00721427"/>
    <w:rsid w:val="00723995"/>
    <w:rsid w:val="007249EC"/>
    <w:rsid w:val="00725BCF"/>
    <w:rsid w:val="00725D79"/>
    <w:rsid w:val="00726DEF"/>
    <w:rsid w:val="00731ACD"/>
    <w:rsid w:val="007320CD"/>
    <w:rsid w:val="0073274A"/>
    <w:rsid w:val="00733942"/>
    <w:rsid w:val="007339B4"/>
    <w:rsid w:val="00736672"/>
    <w:rsid w:val="007373C7"/>
    <w:rsid w:val="00740335"/>
    <w:rsid w:val="007406A1"/>
    <w:rsid w:val="00743785"/>
    <w:rsid w:val="00743B40"/>
    <w:rsid w:val="00743BA8"/>
    <w:rsid w:val="00745546"/>
    <w:rsid w:val="00745BEA"/>
    <w:rsid w:val="00745F37"/>
    <w:rsid w:val="00747FFC"/>
    <w:rsid w:val="00750232"/>
    <w:rsid w:val="007507C2"/>
    <w:rsid w:val="00750D69"/>
    <w:rsid w:val="00753946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345B"/>
    <w:rsid w:val="0077482B"/>
    <w:rsid w:val="00776030"/>
    <w:rsid w:val="00776700"/>
    <w:rsid w:val="00776A8A"/>
    <w:rsid w:val="00783534"/>
    <w:rsid w:val="007842C0"/>
    <w:rsid w:val="00784416"/>
    <w:rsid w:val="0078462C"/>
    <w:rsid w:val="00784AEC"/>
    <w:rsid w:val="007855D4"/>
    <w:rsid w:val="00787584"/>
    <w:rsid w:val="0079046B"/>
    <w:rsid w:val="007906DC"/>
    <w:rsid w:val="00790ED5"/>
    <w:rsid w:val="00791A99"/>
    <w:rsid w:val="00791D23"/>
    <w:rsid w:val="00792DD7"/>
    <w:rsid w:val="00794A86"/>
    <w:rsid w:val="007954D3"/>
    <w:rsid w:val="00796182"/>
    <w:rsid w:val="00796F0E"/>
    <w:rsid w:val="007A0207"/>
    <w:rsid w:val="007A0827"/>
    <w:rsid w:val="007A46A7"/>
    <w:rsid w:val="007A499A"/>
    <w:rsid w:val="007A597A"/>
    <w:rsid w:val="007A695F"/>
    <w:rsid w:val="007A7804"/>
    <w:rsid w:val="007A7E3E"/>
    <w:rsid w:val="007B1320"/>
    <w:rsid w:val="007B1557"/>
    <w:rsid w:val="007B2539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D01"/>
    <w:rsid w:val="007C7ED0"/>
    <w:rsid w:val="007D0C74"/>
    <w:rsid w:val="007D18D0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10AA"/>
    <w:rsid w:val="007F1341"/>
    <w:rsid w:val="007F3359"/>
    <w:rsid w:val="007F3B59"/>
    <w:rsid w:val="007F4646"/>
    <w:rsid w:val="007F5C65"/>
    <w:rsid w:val="00801CE7"/>
    <w:rsid w:val="0080294D"/>
    <w:rsid w:val="00803E96"/>
    <w:rsid w:val="00805AFC"/>
    <w:rsid w:val="00807014"/>
    <w:rsid w:val="00810900"/>
    <w:rsid w:val="008109C3"/>
    <w:rsid w:val="008113C3"/>
    <w:rsid w:val="00812BC1"/>
    <w:rsid w:val="00813B60"/>
    <w:rsid w:val="00815A2C"/>
    <w:rsid w:val="00815B5B"/>
    <w:rsid w:val="00816187"/>
    <w:rsid w:val="00816B39"/>
    <w:rsid w:val="008177C7"/>
    <w:rsid w:val="008222E0"/>
    <w:rsid w:val="008254DC"/>
    <w:rsid w:val="00825C2D"/>
    <w:rsid w:val="00827483"/>
    <w:rsid w:val="0083158A"/>
    <w:rsid w:val="00831AC1"/>
    <w:rsid w:val="0083270F"/>
    <w:rsid w:val="00833E00"/>
    <w:rsid w:val="00835B59"/>
    <w:rsid w:val="008365D0"/>
    <w:rsid w:val="008406A5"/>
    <w:rsid w:val="0084090F"/>
    <w:rsid w:val="0084122C"/>
    <w:rsid w:val="00842242"/>
    <w:rsid w:val="00842B81"/>
    <w:rsid w:val="0084388E"/>
    <w:rsid w:val="00844539"/>
    <w:rsid w:val="0084504C"/>
    <w:rsid w:val="008459EF"/>
    <w:rsid w:val="00845EBB"/>
    <w:rsid w:val="00846FE6"/>
    <w:rsid w:val="008508A5"/>
    <w:rsid w:val="00851448"/>
    <w:rsid w:val="0085168F"/>
    <w:rsid w:val="008516A8"/>
    <w:rsid w:val="00851BCC"/>
    <w:rsid w:val="00853BA4"/>
    <w:rsid w:val="008545E5"/>
    <w:rsid w:val="00856542"/>
    <w:rsid w:val="008603AE"/>
    <w:rsid w:val="00862435"/>
    <w:rsid w:val="00862461"/>
    <w:rsid w:val="008625C9"/>
    <w:rsid w:val="00863125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63A"/>
    <w:rsid w:val="00871929"/>
    <w:rsid w:val="00871CBB"/>
    <w:rsid w:val="00871FBC"/>
    <w:rsid w:val="008737C9"/>
    <w:rsid w:val="008738EE"/>
    <w:rsid w:val="00873935"/>
    <w:rsid w:val="00873B6C"/>
    <w:rsid w:val="00873BC4"/>
    <w:rsid w:val="0087405E"/>
    <w:rsid w:val="008754F2"/>
    <w:rsid w:val="008761BF"/>
    <w:rsid w:val="0087678D"/>
    <w:rsid w:val="0088183E"/>
    <w:rsid w:val="00881DAA"/>
    <w:rsid w:val="00882DF9"/>
    <w:rsid w:val="00882F62"/>
    <w:rsid w:val="00884779"/>
    <w:rsid w:val="00884CD7"/>
    <w:rsid w:val="008853F2"/>
    <w:rsid w:val="008902F8"/>
    <w:rsid w:val="008922B6"/>
    <w:rsid w:val="008947BF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B7718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0DD4"/>
    <w:rsid w:val="008D2F49"/>
    <w:rsid w:val="008D322C"/>
    <w:rsid w:val="008D3EBE"/>
    <w:rsid w:val="008D7313"/>
    <w:rsid w:val="008E43BB"/>
    <w:rsid w:val="008E4C09"/>
    <w:rsid w:val="008E4FEA"/>
    <w:rsid w:val="008E5728"/>
    <w:rsid w:val="008E5944"/>
    <w:rsid w:val="008F0EC0"/>
    <w:rsid w:val="008F100F"/>
    <w:rsid w:val="008F2617"/>
    <w:rsid w:val="008F3008"/>
    <w:rsid w:val="008F345A"/>
    <w:rsid w:val="008F4561"/>
    <w:rsid w:val="008F60D8"/>
    <w:rsid w:val="008F6E73"/>
    <w:rsid w:val="008F7296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5D2F"/>
    <w:rsid w:val="00917819"/>
    <w:rsid w:val="00924436"/>
    <w:rsid w:val="00924941"/>
    <w:rsid w:val="00924A6A"/>
    <w:rsid w:val="00925401"/>
    <w:rsid w:val="00926E5F"/>
    <w:rsid w:val="009307D5"/>
    <w:rsid w:val="009314F8"/>
    <w:rsid w:val="00931A27"/>
    <w:rsid w:val="009339A6"/>
    <w:rsid w:val="009339FC"/>
    <w:rsid w:val="00936293"/>
    <w:rsid w:val="00937AEB"/>
    <w:rsid w:val="00937B18"/>
    <w:rsid w:val="00937B28"/>
    <w:rsid w:val="009417BA"/>
    <w:rsid w:val="00944D3F"/>
    <w:rsid w:val="0094515A"/>
    <w:rsid w:val="00950A8B"/>
    <w:rsid w:val="00951D4F"/>
    <w:rsid w:val="009527AF"/>
    <w:rsid w:val="00954F4E"/>
    <w:rsid w:val="009558AD"/>
    <w:rsid w:val="0095665D"/>
    <w:rsid w:val="0095693B"/>
    <w:rsid w:val="00956CB4"/>
    <w:rsid w:val="00957BFE"/>
    <w:rsid w:val="00957C85"/>
    <w:rsid w:val="00965069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327"/>
    <w:rsid w:val="00997C08"/>
    <w:rsid w:val="00997C98"/>
    <w:rsid w:val="009A2163"/>
    <w:rsid w:val="009A2A54"/>
    <w:rsid w:val="009A35CF"/>
    <w:rsid w:val="009A6AA9"/>
    <w:rsid w:val="009A6BD8"/>
    <w:rsid w:val="009B000B"/>
    <w:rsid w:val="009B20F3"/>
    <w:rsid w:val="009B4886"/>
    <w:rsid w:val="009B50AA"/>
    <w:rsid w:val="009B55A5"/>
    <w:rsid w:val="009B571D"/>
    <w:rsid w:val="009C3094"/>
    <w:rsid w:val="009C48A9"/>
    <w:rsid w:val="009C4C0C"/>
    <w:rsid w:val="009C6379"/>
    <w:rsid w:val="009D03E1"/>
    <w:rsid w:val="009D31F9"/>
    <w:rsid w:val="009D3E26"/>
    <w:rsid w:val="009D44EB"/>
    <w:rsid w:val="009D498D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672F"/>
    <w:rsid w:val="009F067A"/>
    <w:rsid w:val="009F163C"/>
    <w:rsid w:val="009F18BC"/>
    <w:rsid w:val="009F1ECD"/>
    <w:rsid w:val="009F2FAB"/>
    <w:rsid w:val="009F303D"/>
    <w:rsid w:val="009F311C"/>
    <w:rsid w:val="009F41C5"/>
    <w:rsid w:val="00A018E6"/>
    <w:rsid w:val="00A019C0"/>
    <w:rsid w:val="00A03DFF"/>
    <w:rsid w:val="00A07E60"/>
    <w:rsid w:val="00A10C86"/>
    <w:rsid w:val="00A15682"/>
    <w:rsid w:val="00A21266"/>
    <w:rsid w:val="00A23E1C"/>
    <w:rsid w:val="00A255E3"/>
    <w:rsid w:val="00A256D4"/>
    <w:rsid w:val="00A268A1"/>
    <w:rsid w:val="00A31954"/>
    <w:rsid w:val="00A31D4F"/>
    <w:rsid w:val="00A328FA"/>
    <w:rsid w:val="00A33767"/>
    <w:rsid w:val="00A35BEE"/>
    <w:rsid w:val="00A37479"/>
    <w:rsid w:val="00A41AC6"/>
    <w:rsid w:val="00A446B1"/>
    <w:rsid w:val="00A4503E"/>
    <w:rsid w:val="00A46833"/>
    <w:rsid w:val="00A50341"/>
    <w:rsid w:val="00A534F5"/>
    <w:rsid w:val="00A55CB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1D7"/>
    <w:rsid w:val="00A8063F"/>
    <w:rsid w:val="00A80ED2"/>
    <w:rsid w:val="00A811C9"/>
    <w:rsid w:val="00A83788"/>
    <w:rsid w:val="00A839CC"/>
    <w:rsid w:val="00A85BD1"/>
    <w:rsid w:val="00A86869"/>
    <w:rsid w:val="00A87BC4"/>
    <w:rsid w:val="00A90E05"/>
    <w:rsid w:val="00A92942"/>
    <w:rsid w:val="00A934DE"/>
    <w:rsid w:val="00A944EF"/>
    <w:rsid w:val="00A9549A"/>
    <w:rsid w:val="00A95629"/>
    <w:rsid w:val="00A9730C"/>
    <w:rsid w:val="00AA1D14"/>
    <w:rsid w:val="00AA2BEE"/>
    <w:rsid w:val="00AA427C"/>
    <w:rsid w:val="00AA5033"/>
    <w:rsid w:val="00AA5392"/>
    <w:rsid w:val="00AA6687"/>
    <w:rsid w:val="00AA7AB8"/>
    <w:rsid w:val="00AA7CE9"/>
    <w:rsid w:val="00AB03B4"/>
    <w:rsid w:val="00AB0AF0"/>
    <w:rsid w:val="00AB0EA3"/>
    <w:rsid w:val="00AB0FD2"/>
    <w:rsid w:val="00AB11CA"/>
    <w:rsid w:val="00AB33EF"/>
    <w:rsid w:val="00AB3E56"/>
    <w:rsid w:val="00AB4B54"/>
    <w:rsid w:val="00AB7AFB"/>
    <w:rsid w:val="00AC29D8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18EA"/>
    <w:rsid w:val="00AD4846"/>
    <w:rsid w:val="00AD6EF4"/>
    <w:rsid w:val="00AE0FD0"/>
    <w:rsid w:val="00AE10FA"/>
    <w:rsid w:val="00AE2185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5A4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002B"/>
    <w:rsid w:val="00B439FD"/>
    <w:rsid w:val="00B45272"/>
    <w:rsid w:val="00B4548C"/>
    <w:rsid w:val="00B470B0"/>
    <w:rsid w:val="00B473A9"/>
    <w:rsid w:val="00B50A7D"/>
    <w:rsid w:val="00B50C9E"/>
    <w:rsid w:val="00B50D54"/>
    <w:rsid w:val="00B50F30"/>
    <w:rsid w:val="00B53B65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537A"/>
    <w:rsid w:val="00B76A93"/>
    <w:rsid w:val="00B77C74"/>
    <w:rsid w:val="00B81CCB"/>
    <w:rsid w:val="00B82DCA"/>
    <w:rsid w:val="00B83CED"/>
    <w:rsid w:val="00B83EA9"/>
    <w:rsid w:val="00B83F44"/>
    <w:rsid w:val="00B84A86"/>
    <w:rsid w:val="00B855DC"/>
    <w:rsid w:val="00B85906"/>
    <w:rsid w:val="00B918C4"/>
    <w:rsid w:val="00B91B56"/>
    <w:rsid w:val="00B92234"/>
    <w:rsid w:val="00B94157"/>
    <w:rsid w:val="00B94C9C"/>
    <w:rsid w:val="00B9534A"/>
    <w:rsid w:val="00B95D3E"/>
    <w:rsid w:val="00B97DF5"/>
    <w:rsid w:val="00BA0B2C"/>
    <w:rsid w:val="00BA2043"/>
    <w:rsid w:val="00BA277E"/>
    <w:rsid w:val="00BA2839"/>
    <w:rsid w:val="00BA69AD"/>
    <w:rsid w:val="00BB02B9"/>
    <w:rsid w:val="00BB1249"/>
    <w:rsid w:val="00BB1E74"/>
    <w:rsid w:val="00BB2201"/>
    <w:rsid w:val="00BB2538"/>
    <w:rsid w:val="00BB2F14"/>
    <w:rsid w:val="00BB44C9"/>
    <w:rsid w:val="00BB4976"/>
    <w:rsid w:val="00BB53E6"/>
    <w:rsid w:val="00BB5917"/>
    <w:rsid w:val="00BB694B"/>
    <w:rsid w:val="00BC01DE"/>
    <w:rsid w:val="00BC168C"/>
    <w:rsid w:val="00BC20C0"/>
    <w:rsid w:val="00BC24EB"/>
    <w:rsid w:val="00BC2F74"/>
    <w:rsid w:val="00BC386F"/>
    <w:rsid w:val="00BC4192"/>
    <w:rsid w:val="00BC4E00"/>
    <w:rsid w:val="00BC6485"/>
    <w:rsid w:val="00BC6D16"/>
    <w:rsid w:val="00BC739A"/>
    <w:rsid w:val="00BD018C"/>
    <w:rsid w:val="00BD0331"/>
    <w:rsid w:val="00BD08BA"/>
    <w:rsid w:val="00BD0D26"/>
    <w:rsid w:val="00BD1802"/>
    <w:rsid w:val="00BD3F58"/>
    <w:rsid w:val="00BD544B"/>
    <w:rsid w:val="00BD7824"/>
    <w:rsid w:val="00BD7F57"/>
    <w:rsid w:val="00BE31A2"/>
    <w:rsid w:val="00BE4F29"/>
    <w:rsid w:val="00BE5EDF"/>
    <w:rsid w:val="00BE6861"/>
    <w:rsid w:val="00BE68C2"/>
    <w:rsid w:val="00BF087D"/>
    <w:rsid w:val="00BF3019"/>
    <w:rsid w:val="00BF3A00"/>
    <w:rsid w:val="00BF52A7"/>
    <w:rsid w:val="00BF7951"/>
    <w:rsid w:val="00BF7D4A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2C75"/>
    <w:rsid w:val="00C238A9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2C9F"/>
    <w:rsid w:val="00C44722"/>
    <w:rsid w:val="00C44D9C"/>
    <w:rsid w:val="00C515F4"/>
    <w:rsid w:val="00C52F84"/>
    <w:rsid w:val="00C5367F"/>
    <w:rsid w:val="00C539B8"/>
    <w:rsid w:val="00C54D51"/>
    <w:rsid w:val="00C57453"/>
    <w:rsid w:val="00C575B9"/>
    <w:rsid w:val="00C6034E"/>
    <w:rsid w:val="00C611A0"/>
    <w:rsid w:val="00C61CCC"/>
    <w:rsid w:val="00C6436E"/>
    <w:rsid w:val="00C6450D"/>
    <w:rsid w:val="00C64E67"/>
    <w:rsid w:val="00C6622A"/>
    <w:rsid w:val="00C70D57"/>
    <w:rsid w:val="00C7373E"/>
    <w:rsid w:val="00C73D5E"/>
    <w:rsid w:val="00C75A0F"/>
    <w:rsid w:val="00C77282"/>
    <w:rsid w:val="00C77FFA"/>
    <w:rsid w:val="00C80619"/>
    <w:rsid w:val="00C83006"/>
    <w:rsid w:val="00C84F73"/>
    <w:rsid w:val="00C852E7"/>
    <w:rsid w:val="00C85347"/>
    <w:rsid w:val="00C86810"/>
    <w:rsid w:val="00C903F8"/>
    <w:rsid w:val="00C91324"/>
    <w:rsid w:val="00C9300F"/>
    <w:rsid w:val="00C9519E"/>
    <w:rsid w:val="00C963D4"/>
    <w:rsid w:val="00C97493"/>
    <w:rsid w:val="00CA09B2"/>
    <w:rsid w:val="00CA2FD5"/>
    <w:rsid w:val="00CA6281"/>
    <w:rsid w:val="00CB0BE0"/>
    <w:rsid w:val="00CB2B1C"/>
    <w:rsid w:val="00CB4A36"/>
    <w:rsid w:val="00CB4D9E"/>
    <w:rsid w:val="00CC0FF0"/>
    <w:rsid w:val="00CC1A52"/>
    <w:rsid w:val="00CC2541"/>
    <w:rsid w:val="00CC4382"/>
    <w:rsid w:val="00CC5988"/>
    <w:rsid w:val="00CC6BBE"/>
    <w:rsid w:val="00CC793B"/>
    <w:rsid w:val="00CD02F9"/>
    <w:rsid w:val="00CD3C8A"/>
    <w:rsid w:val="00CD4B79"/>
    <w:rsid w:val="00CD65CB"/>
    <w:rsid w:val="00CD6C40"/>
    <w:rsid w:val="00CD6CB0"/>
    <w:rsid w:val="00CE172E"/>
    <w:rsid w:val="00CE1C87"/>
    <w:rsid w:val="00CE3059"/>
    <w:rsid w:val="00CE3745"/>
    <w:rsid w:val="00CE4D87"/>
    <w:rsid w:val="00CE5780"/>
    <w:rsid w:val="00CE62AB"/>
    <w:rsid w:val="00CF0C2A"/>
    <w:rsid w:val="00CF30BF"/>
    <w:rsid w:val="00CF500F"/>
    <w:rsid w:val="00CF793C"/>
    <w:rsid w:val="00CF7EE0"/>
    <w:rsid w:val="00D01969"/>
    <w:rsid w:val="00D0301B"/>
    <w:rsid w:val="00D034C1"/>
    <w:rsid w:val="00D057FE"/>
    <w:rsid w:val="00D07A7E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0EBB"/>
    <w:rsid w:val="00D30F8D"/>
    <w:rsid w:val="00D311F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46741"/>
    <w:rsid w:val="00D46F81"/>
    <w:rsid w:val="00D52DBA"/>
    <w:rsid w:val="00D53E2A"/>
    <w:rsid w:val="00D56243"/>
    <w:rsid w:val="00D56A92"/>
    <w:rsid w:val="00D56F7E"/>
    <w:rsid w:val="00D57959"/>
    <w:rsid w:val="00D57B0A"/>
    <w:rsid w:val="00D57CAC"/>
    <w:rsid w:val="00D607ED"/>
    <w:rsid w:val="00D60B17"/>
    <w:rsid w:val="00D61A18"/>
    <w:rsid w:val="00D64487"/>
    <w:rsid w:val="00D663BE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2614"/>
    <w:rsid w:val="00D96B45"/>
    <w:rsid w:val="00D96D20"/>
    <w:rsid w:val="00D97D7D"/>
    <w:rsid w:val="00DA036E"/>
    <w:rsid w:val="00DA101F"/>
    <w:rsid w:val="00DA31E3"/>
    <w:rsid w:val="00DA396D"/>
    <w:rsid w:val="00DA3DC7"/>
    <w:rsid w:val="00DA549A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24D"/>
    <w:rsid w:val="00DC2D83"/>
    <w:rsid w:val="00DC3636"/>
    <w:rsid w:val="00DC36EB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118"/>
    <w:rsid w:val="00DE3942"/>
    <w:rsid w:val="00DE3D72"/>
    <w:rsid w:val="00DE63E5"/>
    <w:rsid w:val="00DE72B7"/>
    <w:rsid w:val="00DF04C9"/>
    <w:rsid w:val="00DF14DE"/>
    <w:rsid w:val="00DF48E6"/>
    <w:rsid w:val="00DF70D1"/>
    <w:rsid w:val="00DF7432"/>
    <w:rsid w:val="00DF771E"/>
    <w:rsid w:val="00E005E6"/>
    <w:rsid w:val="00E010A0"/>
    <w:rsid w:val="00E01240"/>
    <w:rsid w:val="00E04EEA"/>
    <w:rsid w:val="00E05902"/>
    <w:rsid w:val="00E05D1A"/>
    <w:rsid w:val="00E104F4"/>
    <w:rsid w:val="00E115B8"/>
    <w:rsid w:val="00E17BA0"/>
    <w:rsid w:val="00E17C8D"/>
    <w:rsid w:val="00E21BF3"/>
    <w:rsid w:val="00E2467B"/>
    <w:rsid w:val="00E24D1C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266"/>
    <w:rsid w:val="00E45413"/>
    <w:rsid w:val="00E45B81"/>
    <w:rsid w:val="00E47280"/>
    <w:rsid w:val="00E52B4D"/>
    <w:rsid w:val="00E53B62"/>
    <w:rsid w:val="00E5497C"/>
    <w:rsid w:val="00E54F44"/>
    <w:rsid w:val="00E555B9"/>
    <w:rsid w:val="00E561C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0A39"/>
    <w:rsid w:val="00E81929"/>
    <w:rsid w:val="00E81CA2"/>
    <w:rsid w:val="00E8296C"/>
    <w:rsid w:val="00E87D23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53FC"/>
    <w:rsid w:val="00EB67E3"/>
    <w:rsid w:val="00EB68EA"/>
    <w:rsid w:val="00EC01F8"/>
    <w:rsid w:val="00EC2928"/>
    <w:rsid w:val="00EC3B1C"/>
    <w:rsid w:val="00ED233A"/>
    <w:rsid w:val="00ED2F6D"/>
    <w:rsid w:val="00EE2120"/>
    <w:rsid w:val="00EE5C8B"/>
    <w:rsid w:val="00EE77BB"/>
    <w:rsid w:val="00EE7F02"/>
    <w:rsid w:val="00EF05ED"/>
    <w:rsid w:val="00EF1DD8"/>
    <w:rsid w:val="00EF313D"/>
    <w:rsid w:val="00EF337A"/>
    <w:rsid w:val="00EF4DED"/>
    <w:rsid w:val="00EF5C95"/>
    <w:rsid w:val="00EF5FDB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C9E"/>
    <w:rsid w:val="00F13ECE"/>
    <w:rsid w:val="00F15936"/>
    <w:rsid w:val="00F16C28"/>
    <w:rsid w:val="00F178BD"/>
    <w:rsid w:val="00F2143E"/>
    <w:rsid w:val="00F21933"/>
    <w:rsid w:val="00F22F9D"/>
    <w:rsid w:val="00F23FE3"/>
    <w:rsid w:val="00F24905"/>
    <w:rsid w:val="00F25AF6"/>
    <w:rsid w:val="00F263E3"/>
    <w:rsid w:val="00F32443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90F"/>
    <w:rsid w:val="00F47EC6"/>
    <w:rsid w:val="00F5002A"/>
    <w:rsid w:val="00F50A90"/>
    <w:rsid w:val="00F521A2"/>
    <w:rsid w:val="00F54518"/>
    <w:rsid w:val="00F61B58"/>
    <w:rsid w:val="00F624BE"/>
    <w:rsid w:val="00F65F39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90DD7"/>
    <w:rsid w:val="00F91329"/>
    <w:rsid w:val="00F9208A"/>
    <w:rsid w:val="00F928FA"/>
    <w:rsid w:val="00F93A97"/>
    <w:rsid w:val="00F947A4"/>
    <w:rsid w:val="00F94972"/>
    <w:rsid w:val="00F976C3"/>
    <w:rsid w:val="00FA0BE7"/>
    <w:rsid w:val="00FA264C"/>
    <w:rsid w:val="00FA2D08"/>
    <w:rsid w:val="00FA3D5A"/>
    <w:rsid w:val="00FA40F4"/>
    <w:rsid w:val="00FB0CCE"/>
    <w:rsid w:val="00FB21A5"/>
    <w:rsid w:val="00FB408D"/>
    <w:rsid w:val="00FB422B"/>
    <w:rsid w:val="00FB47AF"/>
    <w:rsid w:val="00FB4BC3"/>
    <w:rsid w:val="00FB5FB1"/>
    <w:rsid w:val="00FB6DB2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39B3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E71CF"/>
    <w:rsid w:val="00FF01FA"/>
    <w:rsid w:val="00FF129D"/>
    <w:rsid w:val="00FF1598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EDE789-0B4A-B546-B7B5-A6297494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2029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802.11-18/1704r0</vt:lpstr>
    </vt:vector>
  </TitlesOfParts>
  <Manager/>
  <Company>Qualcomm</Company>
  <LinksUpToDate>false</LinksUpToDate>
  <CharactersWithSpaces>2401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802.11-18/1704r0</dc:title>
  <dc:subject>Submission</dc:subject>
  <dc:creator>Menzo Wentink</dc:creator>
  <cp:keywords>September 2018</cp:keywords>
  <dc:description>Menzo Wentink, Qualcomm</dc:description>
  <cp:lastModifiedBy>Menzo Wentink</cp:lastModifiedBy>
  <cp:revision>2</cp:revision>
  <cp:lastPrinted>2014-07-05T01:59:00Z</cp:lastPrinted>
  <dcterms:created xsi:type="dcterms:W3CDTF">2018-10-05T15:53:00Z</dcterms:created>
  <dcterms:modified xsi:type="dcterms:W3CDTF">2018-10-05T15:53:00Z</dcterms:modified>
  <cp:category/>
</cp:coreProperties>
</file>