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28B0B96F" w:rsidR="00972D83" w:rsidRPr="00BD6FB0" w:rsidRDefault="0094117C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r w:rsidR="00972D83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CID 17150</w:t>
            </w:r>
          </w:p>
          <w:p w14:paraId="3A8EE7E2" w14:textId="6A396B8E"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3A313E7" w:rsidR="00BD6FB0" w:rsidRPr="00EC7CC4" w:rsidRDefault="00BD6FB0" w:rsidP="00E77BC1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972D83">
              <w:t>10</w:t>
            </w:r>
            <w:r w:rsidR="00361A7D">
              <w:t>-</w:t>
            </w:r>
            <w:r w:rsidR="00E77BC1">
              <w:rPr>
                <w:rFonts w:eastAsiaTheme="minorEastAsia"/>
                <w:lang w:eastAsia="ja-JP"/>
              </w:rPr>
              <w:t>01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1, </w:t>
            </w:r>
            <w:proofErr w:type="spellStart"/>
            <w:r>
              <w:rPr>
                <w:rFonts w:eastAsiaTheme="minorEastAsia" w:hint="eastAsia"/>
                <w:lang w:eastAsia="ja-JP"/>
              </w:rPr>
              <w:t>Komukai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Toshiba-</w:t>
            </w:r>
            <w:proofErr w:type="spellStart"/>
            <w:r>
              <w:rPr>
                <w:rFonts w:eastAsiaTheme="minorEastAsia" w:hint="eastAsia"/>
                <w:lang w:eastAsia="ja-JP"/>
              </w:rPr>
              <w:t>cho</w:t>
            </w:r>
            <w:proofErr w:type="spellEnd"/>
            <w:r>
              <w:rPr>
                <w:rFonts w:eastAsiaTheme="minorEastAsia" w:hint="eastAsia"/>
                <w:lang w:eastAsia="ja-JP"/>
              </w:rPr>
              <w:t>, Saiwai-</w:t>
            </w:r>
            <w:proofErr w:type="spellStart"/>
            <w:r>
              <w:rPr>
                <w:rFonts w:eastAsiaTheme="minorEastAsia" w:hint="eastAsia"/>
                <w:lang w:eastAsia="ja-JP"/>
              </w:rPr>
              <w:t>ku</w:t>
            </w:r>
            <w:proofErr w:type="spellEnd"/>
            <w:r>
              <w:rPr>
                <w:rFonts w:eastAsiaTheme="minorEastAsia" w:hint="eastAsia"/>
                <w:lang w:eastAsia="ja-JP"/>
              </w:rPr>
              <w:t>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765D98D7" w:rsidR="00F61C24" w:rsidRDefault="00707C99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 w:rsidR="00972D83">
                              <w:rPr>
                                <w:lang w:eastAsia="ko-KR"/>
                              </w:rPr>
                              <w:t>or the following CID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A453D5"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subclause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972D83">
                              <w:rPr>
                                <w:lang w:eastAsia="ko-KR"/>
                              </w:rPr>
                              <w:t>27.4</w:t>
                            </w:r>
                            <w:r w:rsidR="00046FE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F61C24">
                              <w:rPr>
                                <w:lang w:eastAsia="ko-KR"/>
                              </w:rPr>
                              <w:t>(</w:t>
                            </w:r>
                            <w:r w:rsidR="00972D83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1</w:t>
                            </w:r>
                            <w:r w:rsidR="00F61C24"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F61C24"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1BF92CB1" w14:textId="15E3DD9F" w:rsidR="00046FEF" w:rsidRDefault="00972D83" w:rsidP="0061459C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 w:rsidRPr="00972D83">
                              <w:rPr>
                                <w:rFonts w:eastAsiaTheme="minorEastAsia"/>
                                <w:lang w:eastAsia="ja-JP"/>
                              </w:rPr>
                              <w:t>17150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765D98D7" w:rsidR="00F61C24" w:rsidRDefault="00707C99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 w:rsidR="00972D83">
                        <w:rPr>
                          <w:lang w:eastAsia="ko-KR"/>
                        </w:rPr>
                        <w:t>or the following CID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A453D5"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ko-KR"/>
                        </w:rPr>
                        <w:t>subclause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</w:t>
                      </w:r>
                      <w:r w:rsidR="00972D83">
                        <w:rPr>
                          <w:lang w:eastAsia="ko-KR"/>
                        </w:rPr>
                        <w:t>27.4</w:t>
                      </w:r>
                      <w:r w:rsidR="00046FEF">
                        <w:rPr>
                          <w:lang w:eastAsia="ko-KR"/>
                        </w:rPr>
                        <w:t xml:space="preserve"> </w:t>
                      </w:r>
                      <w:r w:rsidR="00F61C24">
                        <w:rPr>
                          <w:lang w:eastAsia="ko-KR"/>
                        </w:rPr>
                        <w:t>(</w:t>
                      </w:r>
                      <w:r w:rsidR="00972D83">
                        <w:rPr>
                          <w:rFonts w:eastAsiaTheme="minorEastAsia"/>
                          <w:b/>
                          <w:lang w:eastAsia="ja-JP"/>
                        </w:rPr>
                        <w:t>1</w:t>
                      </w:r>
                      <w:r w:rsidR="00F61C24"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F61C24">
                        <w:rPr>
                          <w:lang w:eastAsia="ko-KR"/>
                        </w:rPr>
                        <w:t>):</w:t>
                      </w:r>
                    </w:p>
                    <w:p w14:paraId="1BF92CB1" w14:textId="15E3DD9F" w:rsidR="00046FEF" w:rsidRDefault="00972D83" w:rsidP="0061459C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 w:rsidRPr="00972D83">
                        <w:rPr>
                          <w:rFonts w:eastAsiaTheme="minorEastAsia"/>
                          <w:lang w:eastAsia="ja-JP"/>
                        </w:rPr>
                        <w:t>17150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A2CC2F8" w14:textId="222BA8DA" w:rsidR="009C5C19" w:rsidRDefault="00972D83" w:rsidP="009C5C1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t>27.4</w:t>
      </w:r>
      <w:r w:rsidR="006E7FD0">
        <w:rPr>
          <w:rFonts w:eastAsiaTheme="minorEastAsia"/>
          <w:u w:val="single"/>
          <w:lang w:val="en-US" w:eastAsia="ja-JP"/>
        </w:rPr>
        <w:t>.1</w:t>
      </w:r>
    </w:p>
    <w:p w14:paraId="2ADFECAC" w14:textId="77777777"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4"/>
        <w:gridCol w:w="1330"/>
        <w:gridCol w:w="828"/>
        <w:gridCol w:w="2734"/>
        <w:gridCol w:w="1707"/>
        <w:gridCol w:w="1977"/>
      </w:tblGrid>
      <w:tr w:rsidR="00E05E12" w14:paraId="39815F89" w14:textId="77777777" w:rsidTr="00E05E12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1" w:type="pct"/>
            <w:shd w:val="clear" w:color="auto" w:fill="FFFFFF" w:themeFill="background1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43" w:type="pct"/>
            <w:shd w:val="clear" w:color="auto" w:fill="FFFFFF" w:themeFill="background1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62" w:type="pct"/>
            <w:shd w:val="clear" w:color="auto" w:fill="FFFFFF" w:themeFill="background1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13" w:type="pct"/>
            <w:shd w:val="clear" w:color="auto" w:fill="FFFFFF" w:themeFill="background1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57" w:type="pct"/>
            <w:shd w:val="clear" w:color="auto" w:fill="FFFFFF" w:themeFill="background1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05E12" w14:paraId="0ED9148A" w14:textId="77777777" w:rsidTr="00E05E12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A07C429" w14:textId="20755C9E" w:rsidR="00E05E12" w:rsidRDefault="00E05E12" w:rsidP="00E05E12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17150</w:t>
            </w:r>
          </w:p>
        </w:tc>
        <w:tc>
          <w:tcPr>
            <w:tcW w:w="711" w:type="pct"/>
            <w:shd w:val="clear" w:color="auto" w:fill="FFFFFF" w:themeFill="background1"/>
          </w:tcPr>
          <w:p w14:paraId="76FD2CBC" w14:textId="51730996" w:rsidR="00E05E12" w:rsidRPr="009C5C19" w:rsidRDefault="00E05E12" w:rsidP="00E05E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Zhou Lan</w:t>
            </w:r>
          </w:p>
        </w:tc>
        <w:tc>
          <w:tcPr>
            <w:tcW w:w="443" w:type="pct"/>
            <w:shd w:val="clear" w:color="auto" w:fill="FFFFFF" w:themeFill="background1"/>
          </w:tcPr>
          <w:p w14:paraId="69AA3250" w14:textId="495EEFA4" w:rsidR="00E05E12" w:rsidRDefault="00E05E12" w:rsidP="00E05E1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268.00</w:t>
            </w:r>
          </w:p>
        </w:tc>
        <w:tc>
          <w:tcPr>
            <w:tcW w:w="1462" w:type="pct"/>
            <w:shd w:val="clear" w:color="auto" w:fill="FFFFFF" w:themeFill="background1"/>
          </w:tcPr>
          <w:p w14:paraId="16FBDB4B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"</w:t>
            </w:r>
            <w:proofErr w:type="spellStart"/>
            <w:r w:rsidRPr="00E05E12">
              <w:rPr>
                <w:rFonts w:ascii="Arial" w:hAnsi="Arial" w:cs="Arial"/>
                <w:sz w:val="20"/>
              </w:rPr>
              <w:t>An</w:t>
            </w:r>
            <w:proofErr w:type="spellEnd"/>
            <w:r w:rsidRPr="00E05E12">
              <w:rPr>
                <w:rFonts w:ascii="Arial" w:hAnsi="Arial" w:cs="Arial"/>
                <w:sz w:val="20"/>
              </w:rPr>
              <w:t xml:space="preserve"> HE AP that sends a Multi-STA</w:t>
            </w:r>
          </w:p>
          <w:p w14:paraId="57189A18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proofErr w:type="spellStart"/>
            <w:r w:rsidRPr="00E05E1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E05E12">
              <w:rPr>
                <w:rFonts w:ascii="Arial" w:hAnsi="Arial" w:cs="Arial"/>
                <w:sz w:val="20"/>
              </w:rPr>
              <w:t xml:space="preserve"> frame where the Per AID TID Info fields are all addressed to a single recipient STA and that is</w:t>
            </w:r>
          </w:p>
          <w:p w14:paraId="65DC805B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 xml:space="preserve">sent in response to an HE TB PPDU may set the RA field of the Multi-STA </w:t>
            </w:r>
            <w:proofErr w:type="spellStart"/>
            <w:r w:rsidRPr="00E05E12">
              <w:rPr>
                <w:rFonts w:ascii="Arial" w:hAnsi="Arial" w:cs="Arial"/>
                <w:sz w:val="20"/>
              </w:rPr>
              <w:t>BlockAck</w:t>
            </w:r>
            <w:proofErr w:type="spellEnd"/>
            <w:r w:rsidRPr="00E05E12">
              <w:rPr>
                <w:rFonts w:ascii="Arial" w:hAnsi="Arial" w:cs="Arial"/>
                <w:sz w:val="20"/>
              </w:rPr>
              <w:t xml:space="preserve"> frame to either the</w:t>
            </w:r>
          </w:p>
          <w:p w14:paraId="573503A4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 xml:space="preserve">address of the recipient STA or to the broadcast address. </w:t>
            </w:r>
            <w:proofErr w:type="spellStart"/>
            <w:r w:rsidRPr="00E05E12">
              <w:rPr>
                <w:rFonts w:ascii="Arial" w:hAnsi="Arial" w:cs="Arial"/>
                <w:sz w:val="20"/>
              </w:rPr>
              <w:t>An</w:t>
            </w:r>
            <w:proofErr w:type="spellEnd"/>
            <w:r w:rsidRPr="00E05E12">
              <w:rPr>
                <w:rFonts w:ascii="Arial" w:hAnsi="Arial" w:cs="Arial"/>
                <w:sz w:val="20"/>
              </w:rPr>
              <w:t xml:space="preserve"> HE AP that sends a Multi-STA </w:t>
            </w:r>
            <w:proofErr w:type="spellStart"/>
            <w:r w:rsidRPr="00E05E12">
              <w:rPr>
                <w:rFonts w:ascii="Arial" w:hAnsi="Arial" w:cs="Arial"/>
                <w:sz w:val="20"/>
              </w:rPr>
              <w:t>BlockAck</w:t>
            </w:r>
            <w:proofErr w:type="spellEnd"/>
          </w:p>
          <w:p w14:paraId="27D98997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frame where the Per AID TID Info fields are all addressed to a single recipient STA and that is sent in</w:t>
            </w:r>
          </w:p>
          <w:p w14:paraId="5F80259E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response to an HE SU PPDU, HE ER SU PPDU or HE MU PPDU shall set the RA field to the address of the</w:t>
            </w:r>
          </w:p>
          <w:p w14:paraId="4159173B" w14:textId="52300E57" w:rsidR="00E05E12" w:rsidRPr="00231656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recipient STA." Please clarify why the RA setting rule is different of HE TB PPDU from other type of PPDU. MSTA BA is a MAC frame and the setting of the field of a MAC frame should be PHY agnostic.</w:t>
            </w:r>
          </w:p>
        </w:tc>
        <w:tc>
          <w:tcPr>
            <w:tcW w:w="913" w:type="pct"/>
            <w:shd w:val="clear" w:color="auto" w:fill="FFFFFF" w:themeFill="background1"/>
          </w:tcPr>
          <w:p w14:paraId="11DD090E" w14:textId="7A05A42E" w:rsidR="00E05E12" w:rsidRPr="00231656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1057" w:type="pct"/>
            <w:shd w:val="clear" w:color="auto" w:fill="FFFFFF" w:themeFill="background1"/>
          </w:tcPr>
          <w:p w14:paraId="02C468CC" w14:textId="77777777" w:rsidR="00E05E12" w:rsidRDefault="00E05E12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Revised. </w:t>
            </w:r>
          </w:p>
          <w:p w14:paraId="67B110A9" w14:textId="14644336" w:rsidR="00E05E12" w:rsidRPr="00C13C1B" w:rsidRDefault="00E05E12" w:rsidP="006E7FD0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See the instructions to the </w:t>
            </w:r>
            <w:proofErr w:type="spellStart"/>
            <w:r>
              <w:rPr>
                <w:rFonts w:ascii="Arial" w:eastAsiaTheme="minorEastAsia" w:hAnsi="Arial" w:cs="Arial"/>
                <w:sz w:val="20"/>
                <w:lang w:eastAsia="ja-JP"/>
              </w:rPr>
              <w:t>TGax</w:t>
            </w:r>
            <w:proofErr w:type="spellEnd"/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 editor in doc. 11-18/</w:t>
            </w:r>
            <w:r w:rsidR="00A565EF">
              <w:rPr>
                <w:rFonts w:ascii="Arial" w:eastAsiaTheme="minorEastAsia" w:hAnsi="Arial" w:cs="Arial" w:hint="eastAsia"/>
                <w:sz w:val="20"/>
                <w:lang w:eastAsia="ja-JP"/>
              </w:rPr>
              <w:t>1703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r</w:t>
            </w:r>
            <w:r w:rsidR="006E7FD0">
              <w:rPr>
                <w:rFonts w:ascii="Arial" w:eastAsiaTheme="minorEastAsia" w:hAnsi="Arial" w:cs="Arial"/>
                <w:sz w:val="20"/>
                <w:lang w:eastAsia="ja-JP"/>
              </w:rPr>
              <w:t>1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. </w:t>
            </w:r>
          </w:p>
        </w:tc>
      </w:tr>
      <w:tr w:rsidR="00E05E12" w14:paraId="40DB8BD6" w14:textId="77777777" w:rsidTr="00E05E12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19F1BF8" w14:textId="65FCE912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1" w:type="pct"/>
            <w:shd w:val="clear" w:color="auto" w:fill="FFFFFF" w:themeFill="background1"/>
          </w:tcPr>
          <w:p w14:paraId="6000D4E1" w14:textId="1D15BCE9" w:rsidR="003A3E8F" w:rsidRPr="009C5C19" w:rsidRDefault="003A3E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14:paraId="1AF3A923" w14:textId="400864F4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62" w:type="pct"/>
            <w:shd w:val="clear" w:color="auto" w:fill="FFFFFF" w:themeFill="background1"/>
          </w:tcPr>
          <w:p w14:paraId="10AC5EB0" w14:textId="4DBBFDE7" w:rsidR="003A3E8F" w:rsidRPr="00231656" w:rsidRDefault="003A3E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3FB9378A" w14:textId="3FD79D58" w:rsidR="003A3E8F" w:rsidRPr="00231656" w:rsidRDefault="003A3E8F" w:rsidP="002316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7" w:type="pct"/>
            <w:shd w:val="clear" w:color="auto" w:fill="FFFFFF" w:themeFill="background1"/>
          </w:tcPr>
          <w:p w14:paraId="3F948C6A" w14:textId="0E5A78C4" w:rsidR="003A3E8F" w:rsidRDefault="003A3E8F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548D1797" w14:textId="06C0DBF5" w:rsidR="009E4067" w:rsidRDefault="009E4067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62C93B88" w14:textId="77777777" w:rsidR="00972D83" w:rsidRDefault="00972D83">
      <w:pPr>
        <w:rPr>
          <w:rFonts w:asciiTheme="majorHAnsi" w:eastAsiaTheme="majorEastAsia" w:hAnsiTheme="majorHAnsi" w:cstheme="majorBidi"/>
          <w:b/>
          <w:iCs/>
          <w:sz w:val="24"/>
          <w:lang w:val="en-US" w:eastAsia="ja-JP"/>
        </w:rPr>
      </w:pPr>
      <w:r>
        <w:rPr>
          <w:lang w:val="en-US" w:eastAsia="ja-JP"/>
        </w:rPr>
        <w:br w:type="page"/>
      </w:r>
    </w:p>
    <w:p w14:paraId="73F0428F" w14:textId="25E996EF" w:rsidR="00303414" w:rsidRDefault="00972D83" w:rsidP="00303414">
      <w:pPr>
        <w:pStyle w:val="3"/>
        <w:numPr>
          <w:ilvl w:val="0"/>
          <w:numId w:val="0"/>
        </w:numPr>
        <w:rPr>
          <w:lang w:eastAsia="ja-JP"/>
        </w:rPr>
      </w:pPr>
      <w:r>
        <w:rPr>
          <w:rFonts w:eastAsiaTheme="minorEastAsia"/>
          <w:lang w:eastAsia="ja-JP"/>
        </w:rPr>
        <w:lastRenderedPageBreak/>
        <w:t>27.4</w:t>
      </w:r>
      <w:r w:rsidR="00303414" w:rsidRPr="00303414">
        <w:rPr>
          <w:lang w:eastAsia="ja-JP"/>
        </w:rPr>
        <w:t xml:space="preserve"> </w:t>
      </w:r>
      <w:r w:rsidRPr="00972D83">
        <w:rPr>
          <w:lang w:eastAsia="ja-JP"/>
        </w:rPr>
        <w:t>HE acknowledgment procedure</w:t>
      </w:r>
    </w:p>
    <w:p w14:paraId="5169CD8D" w14:textId="12875DD9" w:rsidR="006E7FD0" w:rsidRDefault="006E7FD0" w:rsidP="006E7FD0">
      <w:pPr>
        <w:pStyle w:val="3"/>
        <w:numPr>
          <w:ilvl w:val="0"/>
          <w:numId w:val="0"/>
        </w:numPr>
        <w:rPr>
          <w:lang w:eastAsia="ja-JP"/>
        </w:rPr>
      </w:pPr>
      <w:r>
        <w:rPr>
          <w:rFonts w:eastAsiaTheme="minorEastAsia"/>
          <w:lang w:eastAsia="ja-JP"/>
        </w:rPr>
        <w:t>27.4</w:t>
      </w:r>
      <w:r>
        <w:rPr>
          <w:rFonts w:eastAsiaTheme="minorEastAsia"/>
          <w:lang w:eastAsia="ja-JP"/>
        </w:rPr>
        <w:t>.1</w:t>
      </w:r>
      <w:r w:rsidRPr="00303414">
        <w:rPr>
          <w:lang w:eastAsia="ja-JP"/>
        </w:rPr>
        <w:t xml:space="preserve"> </w:t>
      </w:r>
      <w:r w:rsidRPr="006E7FD0">
        <w:rPr>
          <w:lang w:eastAsia="ja-JP"/>
        </w:rPr>
        <w:t>Overview</w:t>
      </w:r>
    </w:p>
    <w:p w14:paraId="5A669D2B" w14:textId="42CB6B82" w:rsidR="001459D4" w:rsidRPr="002B69F9" w:rsidRDefault="00972D83" w:rsidP="001459D4">
      <w:pPr>
        <w:pStyle w:val="EditingInstruction"/>
        <w:rPr>
          <w:rFonts w:eastAsiaTheme="minorEastAsia"/>
          <w:lang w:eastAsia="ja-JP"/>
        </w:rPr>
      </w:pPr>
      <w:proofErr w:type="spellStart"/>
      <w:r w:rsidRPr="00E05E12">
        <w:rPr>
          <w:rFonts w:eastAsiaTheme="minorEastAsia"/>
          <w:highlight w:val="yellow"/>
          <w:lang w:eastAsia="ja-JP"/>
        </w:rPr>
        <w:t>TGax</w:t>
      </w:r>
      <w:proofErr w:type="spellEnd"/>
      <w:r w:rsidRPr="00E05E12">
        <w:rPr>
          <w:rFonts w:eastAsiaTheme="minorEastAsia"/>
          <w:highlight w:val="yellow"/>
          <w:lang w:eastAsia="ja-JP"/>
        </w:rPr>
        <w:t xml:space="preserve"> Editor: </w:t>
      </w:r>
      <w:r w:rsidR="001459D4" w:rsidRPr="00E05E12">
        <w:rPr>
          <w:rFonts w:eastAsiaTheme="minorEastAsia"/>
          <w:highlight w:val="yellow"/>
          <w:lang w:eastAsia="ja-JP"/>
        </w:rPr>
        <w:t xml:space="preserve">Change </w:t>
      </w:r>
      <w:r w:rsidRPr="00E05E12">
        <w:rPr>
          <w:rFonts w:eastAsiaTheme="minorEastAsia"/>
          <w:highlight w:val="yellow"/>
          <w:lang w:eastAsia="ja-JP"/>
        </w:rPr>
        <w:t>the 4th paragraph</w:t>
      </w:r>
      <w:r w:rsidR="006C4D75">
        <w:rPr>
          <w:rFonts w:eastAsiaTheme="minorEastAsia"/>
          <w:highlight w:val="yellow"/>
          <w:lang w:eastAsia="ja-JP"/>
        </w:rPr>
        <w:t xml:space="preserve"> in P802.11ax D3.</w:t>
      </w:r>
      <w:r w:rsidR="006E7FD0">
        <w:rPr>
          <w:rFonts w:eastAsiaTheme="minorEastAsia"/>
          <w:highlight w:val="yellow"/>
          <w:lang w:eastAsia="ja-JP"/>
        </w:rPr>
        <w:t>2</w:t>
      </w:r>
      <w:r w:rsidR="006C4D75">
        <w:rPr>
          <w:rFonts w:eastAsiaTheme="minorEastAsia"/>
          <w:highlight w:val="yellow"/>
          <w:lang w:eastAsia="ja-JP"/>
        </w:rPr>
        <w:t xml:space="preserve"> </w:t>
      </w:r>
      <w:r w:rsidR="001459D4" w:rsidRPr="00E05E12">
        <w:rPr>
          <w:rFonts w:eastAsiaTheme="minorEastAsia"/>
          <w:highlight w:val="yellow"/>
          <w:lang w:eastAsia="ja-JP"/>
        </w:rPr>
        <w:t>as follows:</w:t>
      </w:r>
    </w:p>
    <w:p w14:paraId="02ED7793" w14:textId="1EF08560" w:rsidR="00303414" w:rsidRDefault="002A4AB0" w:rsidP="002A4AB0">
      <w:pPr>
        <w:pStyle w:val="BodyText"/>
        <w:rPr>
          <w:rFonts w:eastAsiaTheme="minorEastAsia"/>
          <w:sz w:val="20"/>
          <w:lang w:eastAsia="ja-JP"/>
        </w:rPr>
      </w:pPr>
      <w:proofErr w:type="spellStart"/>
      <w:r w:rsidRPr="002A4AB0">
        <w:rPr>
          <w:rFonts w:eastAsiaTheme="minorEastAsia"/>
          <w:sz w:val="20"/>
          <w:lang w:eastAsia="ja-JP"/>
        </w:rPr>
        <w:t>An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HE AP that sends a Multi-STA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frame where the Per AID TID Info fields are addressed to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 xml:space="preserve">more than one STA shall set the RA field to the broadcast address. </w:t>
      </w:r>
      <w:proofErr w:type="spellStart"/>
      <w:r w:rsidRPr="002A4AB0">
        <w:rPr>
          <w:rFonts w:eastAsiaTheme="minorEastAsia"/>
          <w:sz w:val="20"/>
          <w:lang w:eastAsia="ja-JP"/>
        </w:rPr>
        <w:t>An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HE AP that sends a Multi-STA</w:t>
      </w:r>
      <w:r>
        <w:rPr>
          <w:rFonts w:eastAsiaTheme="minorEastAsia"/>
          <w:sz w:val="20"/>
          <w:lang w:eastAsia="ja-JP"/>
        </w:rPr>
        <w:t xml:space="preserve">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frame where the Per AID TID Info fields are all addressed to a single recipient STA</w:t>
      </w:r>
      <w:del w:id="0" w:author="adachi" w:date="2018-09-19T10:36:00Z">
        <w:r w:rsidRPr="002A4AB0" w:rsidDel="009F572D">
          <w:rPr>
            <w:rFonts w:eastAsiaTheme="minorEastAsia"/>
            <w:sz w:val="20"/>
            <w:lang w:eastAsia="ja-JP"/>
          </w:rPr>
          <w:delText xml:space="preserve"> and that is</w:delText>
        </w:r>
        <w:r w:rsidDel="009F572D">
          <w:rPr>
            <w:rFonts w:eastAsiaTheme="minorEastAsia"/>
            <w:sz w:val="20"/>
            <w:lang w:eastAsia="ja-JP"/>
          </w:rPr>
          <w:delText xml:space="preserve"> </w:delText>
        </w:r>
        <w:r w:rsidRPr="002A4AB0" w:rsidDel="009F572D">
          <w:rPr>
            <w:rFonts w:eastAsiaTheme="minorEastAsia"/>
            <w:sz w:val="20"/>
            <w:lang w:eastAsia="ja-JP"/>
          </w:rPr>
          <w:delText>sent in response to an HE TB PPDU</w:delText>
        </w:r>
      </w:del>
      <w:r w:rsidRPr="002A4AB0">
        <w:rPr>
          <w:rFonts w:eastAsiaTheme="minorEastAsia"/>
          <w:sz w:val="20"/>
          <w:lang w:eastAsia="ja-JP"/>
        </w:rPr>
        <w:t xml:space="preserve"> may set the RA field of the Multi-STA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frame to either the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address of the recipient STA or to the broadcast address</w:t>
      </w:r>
      <w:ins w:id="1" w:author="adachi" w:date="2018-09-19T10:34:00Z">
        <w:r w:rsidR="009F572D">
          <w:rPr>
            <w:rFonts w:eastAsiaTheme="minorEastAsia"/>
            <w:sz w:val="20"/>
            <w:lang w:eastAsia="ja-JP"/>
          </w:rPr>
          <w:t xml:space="preserve">, if the Multi-STA </w:t>
        </w:r>
        <w:proofErr w:type="spellStart"/>
        <w:r w:rsidR="009F572D">
          <w:rPr>
            <w:rFonts w:eastAsiaTheme="minorEastAsia"/>
            <w:sz w:val="20"/>
            <w:lang w:eastAsia="ja-JP"/>
          </w:rPr>
          <w:t>BlockAck</w:t>
        </w:r>
        <w:proofErr w:type="spellEnd"/>
        <w:r w:rsidR="009F572D">
          <w:rPr>
            <w:rFonts w:eastAsiaTheme="minorEastAsia"/>
            <w:sz w:val="20"/>
            <w:lang w:eastAsia="ja-JP"/>
          </w:rPr>
          <w:t xml:space="preserve"> frame is sent in response to an HE TB PPDU</w:t>
        </w:r>
      </w:ins>
      <w:r w:rsidRPr="002A4AB0">
        <w:rPr>
          <w:rFonts w:eastAsiaTheme="minorEastAsia"/>
          <w:sz w:val="20"/>
          <w:lang w:eastAsia="ja-JP"/>
        </w:rPr>
        <w:t xml:space="preserve">. </w:t>
      </w:r>
      <w:del w:id="2" w:author="adachi" w:date="2018-09-19T10:36:00Z">
        <w:r w:rsidRPr="002A4AB0" w:rsidDel="009F572D">
          <w:rPr>
            <w:rFonts w:eastAsiaTheme="minorEastAsia"/>
            <w:sz w:val="20"/>
            <w:lang w:eastAsia="ja-JP"/>
          </w:rPr>
          <w:delText>An HE AP that sends a Multi-STA BlockAck</w:delText>
        </w:r>
        <w:r w:rsidDel="009F572D">
          <w:rPr>
            <w:rFonts w:eastAsiaTheme="minorEastAsia"/>
            <w:sz w:val="20"/>
            <w:lang w:eastAsia="ja-JP"/>
          </w:rPr>
          <w:delText xml:space="preserve"> </w:delText>
        </w:r>
        <w:r w:rsidRPr="002A4AB0" w:rsidDel="009F572D">
          <w:rPr>
            <w:rFonts w:eastAsiaTheme="minorEastAsia"/>
            <w:sz w:val="20"/>
            <w:lang w:eastAsia="ja-JP"/>
          </w:rPr>
          <w:delText>frame where the Per AID TID Info fields are all addressed to a single recipient STA and that is sent in</w:delText>
        </w:r>
        <w:r w:rsidDel="009F572D">
          <w:rPr>
            <w:rFonts w:eastAsiaTheme="minorEastAsia"/>
            <w:sz w:val="20"/>
            <w:lang w:eastAsia="ja-JP"/>
          </w:rPr>
          <w:delText xml:space="preserve"> </w:delText>
        </w:r>
        <w:r w:rsidRPr="002A4AB0" w:rsidDel="009F572D">
          <w:rPr>
            <w:rFonts w:eastAsiaTheme="minorEastAsia"/>
            <w:sz w:val="20"/>
            <w:lang w:eastAsia="ja-JP"/>
          </w:rPr>
          <w:delText>response to an HE SU PPDU, HE ER SU PPDU or HE MU PPDU shall set the RA field to the address of the</w:delText>
        </w:r>
        <w:r w:rsidDel="009F572D">
          <w:rPr>
            <w:rFonts w:eastAsiaTheme="minorEastAsia"/>
            <w:sz w:val="20"/>
            <w:lang w:eastAsia="ja-JP"/>
          </w:rPr>
          <w:delText xml:space="preserve"> </w:delText>
        </w:r>
        <w:r w:rsidRPr="002A4AB0" w:rsidDel="009F572D">
          <w:rPr>
            <w:rFonts w:eastAsiaTheme="minorEastAsia"/>
            <w:sz w:val="20"/>
            <w:lang w:eastAsia="ja-JP"/>
          </w:rPr>
          <w:delText>recipient STA.</w:delText>
        </w:r>
      </w:del>
      <w:ins w:id="3" w:author="adachi" w:date="2018-09-19T10:13:00Z">
        <w:r w:rsidR="00037177">
          <w:rPr>
            <w:rFonts w:eastAsiaTheme="minorEastAsia"/>
            <w:sz w:val="20"/>
            <w:lang w:eastAsia="ja-JP"/>
          </w:rPr>
          <w:t xml:space="preserve">Otherwise, </w:t>
        </w:r>
      </w:ins>
      <w:ins w:id="4" w:author="adachi" w:date="2018-09-19T10:40:00Z">
        <w:r w:rsidR="009F572D">
          <w:rPr>
            <w:rFonts w:eastAsiaTheme="minorEastAsia"/>
            <w:sz w:val="20"/>
            <w:lang w:eastAsia="ja-JP"/>
          </w:rPr>
          <w:t>the</w:t>
        </w:r>
      </w:ins>
      <w:ins w:id="5" w:author="adachi" w:date="2018-09-19T10:38:00Z">
        <w:r w:rsidR="009F572D">
          <w:rPr>
            <w:rFonts w:eastAsiaTheme="minorEastAsia"/>
            <w:sz w:val="20"/>
            <w:lang w:eastAsia="ja-JP"/>
          </w:rPr>
          <w:t xml:space="preserve"> HE AP shall set </w:t>
        </w:r>
      </w:ins>
      <w:ins w:id="6" w:author="adachi" w:date="2018-09-19T10:13:00Z">
        <w:r w:rsidR="00037177">
          <w:rPr>
            <w:rFonts w:eastAsiaTheme="minorEastAsia"/>
            <w:sz w:val="20"/>
            <w:lang w:eastAsia="ja-JP"/>
          </w:rPr>
          <w:t xml:space="preserve">the RA field of the Multi-STA </w:t>
        </w:r>
        <w:proofErr w:type="spellStart"/>
        <w:r w:rsidR="00037177">
          <w:rPr>
            <w:rFonts w:eastAsiaTheme="minorEastAsia"/>
            <w:sz w:val="20"/>
            <w:lang w:eastAsia="ja-JP"/>
          </w:rPr>
          <w:t>BlockAck</w:t>
        </w:r>
        <w:proofErr w:type="spellEnd"/>
        <w:r w:rsidR="00037177">
          <w:rPr>
            <w:rFonts w:eastAsiaTheme="minorEastAsia"/>
            <w:sz w:val="20"/>
            <w:lang w:eastAsia="ja-JP"/>
          </w:rPr>
          <w:t xml:space="preserve"> frame </w:t>
        </w:r>
      </w:ins>
      <w:ins w:id="7" w:author="adachi" w:date="2018-09-19T10:39:00Z">
        <w:r w:rsidR="009F572D">
          <w:rPr>
            <w:rFonts w:eastAsiaTheme="minorEastAsia"/>
            <w:sz w:val="20"/>
            <w:lang w:eastAsia="ja-JP"/>
          </w:rPr>
          <w:t>to</w:t>
        </w:r>
      </w:ins>
      <w:ins w:id="8" w:author="adachi" w:date="2018-09-19T10:13:00Z">
        <w:r w:rsidR="00037177">
          <w:rPr>
            <w:rFonts w:eastAsiaTheme="minorEastAsia"/>
            <w:sz w:val="20"/>
            <w:lang w:eastAsia="ja-JP"/>
          </w:rPr>
          <w:t xml:space="preserve"> the address of the recipient </w:t>
        </w:r>
        <w:proofErr w:type="gramStart"/>
        <w:r w:rsidR="00037177">
          <w:rPr>
            <w:rFonts w:eastAsiaTheme="minorEastAsia"/>
            <w:sz w:val="20"/>
            <w:lang w:eastAsia="ja-JP"/>
          </w:rPr>
          <w:t>STA.</w:t>
        </w:r>
      </w:ins>
      <w:ins w:id="9" w:author="adachi" w:date="2018-09-19T11:59:00Z">
        <w:r w:rsidR="008776A6">
          <w:rPr>
            <w:rFonts w:eastAsiaTheme="minorEastAsia" w:hint="eastAsia"/>
            <w:sz w:val="20"/>
            <w:lang w:eastAsia="ja-JP"/>
          </w:rPr>
          <w:t>(</w:t>
        </w:r>
        <w:proofErr w:type="gramEnd"/>
        <w:r w:rsidR="008776A6">
          <w:rPr>
            <w:rFonts w:eastAsiaTheme="minorEastAsia"/>
            <w:sz w:val="20"/>
            <w:lang w:eastAsia="ja-JP"/>
          </w:rPr>
          <w:t>#17150)</w:t>
        </w:r>
      </w:ins>
      <w:ins w:id="10" w:author="adachi" w:date="2018-09-19T10:13:00Z">
        <w:r w:rsidR="00037177">
          <w:rPr>
            <w:rFonts w:eastAsiaTheme="minorEastAsia"/>
            <w:sz w:val="20"/>
            <w:lang w:eastAsia="ja-JP"/>
          </w:rPr>
          <w:t xml:space="preserve"> </w:t>
        </w:r>
      </w:ins>
    </w:p>
    <w:p w14:paraId="4575A524" w14:textId="1BE94BE7" w:rsidR="00972D83" w:rsidRDefault="00972D83" w:rsidP="00B75DB1">
      <w:pPr>
        <w:pStyle w:val="BodyText"/>
        <w:rPr>
          <w:rFonts w:eastAsiaTheme="minorEastAsia"/>
          <w:sz w:val="20"/>
          <w:lang w:eastAsia="ja-JP"/>
        </w:rPr>
      </w:pPr>
    </w:p>
    <w:p w14:paraId="6011951D" w14:textId="77777777" w:rsidR="006E7FD0" w:rsidRPr="00972D83" w:rsidRDefault="006E7FD0" w:rsidP="00B75DB1">
      <w:pPr>
        <w:pStyle w:val="BodyText"/>
        <w:rPr>
          <w:rFonts w:eastAsiaTheme="minorEastAsia" w:hint="eastAsia"/>
          <w:sz w:val="20"/>
          <w:lang w:eastAsia="ja-JP"/>
        </w:rPr>
      </w:pPr>
    </w:p>
    <w:p w14:paraId="5DE88274" w14:textId="6473E4E5" w:rsidR="00972D83" w:rsidRPr="00B56EDA" w:rsidRDefault="00972D83" w:rsidP="00972D83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9.3.1.</w:t>
      </w:r>
      <w:r w:rsidR="006E7FD0">
        <w:rPr>
          <w:lang w:val="en-US" w:eastAsia="ja-JP"/>
        </w:rPr>
        <w:t>8</w:t>
      </w:r>
      <w:r>
        <w:rPr>
          <w:rFonts w:hint="eastAsia"/>
          <w:lang w:val="en-US" w:eastAsia="ja-JP"/>
        </w:rPr>
        <w:t>.</w:t>
      </w:r>
      <w:r>
        <w:rPr>
          <w:lang w:val="en-US" w:eastAsia="ja-JP"/>
        </w:rPr>
        <w:t>7</w:t>
      </w:r>
      <w:r>
        <w:rPr>
          <w:rFonts w:hint="eastAsia"/>
          <w:lang w:val="en-US" w:eastAsia="ja-JP"/>
        </w:rPr>
        <w:t xml:space="preserve"> </w:t>
      </w:r>
      <w:r w:rsidRPr="00972D83">
        <w:rPr>
          <w:lang w:val="en-US" w:eastAsia="ja-JP"/>
        </w:rPr>
        <w:t xml:space="preserve">Multi-STA </w:t>
      </w:r>
      <w:proofErr w:type="spellStart"/>
      <w:r w:rsidRPr="00972D83">
        <w:rPr>
          <w:lang w:val="en-US" w:eastAsia="ja-JP"/>
        </w:rPr>
        <w:t>BlockAck</w:t>
      </w:r>
      <w:proofErr w:type="spellEnd"/>
      <w:r w:rsidRPr="00972D83">
        <w:rPr>
          <w:lang w:val="en-US" w:eastAsia="ja-JP"/>
        </w:rPr>
        <w:t xml:space="preserve"> variant</w:t>
      </w:r>
    </w:p>
    <w:p w14:paraId="3BE17947" w14:textId="12CC4D91" w:rsidR="00972D83" w:rsidRDefault="00972D83" w:rsidP="00972D83">
      <w:pPr>
        <w:pStyle w:val="EditingInstruction"/>
        <w:rPr>
          <w:rFonts w:eastAsiaTheme="minorEastAsia"/>
          <w:lang w:eastAsia="ja-JP"/>
        </w:rPr>
      </w:pPr>
      <w:proofErr w:type="spellStart"/>
      <w:r w:rsidRPr="00E05E12">
        <w:rPr>
          <w:rFonts w:eastAsiaTheme="minorEastAsia" w:hint="eastAsia"/>
          <w:highlight w:val="yellow"/>
          <w:lang w:eastAsia="ja-JP"/>
        </w:rPr>
        <w:t>TGax</w:t>
      </w:r>
      <w:proofErr w:type="spellEnd"/>
      <w:r w:rsidRPr="00E05E12">
        <w:rPr>
          <w:rFonts w:eastAsiaTheme="minorEastAsia" w:hint="eastAsia"/>
          <w:highlight w:val="yellow"/>
          <w:lang w:eastAsia="ja-JP"/>
        </w:rPr>
        <w:t xml:space="preserve"> </w:t>
      </w:r>
      <w:r w:rsidRPr="00E05E12">
        <w:rPr>
          <w:rFonts w:eastAsiaTheme="minorEastAsia"/>
          <w:highlight w:val="yellow"/>
          <w:lang w:eastAsia="ja-JP"/>
        </w:rPr>
        <w:t>Editor: Change the 2nd paragraph</w:t>
      </w:r>
      <w:r w:rsidR="006C4D75">
        <w:rPr>
          <w:rFonts w:eastAsiaTheme="minorEastAsia"/>
          <w:highlight w:val="yellow"/>
          <w:lang w:eastAsia="ja-JP"/>
        </w:rPr>
        <w:t xml:space="preserve"> in P802.11ax D3.</w:t>
      </w:r>
      <w:r w:rsidR="006E7FD0">
        <w:rPr>
          <w:rFonts w:eastAsiaTheme="minorEastAsia"/>
          <w:highlight w:val="yellow"/>
          <w:lang w:eastAsia="ja-JP"/>
        </w:rPr>
        <w:t>2</w:t>
      </w:r>
      <w:bookmarkStart w:id="11" w:name="_GoBack"/>
      <w:bookmarkEnd w:id="11"/>
      <w:r w:rsidR="006C4D75">
        <w:rPr>
          <w:rFonts w:eastAsiaTheme="minorEastAsia"/>
          <w:highlight w:val="yellow"/>
          <w:lang w:eastAsia="ja-JP"/>
        </w:rPr>
        <w:t xml:space="preserve"> </w:t>
      </w:r>
      <w:r w:rsidRPr="00E05E12">
        <w:rPr>
          <w:rFonts w:eastAsiaTheme="minorEastAsia"/>
          <w:highlight w:val="yellow"/>
          <w:lang w:eastAsia="ja-JP"/>
        </w:rPr>
        <w:t>as follows:</w:t>
      </w:r>
      <w:r>
        <w:rPr>
          <w:rFonts w:eastAsiaTheme="minorEastAsia"/>
          <w:lang w:eastAsia="ja-JP"/>
        </w:rPr>
        <w:t xml:space="preserve"> </w:t>
      </w:r>
    </w:p>
    <w:p w14:paraId="53F66A2A" w14:textId="2BCA8D07" w:rsidR="00972D83" w:rsidRPr="002A4AB0" w:rsidRDefault="002A4AB0" w:rsidP="002A4AB0">
      <w:pPr>
        <w:pStyle w:val="BodyText"/>
        <w:rPr>
          <w:rFonts w:eastAsiaTheme="minorEastAsia"/>
          <w:sz w:val="20"/>
          <w:lang w:eastAsia="ja-JP"/>
        </w:rPr>
      </w:pPr>
      <w:proofErr w:type="spellStart"/>
      <w:r w:rsidRPr="002A4AB0">
        <w:rPr>
          <w:rFonts w:eastAsiaTheme="minorEastAsia"/>
          <w:sz w:val="20"/>
          <w:lang w:eastAsia="ja-JP"/>
        </w:rPr>
        <w:t>An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HE AP that transmits a Multi-STA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frame with different values of the AID11 subfield in Per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 xml:space="preserve">AID TID Info subfields sets the RA field to the broadcast address. </w:t>
      </w:r>
      <w:proofErr w:type="spellStart"/>
      <w:r w:rsidRPr="002A4AB0">
        <w:rPr>
          <w:rFonts w:eastAsiaTheme="minorEastAsia"/>
          <w:sz w:val="20"/>
          <w:lang w:eastAsia="ja-JP"/>
        </w:rPr>
        <w:t>An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HE AP that transmits a Multi-STA</w:t>
      </w:r>
      <w:r>
        <w:rPr>
          <w:rFonts w:eastAsiaTheme="minorEastAsia"/>
          <w:sz w:val="20"/>
          <w:lang w:eastAsia="ja-JP"/>
        </w:rPr>
        <w:t xml:space="preserve">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frame with a single Per AID TID Info subfield or with the same values of the AID11 subfield in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 xml:space="preserve">Per AID TID Info subfields sets the RA field to the address of the recipient STA that solicited the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frame</w:t>
      </w:r>
      <w:ins w:id="12" w:author="adachi" w:date="2018-09-19T10:29:00Z">
        <w:r w:rsidR="00A32E94">
          <w:rPr>
            <w:rFonts w:eastAsiaTheme="minorEastAsia"/>
            <w:sz w:val="20"/>
            <w:lang w:eastAsia="ja-JP"/>
          </w:rPr>
          <w:t xml:space="preserve"> or to the broadcast address, if the Multi-STA Block frame is sent in response to an HE TB PPDU</w:t>
        </w:r>
      </w:ins>
      <w:r w:rsidRPr="002A4AB0">
        <w:rPr>
          <w:rFonts w:eastAsiaTheme="minorEastAsia"/>
          <w:sz w:val="20"/>
          <w:lang w:eastAsia="ja-JP"/>
        </w:rPr>
        <w:t>.</w:t>
      </w:r>
      <w:ins w:id="13" w:author="adachi" w:date="2018-09-19T10:31:00Z">
        <w:r w:rsidR="009F572D">
          <w:rPr>
            <w:rFonts w:eastAsiaTheme="minorEastAsia"/>
            <w:sz w:val="20"/>
            <w:lang w:eastAsia="ja-JP"/>
          </w:rPr>
          <w:t xml:space="preserve"> Otherwise, the HE AP sets the RA field to the address of the recipient STA that solicited the </w:t>
        </w:r>
        <w:proofErr w:type="spellStart"/>
        <w:r w:rsidR="009F572D">
          <w:rPr>
            <w:rFonts w:eastAsiaTheme="minorEastAsia"/>
            <w:sz w:val="20"/>
            <w:lang w:eastAsia="ja-JP"/>
          </w:rPr>
          <w:t>BlockAck</w:t>
        </w:r>
        <w:proofErr w:type="spellEnd"/>
        <w:r w:rsidR="009F572D">
          <w:rPr>
            <w:rFonts w:eastAsiaTheme="minorEastAsia"/>
            <w:sz w:val="20"/>
            <w:lang w:eastAsia="ja-JP"/>
          </w:rPr>
          <w:t xml:space="preserve"> </w:t>
        </w:r>
        <w:proofErr w:type="gramStart"/>
        <w:r w:rsidR="009F572D">
          <w:rPr>
            <w:rFonts w:eastAsiaTheme="minorEastAsia"/>
            <w:sz w:val="20"/>
            <w:lang w:eastAsia="ja-JP"/>
          </w:rPr>
          <w:t>frame.</w:t>
        </w:r>
      </w:ins>
      <w:ins w:id="14" w:author="adachi" w:date="2018-09-19T11:59:00Z">
        <w:r w:rsidR="008776A6">
          <w:rPr>
            <w:rFonts w:eastAsiaTheme="minorEastAsia"/>
            <w:sz w:val="20"/>
            <w:lang w:eastAsia="ja-JP"/>
          </w:rPr>
          <w:t>(</w:t>
        </w:r>
        <w:proofErr w:type="gramEnd"/>
        <w:r w:rsidR="008776A6">
          <w:rPr>
            <w:rFonts w:eastAsiaTheme="minorEastAsia"/>
            <w:sz w:val="20"/>
            <w:lang w:eastAsia="ja-JP"/>
          </w:rPr>
          <w:t>#17150)</w:t>
        </w:r>
      </w:ins>
      <w:r w:rsidRPr="002A4AB0">
        <w:rPr>
          <w:rFonts w:eastAsiaTheme="minorEastAsia"/>
          <w:sz w:val="20"/>
          <w:lang w:eastAsia="ja-JP"/>
        </w:rPr>
        <w:t xml:space="preserve"> A non-AP HE STA that transmits a Multi-STA </w:t>
      </w:r>
      <w:proofErr w:type="spellStart"/>
      <w:r w:rsidRPr="002A4AB0">
        <w:rPr>
          <w:rFonts w:eastAsiaTheme="minorEastAsia"/>
          <w:sz w:val="20"/>
          <w:lang w:eastAsia="ja-JP"/>
        </w:rPr>
        <w:t>BlockAck</w:t>
      </w:r>
      <w:proofErr w:type="spellEnd"/>
      <w:r w:rsidRPr="002A4AB0">
        <w:rPr>
          <w:rFonts w:eastAsiaTheme="minorEastAsia"/>
          <w:sz w:val="20"/>
          <w:lang w:eastAsia="ja-JP"/>
        </w:rPr>
        <w:t xml:space="preserve"> frame with a single Per AID TID Info field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or with multiple Per AID TID Info subfields each carrying the same AID value, sets the RA field to the TA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field of the soliciting frame or to the address of the recipient STA whose Data or Management frames are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acknowledged.</w:t>
      </w:r>
    </w:p>
    <w:p w14:paraId="01C68AE2" w14:textId="77777777" w:rsidR="00972D83" w:rsidRPr="002A4AB0" w:rsidRDefault="00972D83" w:rsidP="00B75DB1">
      <w:pPr>
        <w:pStyle w:val="BodyText"/>
        <w:rPr>
          <w:rFonts w:eastAsiaTheme="minorEastAsia"/>
          <w:sz w:val="20"/>
          <w:lang w:eastAsia="ja-JP"/>
        </w:rPr>
      </w:pPr>
    </w:p>
    <w:sectPr w:rsidR="00972D83" w:rsidRPr="002A4AB0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B1D1F" w14:textId="77777777" w:rsidR="0051408C" w:rsidRDefault="0051408C">
      <w:r>
        <w:separator/>
      </w:r>
    </w:p>
  </w:endnote>
  <w:endnote w:type="continuationSeparator" w:id="0">
    <w:p w14:paraId="47B8C48D" w14:textId="77777777" w:rsidR="0051408C" w:rsidRDefault="0051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DFKai-SB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2CD3FDBE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E7FD0">
      <w:rPr>
        <w:noProof/>
      </w:rPr>
      <w:t>2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73585" w14:textId="77777777" w:rsidR="0051408C" w:rsidRDefault="0051408C">
      <w:r>
        <w:separator/>
      </w:r>
    </w:p>
  </w:footnote>
  <w:footnote w:type="continuationSeparator" w:id="0">
    <w:p w14:paraId="4829300C" w14:textId="77777777" w:rsidR="0051408C" w:rsidRDefault="0051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35D37BE2" w:rsidR="00F61C24" w:rsidRDefault="00972D83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October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fldSimple w:instr=" TITLE  \* MERGEFORMAT ">
      <w:r w:rsidR="006E7FD0">
        <w:t>doc.: IEEE 802.11-18/1703r1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D5B68"/>
    <w:multiLevelType w:val="hybridMultilevel"/>
    <w:tmpl w:val="EDDCD08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95A4B"/>
    <w:multiLevelType w:val="hybridMultilevel"/>
    <w:tmpl w:val="6AC4641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33"/>
  </w:num>
  <w:num w:numId="5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27"/>
  </w:num>
  <w:num w:numId="17">
    <w:abstractNumId w:val="24"/>
  </w:num>
  <w:num w:numId="18">
    <w:abstractNumId w:val="12"/>
  </w:num>
  <w:num w:numId="19">
    <w:abstractNumId w:val="21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6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6"/>
  </w:num>
  <w:num w:numId="40">
    <w:abstractNumId w:val="10"/>
  </w:num>
  <w:num w:numId="41">
    <w:abstractNumId w:val="41"/>
  </w:num>
  <w:num w:numId="42">
    <w:abstractNumId w:val="29"/>
  </w:num>
  <w:num w:numId="43">
    <w:abstractNumId w:val="48"/>
  </w:num>
  <w:num w:numId="44">
    <w:abstractNumId w:val="45"/>
  </w:num>
  <w:num w:numId="45">
    <w:abstractNumId w:val="37"/>
  </w:num>
  <w:num w:numId="46">
    <w:abstractNumId w:val="46"/>
  </w:num>
  <w:num w:numId="47">
    <w:abstractNumId w:val="1"/>
  </w:num>
  <w:num w:numId="48">
    <w:abstractNumId w:val="28"/>
  </w:num>
  <w:num w:numId="49">
    <w:abstractNumId w:val="30"/>
  </w:num>
  <w:num w:numId="50">
    <w:abstractNumId w:val="22"/>
  </w:num>
  <w:num w:numId="51">
    <w:abstractNumId w:val="9"/>
  </w:num>
  <w:num w:numId="52">
    <w:abstractNumId w:val="39"/>
  </w:num>
  <w:num w:numId="53">
    <w:abstractNumId w:val="31"/>
  </w:num>
  <w:num w:numId="54">
    <w:abstractNumId w:val="6"/>
  </w:num>
  <w:num w:numId="55">
    <w:abstractNumId w:val="21"/>
  </w:num>
  <w:num w:numId="56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2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4"/>
  </w:num>
  <w:num w:numId="86">
    <w:abstractNumId w:val="44"/>
  </w:num>
  <w:num w:numId="87">
    <w:abstractNumId w:val="20"/>
  </w:num>
  <w:num w:numId="88">
    <w:abstractNumId w:val="40"/>
  </w:num>
  <w:num w:numId="8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</w:num>
  <w:num w:numId="91">
    <w:abstractNumId w:val="35"/>
  </w:num>
  <w:num w:numId="92">
    <w:abstractNumId w:val="38"/>
  </w:num>
  <w:num w:numId="93">
    <w:abstractNumId w:val="47"/>
  </w:num>
  <w:num w:numId="94">
    <w:abstractNumId w:val="14"/>
  </w:num>
  <w:num w:numId="95">
    <w:abstractNumId w:val="0"/>
  </w:num>
  <w:num w:numId="96">
    <w:abstractNumId w:val="42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27709"/>
    <w:rsid w:val="0003211C"/>
    <w:rsid w:val="00032E02"/>
    <w:rsid w:val="0003442E"/>
    <w:rsid w:val="000359C1"/>
    <w:rsid w:val="0003628E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BE8"/>
    <w:rsid w:val="00050DF7"/>
    <w:rsid w:val="000513BD"/>
    <w:rsid w:val="00051571"/>
    <w:rsid w:val="00053715"/>
    <w:rsid w:val="00055361"/>
    <w:rsid w:val="0005676F"/>
    <w:rsid w:val="00057012"/>
    <w:rsid w:val="00057544"/>
    <w:rsid w:val="00057981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5794"/>
    <w:rsid w:val="000F5A3C"/>
    <w:rsid w:val="000F5F7B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199"/>
    <w:rsid w:val="00130286"/>
    <w:rsid w:val="001324C2"/>
    <w:rsid w:val="00133C09"/>
    <w:rsid w:val="00135192"/>
    <w:rsid w:val="00135B34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5226"/>
    <w:rsid w:val="001B02FA"/>
    <w:rsid w:val="001B217E"/>
    <w:rsid w:val="001B2BCE"/>
    <w:rsid w:val="001B4648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26A1"/>
    <w:rsid w:val="00212EC4"/>
    <w:rsid w:val="00214C65"/>
    <w:rsid w:val="002173D7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5C7B"/>
    <w:rsid w:val="00303414"/>
    <w:rsid w:val="003039DE"/>
    <w:rsid w:val="003044AC"/>
    <w:rsid w:val="00305B68"/>
    <w:rsid w:val="0030778C"/>
    <w:rsid w:val="00307D38"/>
    <w:rsid w:val="00312897"/>
    <w:rsid w:val="003165B1"/>
    <w:rsid w:val="00317E81"/>
    <w:rsid w:val="00321BC8"/>
    <w:rsid w:val="0032502A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3E8F"/>
    <w:rsid w:val="003A42E0"/>
    <w:rsid w:val="003A4753"/>
    <w:rsid w:val="003A74B1"/>
    <w:rsid w:val="003B3090"/>
    <w:rsid w:val="003B4F7E"/>
    <w:rsid w:val="003B7FE9"/>
    <w:rsid w:val="003C1BDC"/>
    <w:rsid w:val="003C292F"/>
    <w:rsid w:val="003C2B72"/>
    <w:rsid w:val="003C5A06"/>
    <w:rsid w:val="003D2021"/>
    <w:rsid w:val="003D66D1"/>
    <w:rsid w:val="003D6E7F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842"/>
    <w:rsid w:val="00475257"/>
    <w:rsid w:val="00476DE7"/>
    <w:rsid w:val="00477B34"/>
    <w:rsid w:val="00477E13"/>
    <w:rsid w:val="00480AC9"/>
    <w:rsid w:val="00481E33"/>
    <w:rsid w:val="00482864"/>
    <w:rsid w:val="004829C0"/>
    <w:rsid w:val="00485C92"/>
    <w:rsid w:val="00490F85"/>
    <w:rsid w:val="0049197F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388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1A38"/>
    <w:rsid w:val="004E1A97"/>
    <w:rsid w:val="004E71B9"/>
    <w:rsid w:val="004F038D"/>
    <w:rsid w:val="004F0D8B"/>
    <w:rsid w:val="004F23DC"/>
    <w:rsid w:val="004F3124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408C"/>
    <w:rsid w:val="005164D7"/>
    <w:rsid w:val="00516A55"/>
    <w:rsid w:val="005209E9"/>
    <w:rsid w:val="005234B0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750B"/>
    <w:rsid w:val="005735BF"/>
    <w:rsid w:val="0057495D"/>
    <w:rsid w:val="00577F01"/>
    <w:rsid w:val="005856E6"/>
    <w:rsid w:val="00585E89"/>
    <w:rsid w:val="00586443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4EE0"/>
    <w:rsid w:val="00656181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60A7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D25FA"/>
    <w:rsid w:val="006D3866"/>
    <w:rsid w:val="006D43A9"/>
    <w:rsid w:val="006D61F5"/>
    <w:rsid w:val="006E145F"/>
    <w:rsid w:val="006E1FF0"/>
    <w:rsid w:val="006E7FD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7F0A"/>
    <w:rsid w:val="00877031"/>
    <w:rsid w:val="008776A6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00B5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FB"/>
    <w:rsid w:val="00B7781F"/>
    <w:rsid w:val="00B80455"/>
    <w:rsid w:val="00B8214A"/>
    <w:rsid w:val="00B82C30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567"/>
    <w:rsid w:val="00BC7044"/>
    <w:rsid w:val="00BD231A"/>
    <w:rsid w:val="00BD42B2"/>
    <w:rsid w:val="00BD56E1"/>
    <w:rsid w:val="00BD6FB0"/>
    <w:rsid w:val="00BE68C2"/>
    <w:rsid w:val="00BE6AA9"/>
    <w:rsid w:val="00BF04CD"/>
    <w:rsid w:val="00BF140C"/>
    <w:rsid w:val="00BF1CE4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54C3"/>
    <w:rsid w:val="00C155F1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1819"/>
    <w:rsid w:val="00CA2847"/>
    <w:rsid w:val="00CB0D2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188C"/>
    <w:rsid w:val="00D47223"/>
    <w:rsid w:val="00D50EE6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630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321A"/>
    <w:rsid w:val="00DD42D4"/>
    <w:rsid w:val="00DD6F04"/>
    <w:rsid w:val="00DD7017"/>
    <w:rsid w:val="00DE10FA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B25"/>
    <w:rsid w:val="00EA58BF"/>
    <w:rsid w:val="00EA6B47"/>
    <w:rsid w:val="00EB2CD0"/>
    <w:rsid w:val="00EB30F6"/>
    <w:rsid w:val="00EB5B6C"/>
    <w:rsid w:val="00EB6A4F"/>
    <w:rsid w:val="00EB6EFD"/>
    <w:rsid w:val="00EB757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6C66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64FD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6EABD675-6129-4318-AE13-968EE0A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DE89D17-E2BC-49EB-A99F-5C81B2B3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802.11-18/1703r0</vt:lpstr>
      <vt:lpstr>doc.: IEEE 802.11-16/xxxxr0</vt:lpstr>
    </vt:vector>
  </TitlesOfParts>
  <Company>Intel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802.11-18/1703r1</dc:title>
  <dc:subject>Resolution to CID 17150</dc:subject>
  <dc:creator>tomo.adachi@toshiba.co.jp</dc:creator>
  <cp:keywords>CTPClassification=CTP_PUBLIC:VisualMarkings=</cp:keywords>
  <cp:lastModifiedBy>adachi tomoko(足立 朋子 ○ＲＤＣ□ＷＳＬ)</cp:lastModifiedBy>
  <cp:revision>3</cp:revision>
  <cp:lastPrinted>2016-06-06T01:38:00Z</cp:lastPrinted>
  <dcterms:created xsi:type="dcterms:W3CDTF">2018-11-08T03:54:00Z</dcterms:created>
  <dcterms:modified xsi:type="dcterms:W3CDTF">2018-11-08T04:01:00Z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