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rsidTr="00C41A87">
        <w:trPr>
          <w:trHeight w:val="1566"/>
          <w:jc w:val="center"/>
        </w:trPr>
        <w:tc>
          <w:tcPr>
            <w:tcW w:w="10139" w:type="dxa"/>
            <w:gridSpan w:val="3"/>
            <w:tcBorders>
              <w:top w:val="nil"/>
              <w:left w:val="nil"/>
              <w:bottom w:val="nil"/>
              <w:right w:val="nil"/>
            </w:tcBorders>
            <w:vAlign w:val="center"/>
          </w:tcPr>
          <w:p w:rsidR="00C41A87" w:rsidRPr="00980210" w:rsidRDefault="00C41A87" w:rsidP="00994244">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t xml:space="preserve">in </w:t>
            </w:r>
            <w:r w:rsidR="00994244">
              <w:rPr>
                <w:rFonts w:ascii="Arial" w:hAnsi="Arial" w:cs="Arial"/>
              </w:rPr>
              <w:t>Hawaii</w:t>
            </w:r>
            <w:r w:rsidR="00980210" w:rsidRPr="00980210">
              <w:rPr>
                <w:rFonts w:ascii="Arial" w:hAnsi="Arial" w:cs="Arial"/>
              </w:rPr>
              <w:t>, USA</w:t>
            </w:r>
            <w:r w:rsidRPr="00980210">
              <w:rPr>
                <w:rFonts w:ascii="Arial" w:hAnsi="Arial" w:cs="Arial"/>
              </w:rPr>
              <w:br/>
              <w:t xml:space="preserve">in </w:t>
            </w:r>
            <w:r w:rsidR="00994244">
              <w:rPr>
                <w:rFonts w:ascii="Arial" w:hAnsi="Arial" w:cs="Arial"/>
              </w:rPr>
              <w:t>Sept</w:t>
            </w:r>
            <w:r w:rsidR="0090601A" w:rsidRPr="00980210">
              <w:rPr>
                <w:rFonts w:ascii="Arial" w:hAnsi="Arial" w:cs="Arial"/>
              </w:rPr>
              <w:t xml:space="preserve"> 2018</w:t>
            </w:r>
          </w:p>
        </w:tc>
      </w:tr>
      <w:tr w:rsidR="00C41A87" w:rsidRPr="00980210" w:rsidTr="00C41A87">
        <w:trPr>
          <w:trHeight w:val="1135"/>
          <w:jc w:val="center"/>
        </w:trPr>
        <w:tc>
          <w:tcPr>
            <w:tcW w:w="10139" w:type="dxa"/>
            <w:gridSpan w:val="3"/>
            <w:tcBorders>
              <w:top w:val="nil"/>
              <w:left w:val="nil"/>
              <w:bottom w:val="single" w:sz="4" w:space="0" w:color="auto"/>
              <w:right w:val="nil"/>
            </w:tcBorders>
            <w:vAlign w:val="center"/>
          </w:tcPr>
          <w:p w:rsidR="00C41A87" w:rsidRPr="00980210" w:rsidRDefault="00C41A87" w:rsidP="0056308E">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CA1F34" w:rsidRPr="00980210">
              <w:rPr>
                <w:rFonts w:ascii="Arial" w:hAnsi="Arial" w:cs="Arial"/>
                <w:b w:val="0"/>
                <w:sz w:val="20"/>
              </w:rPr>
              <w:t>201</w:t>
            </w:r>
            <w:r w:rsidR="00994244">
              <w:rPr>
                <w:rFonts w:ascii="Arial" w:hAnsi="Arial" w:cs="Arial"/>
                <w:b w:val="0"/>
                <w:sz w:val="20"/>
              </w:rPr>
              <w:t>809</w:t>
            </w:r>
            <w:r w:rsidR="00980210" w:rsidRPr="00980210">
              <w:rPr>
                <w:rFonts w:ascii="Arial" w:hAnsi="Arial" w:cs="Arial"/>
                <w:b w:val="0"/>
                <w:sz w:val="20"/>
              </w:rPr>
              <w:t>2</w:t>
            </w:r>
            <w:r w:rsidR="00994244">
              <w:rPr>
                <w:rFonts w:ascii="Arial" w:hAnsi="Arial" w:cs="Arial"/>
                <w:b w:val="0"/>
                <w:sz w:val="20"/>
              </w:rPr>
              <w:t>6</w:t>
            </w:r>
          </w:p>
        </w:tc>
      </w:tr>
      <w:tr w:rsidR="00C41A87" w:rsidRPr="00980210" w:rsidTr="00C41A87">
        <w:trPr>
          <w:jc w:val="center"/>
        </w:trPr>
        <w:tc>
          <w:tcPr>
            <w:tcW w:w="10139" w:type="dxa"/>
            <w:gridSpan w:val="3"/>
            <w:tcBorders>
              <w:top w:val="single" w:sz="4" w:space="0" w:color="auto"/>
            </w:tcBorders>
            <w:vAlign w:val="center"/>
          </w:tcPr>
          <w:p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rsidTr="00C41A87">
        <w:trPr>
          <w:jc w:val="center"/>
        </w:trPr>
        <w:tc>
          <w:tcPr>
            <w:tcW w:w="1995"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rsidTr="00C41A87">
        <w:trPr>
          <w:jc w:val="center"/>
        </w:trPr>
        <w:tc>
          <w:tcPr>
            <w:tcW w:w="1995"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994244">
                              <w:rPr>
                                <w:rFonts w:ascii="Arial" w:hAnsi="Arial" w:cs="Arial"/>
                              </w:rPr>
                              <w:t>interim</w:t>
                            </w:r>
                            <w:r w:rsidR="00BF0E4E" w:rsidRPr="002A199A">
                              <w:rPr>
                                <w:rFonts w:ascii="Arial" w:hAnsi="Arial" w:cs="Arial"/>
                              </w:rPr>
                              <w:t xml:space="preserve"> session in </w:t>
                            </w:r>
                            <w:r w:rsidR="00994244">
                              <w:rPr>
                                <w:rFonts w:ascii="Arial" w:hAnsi="Arial" w:cs="Arial"/>
                              </w:rPr>
                              <w:t>Hawaii</w:t>
                            </w:r>
                            <w:r w:rsidR="005831F1" w:rsidRPr="005831F1">
                              <w:rPr>
                                <w:rFonts w:ascii="Arial" w:hAnsi="Arial" w:cs="Arial"/>
                              </w:rPr>
                              <w:t xml:space="preserve">, </w:t>
                            </w:r>
                            <w:r w:rsidR="00980210">
                              <w:rPr>
                                <w:rFonts w:ascii="Arial" w:hAnsi="Arial" w:cs="Arial"/>
                              </w:rPr>
                              <w:t>USA</w:t>
                            </w:r>
                            <w:r w:rsidR="005831F1" w:rsidRPr="005831F1">
                              <w:rPr>
                                <w:rFonts w:ascii="Arial" w:hAnsi="Arial" w:cs="Arial"/>
                              </w:rPr>
                              <w:t xml:space="preserve"> </w:t>
                            </w:r>
                            <w:r w:rsidRPr="002A199A">
                              <w:rPr>
                                <w:rFonts w:ascii="Arial" w:hAnsi="Arial" w:cs="Arial"/>
                              </w:rPr>
                              <w:t xml:space="preserve">in </w:t>
                            </w:r>
                            <w:r w:rsidR="00994244">
                              <w:rPr>
                                <w:rFonts w:ascii="Arial" w:hAnsi="Arial" w:cs="Arial"/>
                              </w:rPr>
                              <w:t>Sept</w:t>
                            </w:r>
                            <w:r w:rsidR="0090601A">
                              <w:rPr>
                                <w:rFonts w:ascii="Arial" w:hAnsi="Arial" w:cs="Arial"/>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994244">
                        <w:rPr>
                          <w:rFonts w:ascii="Arial" w:hAnsi="Arial" w:cs="Arial"/>
                        </w:rPr>
                        <w:t>interim</w:t>
                      </w:r>
                      <w:r w:rsidR="00BF0E4E" w:rsidRPr="002A199A">
                        <w:rPr>
                          <w:rFonts w:ascii="Arial" w:hAnsi="Arial" w:cs="Arial"/>
                        </w:rPr>
                        <w:t xml:space="preserve"> session in </w:t>
                      </w:r>
                      <w:r w:rsidR="00994244">
                        <w:rPr>
                          <w:rFonts w:ascii="Arial" w:hAnsi="Arial" w:cs="Arial"/>
                        </w:rPr>
                        <w:t>Hawaii</w:t>
                      </w:r>
                      <w:r w:rsidR="005831F1" w:rsidRPr="005831F1">
                        <w:rPr>
                          <w:rFonts w:ascii="Arial" w:hAnsi="Arial" w:cs="Arial"/>
                        </w:rPr>
                        <w:t xml:space="preserve">, </w:t>
                      </w:r>
                      <w:r w:rsidR="00980210">
                        <w:rPr>
                          <w:rFonts w:ascii="Arial" w:hAnsi="Arial" w:cs="Arial"/>
                        </w:rPr>
                        <w:t>USA</w:t>
                      </w:r>
                      <w:r w:rsidR="005831F1" w:rsidRPr="005831F1">
                        <w:rPr>
                          <w:rFonts w:ascii="Arial" w:hAnsi="Arial" w:cs="Arial"/>
                        </w:rPr>
                        <w:t xml:space="preserve"> </w:t>
                      </w:r>
                      <w:r w:rsidRPr="002A199A">
                        <w:rPr>
                          <w:rFonts w:ascii="Arial" w:hAnsi="Arial" w:cs="Arial"/>
                        </w:rPr>
                        <w:t xml:space="preserve">in </w:t>
                      </w:r>
                      <w:r w:rsidR="00994244">
                        <w:rPr>
                          <w:rFonts w:ascii="Arial" w:hAnsi="Arial" w:cs="Arial"/>
                        </w:rPr>
                        <w:t>Sept</w:t>
                      </w:r>
                      <w:r w:rsidR="0090601A">
                        <w:rPr>
                          <w:rFonts w:ascii="Arial" w:hAnsi="Arial" w:cs="Arial"/>
                        </w:rPr>
                        <w:t xml:space="preserve"> 2018</w:t>
                      </w:r>
                    </w:p>
                  </w:txbxContent>
                </v:textbox>
              </v:shape>
            </w:pict>
          </mc:Fallback>
        </mc:AlternateContent>
      </w:r>
    </w:p>
    <w:p w:rsidR="0000075F" w:rsidRPr="00980210" w:rsidRDefault="00CA09B2" w:rsidP="00AD1B4B">
      <w:pPr>
        <w:pStyle w:val="Heading1"/>
        <w:tabs>
          <w:tab w:val="left" w:pos="9252"/>
        </w:tabs>
        <w:rPr>
          <w:rFonts w:cs="Arial"/>
        </w:rPr>
      </w:pPr>
      <w:r w:rsidRPr="00980210">
        <w:rPr>
          <w:rFonts w:cs="Arial"/>
        </w:rPr>
        <w:br w:type="page"/>
      </w:r>
      <w:r w:rsidR="0087484A" w:rsidRPr="00980210">
        <w:rPr>
          <w:rFonts w:cs="Arial"/>
        </w:rPr>
        <w:lastRenderedPageBreak/>
        <w:t>Minutes of Meeting</w:t>
      </w:r>
      <w:r w:rsidR="00385A3D" w:rsidRPr="00980210">
        <w:rPr>
          <w:rFonts w:cs="Arial"/>
        </w:rPr>
        <w:t xml:space="preserve"> on</w:t>
      </w:r>
      <w:r w:rsidR="0087484A" w:rsidRPr="00980210">
        <w:rPr>
          <w:rFonts w:cs="Arial"/>
        </w:rPr>
        <w:t xml:space="preserve"> </w:t>
      </w:r>
      <w:r w:rsidR="00053842" w:rsidRPr="00980210">
        <w:rPr>
          <w:rFonts w:cs="Arial"/>
        </w:rPr>
        <w:t>Tue</w:t>
      </w:r>
      <w:r w:rsidR="00C41A87" w:rsidRPr="00980210">
        <w:rPr>
          <w:rFonts w:cs="Arial"/>
        </w:rPr>
        <w:t>,</w:t>
      </w:r>
      <w:r w:rsidR="00F940B7" w:rsidRPr="00980210">
        <w:rPr>
          <w:rFonts w:cs="Arial"/>
        </w:rPr>
        <w:t xml:space="preserve"> </w:t>
      </w:r>
      <w:r w:rsidR="00994244">
        <w:rPr>
          <w:rFonts w:cs="Arial"/>
        </w:rPr>
        <w:t>11 Sept</w:t>
      </w:r>
      <w:r w:rsidR="0090601A" w:rsidRPr="00980210">
        <w:rPr>
          <w:rFonts w:cs="Arial"/>
        </w:rPr>
        <w:t xml:space="preserve"> 2018</w:t>
      </w:r>
      <w:r w:rsidR="0000075F" w:rsidRPr="00980210">
        <w:rPr>
          <w:rFonts w:cs="Arial"/>
        </w:rPr>
        <w:t> </w:t>
      </w:r>
      <w:r w:rsidR="00AD1B4B" w:rsidRPr="00980210">
        <w:rPr>
          <w:rFonts w:cs="Arial"/>
        </w:rPr>
        <w:tab/>
      </w:r>
    </w:p>
    <w:p w:rsidR="002706A9" w:rsidRPr="00980210" w:rsidRDefault="002706A9" w:rsidP="002706A9">
      <w:pPr>
        <w:rPr>
          <w:rFonts w:ascii="Arial" w:hAnsi="Arial" w:cs="Arial"/>
        </w:rPr>
      </w:pPr>
    </w:p>
    <w:p w:rsidR="0090601A" w:rsidRPr="00980210" w:rsidRDefault="0090601A" w:rsidP="0090601A">
      <w:pPr>
        <w:pStyle w:val="Heading3"/>
        <w:rPr>
          <w:rFonts w:cs="Arial"/>
          <w:lang w:val="en-US"/>
        </w:rPr>
      </w:pPr>
      <w:r w:rsidRPr="00980210">
        <w:rPr>
          <w:rFonts w:cs="Arial"/>
          <w:lang w:val="en-US"/>
        </w:rPr>
        <w:t>Order</w:t>
      </w:r>
    </w:p>
    <w:p w:rsidR="00994244" w:rsidRPr="00994244" w:rsidRDefault="00994244" w:rsidP="00994244">
      <w:pPr>
        <w:pStyle w:val="ListParagraph"/>
        <w:numPr>
          <w:ilvl w:val="0"/>
          <w:numId w:val="18"/>
        </w:numPr>
        <w:rPr>
          <w:rFonts w:ascii="Arial" w:hAnsi="Arial" w:cs="Arial"/>
          <w:lang w:val="en-US"/>
        </w:rPr>
      </w:pPr>
      <w:r w:rsidRPr="00994244">
        <w:rPr>
          <w:rFonts w:ascii="Arial" w:hAnsi="Arial" w:cs="Arial"/>
          <w:lang w:val="en-US"/>
        </w:rPr>
        <w:t>The chair, Andrew Myles (Cisco), brought the meeting to order at 1:35 p.m.</w:t>
      </w:r>
    </w:p>
    <w:p w:rsidR="00994244" w:rsidRPr="00994244" w:rsidRDefault="00994244" w:rsidP="00994244">
      <w:pPr>
        <w:pStyle w:val="Heading3"/>
        <w:rPr>
          <w:lang w:val="en-US"/>
        </w:rPr>
      </w:pPr>
      <w:r>
        <w:rPr>
          <w:lang w:val="en-US"/>
        </w:rPr>
        <w:t>Agenda</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The SC age</w:t>
      </w:r>
      <w:r>
        <w:rPr>
          <w:rFonts w:ascii="Arial" w:hAnsi="Arial" w:cs="Arial"/>
          <w:lang w:val="en-US"/>
        </w:rPr>
        <w:t>nda is found in 11-18/1343r05.</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The agenda was </w:t>
      </w:r>
      <w:r>
        <w:rPr>
          <w:rFonts w:ascii="Arial" w:hAnsi="Arial" w:cs="Arial"/>
          <w:lang w:val="en-US"/>
        </w:rPr>
        <w:t xml:space="preserve">accepted without </w:t>
      </w:r>
      <w:proofErr w:type="spellStart"/>
      <w:r>
        <w:rPr>
          <w:rFonts w:ascii="Arial" w:hAnsi="Arial" w:cs="Arial"/>
          <w:lang w:val="en-US"/>
        </w:rPr>
        <w:t>modification.</w:t>
      </w:r>
    </w:p>
    <w:p w:rsidR="00994244" w:rsidRDefault="00994244" w:rsidP="00994244">
      <w:pPr>
        <w:pStyle w:val="Heading3"/>
        <w:rPr>
          <w:lang w:val="en-US"/>
        </w:rPr>
      </w:pPr>
      <w:proofErr w:type="spellEnd"/>
      <w:r>
        <w:rPr>
          <w:lang w:val="en-US"/>
        </w:rPr>
        <w:t>Minutes</w:t>
      </w:r>
    </w:p>
    <w:p w:rsidR="00994244" w:rsidRP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The minutes (11-18/1445r00) from the San Diego meeting were approved unanimously.  </w:t>
      </w:r>
    </w:p>
    <w:p w:rsidR="00994244" w:rsidRPr="00994244" w:rsidRDefault="00994244" w:rsidP="00994244">
      <w:pPr>
        <w:pStyle w:val="Heading3"/>
        <w:rPr>
          <w:lang w:val="en-US"/>
        </w:rPr>
      </w:pPr>
      <w:r>
        <w:rPr>
          <w:lang w:val="en-US"/>
        </w:rPr>
        <w:t>802.1</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IEEE 802.1 has 16 specifications that are go</w:t>
      </w:r>
      <w:r>
        <w:rPr>
          <w:rFonts w:ascii="Arial" w:hAnsi="Arial" w:cs="Arial"/>
          <w:lang w:val="en-US"/>
        </w:rPr>
        <w:t xml:space="preserve">ing through the PSDO pipeline.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The China National Body (NB) provided a comment on the recently concluded IEEE 802.1AEcg FDIS ballot objecting to the use of AES</w:t>
      </w:r>
      <w:r>
        <w:rPr>
          <w:rFonts w:ascii="Arial" w:hAnsi="Arial" w:cs="Arial"/>
          <w:lang w:val="en-US"/>
        </w:rPr>
        <w:t xml:space="preserve">-GCM as the default </w:t>
      </w:r>
      <w:proofErr w:type="spellStart"/>
      <w:r>
        <w:rPr>
          <w:rFonts w:ascii="Arial" w:hAnsi="Arial" w:cs="Arial"/>
          <w:lang w:val="en-US"/>
        </w:rPr>
        <w:t>algorithm</w:t>
      </w:r>
    </w:p>
    <w:p w:rsidR="00994244" w:rsidRDefault="00994244" w:rsidP="00994244">
      <w:pPr>
        <w:pStyle w:val="ListParagraph"/>
        <w:numPr>
          <w:ilvl w:val="1"/>
          <w:numId w:val="18"/>
        </w:numPr>
        <w:rPr>
          <w:rFonts w:ascii="Arial" w:hAnsi="Arial" w:cs="Arial"/>
          <w:lang w:val="en-US"/>
        </w:rPr>
      </w:pPr>
      <w:proofErr w:type="spellEnd"/>
      <w:r w:rsidRPr="00994244">
        <w:rPr>
          <w:rFonts w:ascii="Arial" w:hAnsi="Arial" w:cs="Arial"/>
          <w:lang w:val="en-US"/>
        </w:rPr>
        <w:t>The IEEE 802.1 WG will consider its response to the China NB comm</w:t>
      </w:r>
      <w:r>
        <w:rPr>
          <w:rFonts w:ascii="Arial" w:hAnsi="Arial" w:cs="Arial"/>
          <w:lang w:val="en-US"/>
        </w:rPr>
        <w:t xml:space="preserve">ent during the November </w:t>
      </w:r>
      <w:proofErr w:type="gramStart"/>
      <w:r>
        <w:rPr>
          <w:rFonts w:ascii="Arial" w:hAnsi="Arial" w:cs="Arial"/>
          <w:lang w:val="en-US"/>
        </w:rPr>
        <w:t>meeting</w:t>
      </w:r>
      <w:r w:rsidRPr="00994244">
        <w:rPr>
          <w:rFonts w:ascii="Arial" w:hAnsi="Arial" w:cs="Arial"/>
          <w:lang w:val="en-US"/>
        </w:rPr>
        <w:t xml:space="preserve">  (</w:t>
      </w:r>
      <w:proofErr w:type="gramEnd"/>
      <w:r w:rsidRPr="00994244">
        <w:rPr>
          <w:rFonts w:ascii="Arial" w:hAnsi="Arial" w:cs="Arial"/>
          <w:lang w:val="en-US"/>
        </w:rPr>
        <w:t>IEEE 802.1 does not typically meet with the wireless working gr</w:t>
      </w:r>
      <w:r>
        <w:rPr>
          <w:rFonts w:ascii="Arial" w:hAnsi="Arial" w:cs="Arial"/>
          <w:lang w:val="en-US"/>
        </w:rPr>
        <w:t xml:space="preserve">oups during interim meetings.)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IEEE 802.1AX-Cor passed its 5-month FDIS (Final Draft International Standard) ballot in July and is awaiting publication under the lengthy designation ISO/IEC 8802-1AX:2016/Cor1:2018.</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Currently in FDIS ballots ending on December 26th are IEEE 802.1CB and IEEE 802c.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FDIS ballots for IEEE 802.1Qci and IEEE 802.1Qch end just over a week later.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60-day pre-ballots for IEEE 802.1AR-Rev and IEEE 802.1CM will end on October 14th.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Still waiting on the approval </w:t>
      </w:r>
      <w:r>
        <w:rPr>
          <w:rFonts w:ascii="Arial" w:hAnsi="Arial" w:cs="Arial"/>
          <w:lang w:val="en-US"/>
        </w:rPr>
        <w:t>by the WG for the forwarding</w:t>
      </w:r>
      <w:r w:rsidRPr="00994244">
        <w:rPr>
          <w:rFonts w:ascii="Arial" w:hAnsi="Arial" w:cs="Arial"/>
          <w:lang w:val="en-US"/>
        </w:rPr>
        <w:t xml:space="preserve"> of IEEE 802.1Qci and IEEE 802.1Qch</w:t>
      </w:r>
      <w:r>
        <w:rPr>
          <w:rFonts w:ascii="Arial" w:hAnsi="Arial" w:cs="Arial"/>
          <w:lang w:val="en-US"/>
        </w:rPr>
        <w:t xml:space="preserve"> and</w:t>
      </w:r>
      <w:r w:rsidRPr="00994244">
        <w:rPr>
          <w:rFonts w:ascii="Arial" w:hAnsi="Arial" w:cs="Arial"/>
          <w:lang w:val="en-US"/>
        </w:rPr>
        <w:t xml:space="preserve"> IEEE 802.1Q-REV.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IEEE 802.1Qcc, IEEE 802.1Qcp, IEEE 802.1Qcy are all in the same boat.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IEEE 802.1AC/Cor-1 should enter the PSDO p</w:t>
      </w:r>
      <w:r>
        <w:rPr>
          <w:rFonts w:ascii="Arial" w:hAnsi="Arial" w:cs="Arial"/>
          <w:lang w:val="en-US"/>
        </w:rPr>
        <w:t xml:space="preserve">rocess imminently but is awaiting </w:t>
      </w:r>
      <w:r w:rsidRPr="00994244">
        <w:rPr>
          <w:rFonts w:ascii="Arial" w:hAnsi="Arial" w:cs="Arial"/>
          <w:lang w:val="en-US"/>
        </w:rPr>
        <w:t xml:space="preserve">publication.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Also soon to start balloting are IEEE 802.1Xck and IEEE 802.1AE-Rev.  </w:t>
      </w:r>
    </w:p>
    <w:p w:rsidR="00994244" w:rsidRP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Much earlier in the PSDO process, IEEE 802.1AS-Rev will be sent to SC 6 for information, likely by the end of the year.  </w:t>
      </w:r>
    </w:p>
    <w:p w:rsidR="00994244" w:rsidRPr="00994244" w:rsidRDefault="00994244" w:rsidP="00994244">
      <w:pPr>
        <w:pStyle w:val="Heading3"/>
        <w:rPr>
          <w:lang w:val="en-US"/>
        </w:rPr>
      </w:pPr>
      <w:r>
        <w:rPr>
          <w:lang w:val="en-US"/>
        </w:rPr>
        <w:t>802.3</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IEEE 802.3 has 3 standards that have just completed their FDIS ballots, IEEE 802.3bn, </w:t>
      </w:r>
      <w:r>
        <w:rPr>
          <w:rFonts w:ascii="Arial" w:hAnsi="Arial" w:cs="Arial"/>
          <w:lang w:val="en-US"/>
        </w:rPr>
        <w:t>IEEE 802.3bv, and IEEE 802.3bu.</w:t>
      </w:r>
    </w:p>
    <w:p w:rsidR="00994244" w:rsidRDefault="00994244" w:rsidP="00994244">
      <w:pPr>
        <w:pStyle w:val="ListParagraph"/>
        <w:numPr>
          <w:ilvl w:val="1"/>
          <w:numId w:val="18"/>
        </w:numPr>
        <w:rPr>
          <w:rFonts w:ascii="Arial" w:hAnsi="Arial" w:cs="Arial"/>
          <w:lang w:val="en-US"/>
        </w:rPr>
      </w:pPr>
      <w:r w:rsidRPr="00994244">
        <w:rPr>
          <w:rFonts w:ascii="Arial" w:hAnsi="Arial" w:cs="Arial"/>
          <w:lang w:val="en-US"/>
        </w:rPr>
        <w:t>All t</w:t>
      </w:r>
      <w:r>
        <w:rPr>
          <w:rFonts w:ascii="Arial" w:hAnsi="Arial" w:cs="Arial"/>
          <w:lang w:val="en-US"/>
        </w:rPr>
        <w:t xml:space="preserve">hree are awaiting publication.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IEEE 802.3/Cor1 passed its FDIS ballot all the way back in November 2017 but is stuck still awaiting publication – Jodi </w:t>
      </w:r>
      <w:proofErr w:type="spellStart"/>
      <w:r w:rsidRPr="00994244">
        <w:rPr>
          <w:rFonts w:ascii="Arial" w:hAnsi="Arial" w:cs="Arial"/>
          <w:lang w:val="en-US"/>
        </w:rPr>
        <w:t>Haasz</w:t>
      </w:r>
      <w:proofErr w:type="spellEnd"/>
      <w:r w:rsidRPr="00994244">
        <w:rPr>
          <w:rFonts w:ascii="Arial" w:hAnsi="Arial" w:cs="Arial"/>
          <w:lang w:val="en-US"/>
        </w:rPr>
        <w:t xml:space="preserve"> (IEEE staff) is working with ISO staff to get it unstuck.  </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IEEE 802.3bs and IEEE 802.3cc will close their FDIS ballots on the December 26th.  I</w:t>
      </w:r>
    </w:p>
    <w:p w:rsid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EEE 802.3cd and IEEE 802.3bt are both expected to be submitted into the PSDO process in November.  </w:t>
      </w:r>
    </w:p>
    <w:p w:rsidR="00994244" w:rsidRPr="00994244"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IEEE 802.3-REV has been held back from starting its FDIS ballot because the IEEE 802.3 WG doesn’t want to muddy the picture by submitting both amendments and a base specification revision simultaneously.  </w:t>
      </w:r>
    </w:p>
    <w:p w:rsidR="00994244" w:rsidRPr="00994244" w:rsidRDefault="00994244" w:rsidP="00994244">
      <w:pPr>
        <w:pStyle w:val="Heading3"/>
        <w:rPr>
          <w:lang w:val="en-US"/>
        </w:rPr>
      </w:pPr>
      <w:r>
        <w:rPr>
          <w:lang w:val="en-US"/>
        </w:rPr>
        <w:t>802.1</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IEEE 802.11 sees IEEE 802.11ah still pending for an FDIS</w:t>
      </w:r>
      <w:r>
        <w:rPr>
          <w:rFonts w:ascii="Arial" w:hAnsi="Arial" w:cs="Arial"/>
          <w:lang w:val="en-US"/>
        </w:rPr>
        <w:t xml:space="preserve"> ballot, while IEEE 802.11ai</w:t>
      </w:r>
      <w:r w:rsidRPr="00994244">
        <w:rPr>
          <w:rFonts w:ascii="Arial" w:hAnsi="Arial" w:cs="Arial"/>
          <w:lang w:val="en-US"/>
        </w:rPr>
        <w:t xml:space="preserve"> will complete its FDIS ballot on December 26th – there were a bunch of IEEE 802 FDIS ballots that were issued at the same time, hence the unfortunate clustering and completion timing.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lastRenderedPageBreak/>
        <w:t xml:space="preserve">IEEE 802.11aj, IEEE 802.11ak, and IEEE 802.11aq are expected to start 60-day pre-ballots this November.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Other specifications (IEEE 802.11ax, IEEE 802.11ay, IEEE 802.11az, IEEE 802.11ba, and IEEE 802.11bb) are sufficiently early in the IEEE approval process that they have not formally started through the PSDO process, although IEEE 802.11ax is nearing that point.  </w:t>
      </w:r>
    </w:p>
    <w:p w:rsidR="00994244" w:rsidRPr="00994244" w:rsidRDefault="00994244" w:rsidP="00994244">
      <w:pPr>
        <w:pStyle w:val="ListParagraph"/>
        <w:numPr>
          <w:ilvl w:val="0"/>
          <w:numId w:val="18"/>
        </w:numPr>
        <w:rPr>
          <w:rFonts w:ascii="Arial" w:hAnsi="Arial" w:cs="Arial"/>
          <w:lang w:val="en-US"/>
        </w:rPr>
      </w:pPr>
      <w:r w:rsidRPr="00994244">
        <w:rPr>
          <w:rFonts w:ascii="Arial" w:hAnsi="Arial" w:cs="Arial"/>
          <w:lang w:val="en-US"/>
        </w:rPr>
        <w:t>IEEE 802.11ay did have a successful WG letter ballot on Draft 2.0, but they probably will wait until they have an updated version before sending it for information.</w:t>
      </w:r>
    </w:p>
    <w:p w:rsidR="00994244" w:rsidRPr="00994244" w:rsidRDefault="00A664A7" w:rsidP="00A664A7">
      <w:pPr>
        <w:pStyle w:val="Heading3"/>
        <w:rPr>
          <w:lang w:val="en-US"/>
        </w:rPr>
      </w:pPr>
      <w:r>
        <w:rPr>
          <w:lang w:val="en-US"/>
        </w:rPr>
        <w:t>802.15</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IEEE 802.15 does not have any specification before JTC 1/SC 6 for ratification at the moment.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Responses to the ballot comments received during the IEEE 802.15.6 FDIS ballot should have been send following the July IEEE 802 plenary.  </w:t>
      </w:r>
    </w:p>
    <w:p w:rsidR="00994244" w:rsidRPr="00994244" w:rsidRDefault="00994244" w:rsidP="00994244">
      <w:pPr>
        <w:pStyle w:val="ListParagraph"/>
        <w:numPr>
          <w:ilvl w:val="0"/>
          <w:numId w:val="18"/>
        </w:numPr>
        <w:rPr>
          <w:rFonts w:ascii="Arial" w:hAnsi="Arial" w:cs="Arial"/>
          <w:lang w:val="en-US"/>
        </w:rPr>
      </w:pPr>
      <w:r w:rsidRPr="00994244">
        <w:rPr>
          <w:rFonts w:ascii="Arial" w:hAnsi="Arial" w:cs="Arial"/>
          <w:lang w:val="en-US"/>
        </w:rPr>
        <w:t>Peter Yee is checking with Bob Heile (Wi-SUN Alliance) to see whether that did occur.</w:t>
      </w:r>
    </w:p>
    <w:p w:rsidR="00994244" w:rsidRPr="00994244" w:rsidRDefault="00A664A7" w:rsidP="00A664A7">
      <w:pPr>
        <w:pStyle w:val="Heading3"/>
        <w:rPr>
          <w:lang w:val="en-US"/>
        </w:rPr>
      </w:pPr>
      <w:r>
        <w:rPr>
          <w:lang w:val="en-US"/>
        </w:rPr>
        <w:t>802.16</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During its FDIS ballot, the China NB voted no on IEEE 802.16-2016.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Roger Marks (</w:t>
      </w:r>
      <w:proofErr w:type="spellStart"/>
      <w:r w:rsidRPr="00994244">
        <w:rPr>
          <w:rFonts w:ascii="Arial" w:hAnsi="Arial" w:cs="Arial"/>
          <w:lang w:val="en-US"/>
        </w:rPr>
        <w:t>EthAirNet</w:t>
      </w:r>
      <w:proofErr w:type="spellEnd"/>
      <w:r w:rsidRPr="00994244">
        <w:rPr>
          <w:rFonts w:ascii="Arial" w:hAnsi="Arial" w:cs="Arial"/>
          <w:lang w:val="en-US"/>
        </w:rPr>
        <w:t xml:space="preserve">/Huawei) will generate the response to the Chinese comments.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Marks sent an email to Myles with initial thoughts on the comments.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The Chinese comments stem from some less than precise language in IEEE 802.16 in regard to which cryptographic algorithms are mandatory to implement and use.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At the moment, IEEE 802.16 makes DES mandatory to implement (although deprecated) but does not make it mandatory to use.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AES is an option, in that regard.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Based on the discussion in the standing </w:t>
      </w:r>
      <w:proofErr w:type="spellStart"/>
      <w:r w:rsidRPr="00994244">
        <w:rPr>
          <w:rFonts w:ascii="Arial" w:hAnsi="Arial" w:cs="Arial"/>
          <w:lang w:val="en-US"/>
        </w:rPr>
        <w:t>committe</w:t>
      </w:r>
      <w:proofErr w:type="spellEnd"/>
      <w:r w:rsidRPr="00994244">
        <w:rPr>
          <w:rFonts w:ascii="Arial" w:hAnsi="Arial" w:cs="Arial"/>
          <w:lang w:val="en-US"/>
        </w:rPr>
        <w:t xml:space="preserve">, the way forward seems to be: </w:t>
      </w:r>
    </w:p>
    <w:p w:rsidR="00A664A7" w:rsidRDefault="00994244" w:rsidP="00A664A7">
      <w:pPr>
        <w:pStyle w:val="ListParagraph"/>
        <w:numPr>
          <w:ilvl w:val="1"/>
          <w:numId w:val="18"/>
        </w:numPr>
        <w:rPr>
          <w:rFonts w:ascii="Arial" w:hAnsi="Arial" w:cs="Arial"/>
          <w:lang w:val="en-US"/>
        </w:rPr>
      </w:pPr>
      <w:r w:rsidRPr="00994244">
        <w:rPr>
          <w:rFonts w:ascii="Arial" w:hAnsi="Arial" w:cs="Arial"/>
          <w:lang w:val="en-US"/>
        </w:rPr>
        <w:t xml:space="preserve">1) thank the CNB for the comments and for bringing their points to our attention; </w:t>
      </w:r>
    </w:p>
    <w:p w:rsidR="00A664A7" w:rsidRDefault="00994244" w:rsidP="00A664A7">
      <w:pPr>
        <w:pStyle w:val="ListParagraph"/>
        <w:numPr>
          <w:ilvl w:val="1"/>
          <w:numId w:val="18"/>
        </w:numPr>
        <w:rPr>
          <w:rFonts w:ascii="Arial" w:hAnsi="Arial" w:cs="Arial"/>
          <w:lang w:val="en-US"/>
        </w:rPr>
      </w:pPr>
      <w:r w:rsidRPr="00994244">
        <w:rPr>
          <w:rFonts w:ascii="Arial" w:hAnsi="Arial" w:cs="Arial"/>
          <w:lang w:val="en-US"/>
        </w:rPr>
        <w:t xml:space="preserve">2) </w:t>
      </w:r>
      <w:proofErr w:type="gramStart"/>
      <w:r w:rsidRPr="00994244">
        <w:rPr>
          <w:rFonts w:ascii="Arial" w:hAnsi="Arial" w:cs="Arial"/>
          <w:lang w:val="en-US"/>
        </w:rPr>
        <w:t>indicate</w:t>
      </w:r>
      <w:proofErr w:type="gramEnd"/>
      <w:r w:rsidRPr="00994244">
        <w:rPr>
          <w:rFonts w:ascii="Arial" w:hAnsi="Arial" w:cs="Arial"/>
          <w:lang w:val="en-US"/>
        </w:rPr>
        <w:t xml:space="preserve"> that IEEE 802.16 would like to withdraw the standard from consideration at the current time.  </w:t>
      </w:r>
    </w:p>
    <w:p w:rsidR="00A664A7" w:rsidRDefault="00994244" w:rsidP="00A664A7">
      <w:pPr>
        <w:pStyle w:val="ListParagraph"/>
        <w:numPr>
          <w:ilvl w:val="0"/>
          <w:numId w:val="18"/>
        </w:numPr>
        <w:rPr>
          <w:rFonts w:ascii="Arial" w:hAnsi="Arial" w:cs="Arial"/>
          <w:lang w:val="en-US"/>
        </w:rPr>
      </w:pPr>
      <w:r w:rsidRPr="00994244">
        <w:rPr>
          <w:rFonts w:ascii="Arial" w:hAnsi="Arial" w:cs="Arial"/>
          <w:lang w:val="en-US"/>
        </w:rPr>
        <w:t xml:space="preserve">Part of that withdrawal comes from the IEEE 802.16 WG’s somnolent state, while part of it can be attributed to a need update the specification to tighter language and consistent requirement for modern cryptographic algorithms and primitives.  </w:t>
      </w:r>
    </w:p>
    <w:p w:rsidR="00A664A7" w:rsidRDefault="00994244" w:rsidP="00A664A7">
      <w:pPr>
        <w:pStyle w:val="ListParagraph"/>
        <w:numPr>
          <w:ilvl w:val="0"/>
          <w:numId w:val="18"/>
        </w:numPr>
        <w:rPr>
          <w:rFonts w:ascii="Arial" w:hAnsi="Arial" w:cs="Arial"/>
          <w:lang w:val="en-US"/>
        </w:rPr>
      </w:pPr>
      <w:r w:rsidRPr="00994244">
        <w:rPr>
          <w:rFonts w:ascii="Arial" w:hAnsi="Arial" w:cs="Arial"/>
          <w:lang w:val="en-US"/>
        </w:rPr>
        <w:t xml:space="preserve">Andrew Myles will let Jodi </w:t>
      </w:r>
      <w:proofErr w:type="spellStart"/>
      <w:r w:rsidRPr="00994244">
        <w:rPr>
          <w:rFonts w:ascii="Arial" w:hAnsi="Arial" w:cs="Arial"/>
          <w:lang w:val="en-US"/>
        </w:rPr>
        <w:t>Haasz</w:t>
      </w:r>
      <w:proofErr w:type="spellEnd"/>
      <w:r w:rsidRPr="00994244">
        <w:rPr>
          <w:rFonts w:ascii="Arial" w:hAnsi="Arial" w:cs="Arial"/>
          <w:lang w:val="en-US"/>
        </w:rPr>
        <w:t xml:space="preserve"> know about this plan.  </w:t>
      </w:r>
    </w:p>
    <w:p w:rsidR="00994244" w:rsidRPr="00994244" w:rsidRDefault="00994244" w:rsidP="00A664A7">
      <w:pPr>
        <w:pStyle w:val="ListParagraph"/>
        <w:numPr>
          <w:ilvl w:val="0"/>
          <w:numId w:val="18"/>
        </w:numPr>
        <w:rPr>
          <w:rFonts w:ascii="Arial" w:hAnsi="Arial" w:cs="Arial"/>
          <w:lang w:val="en-US"/>
        </w:rPr>
      </w:pPr>
      <w:r w:rsidRPr="00994244">
        <w:rPr>
          <w:rFonts w:ascii="Arial" w:hAnsi="Arial" w:cs="Arial"/>
          <w:lang w:val="en-US"/>
        </w:rPr>
        <w:t>Marks will check with the members of the hibernating IEEE 802.16 WG and then prepare the formal response for consideration at the November plenary meeting.</w:t>
      </w:r>
    </w:p>
    <w:p w:rsidR="00994244" w:rsidRPr="00994244" w:rsidRDefault="00A664A7" w:rsidP="00A664A7">
      <w:pPr>
        <w:pStyle w:val="Heading3"/>
        <w:rPr>
          <w:lang w:val="en-US"/>
        </w:rPr>
      </w:pPr>
      <w:r>
        <w:rPr>
          <w:lang w:val="en-US"/>
        </w:rPr>
        <w:t>802.21</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IEEE 802.21-Cor1 passed its FDIS ballot in mid-June.  </w:t>
      </w:r>
    </w:p>
    <w:p w:rsidR="00A664A7" w:rsidRDefault="00994244" w:rsidP="00A664A7">
      <w:pPr>
        <w:pStyle w:val="ListParagraph"/>
        <w:numPr>
          <w:ilvl w:val="1"/>
          <w:numId w:val="18"/>
        </w:numPr>
        <w:rPr>
          <w:rFonts w:ascii="Arial" w:hAnsi="Arial" w:cs="Arial"/>
          <w:lang w:val="en-US"/>
        </w:rPr>
      </w:pPr>
      <w:r w:rsidRPr="00994244">
        <w:rPr>
          <w:rFonts w:ascii="Arial" w:hAnsi="Arial" w:cs="Arial"/>
          <w:lang w:val="en-US"/>
        </w:rPr>
        <w:t>The China NB abstained on the ba</w:t>
      </w:r>
      <w:r w:rsidR="00A664A7">
        <w:rPr>
          <w:rFonts w:ascii="Arial" w:hAnsi="Arial" w:cs="Arial"/>
          <w:lang w:val="en-US"/>
        </w:rPr>
        <w:t xml:space="preserve">llot but did submit a comment. </w:t>
      </w:r>
    </w:p>
    <w:p w:rsidR="00994244" w:rsidRPr="00994244" w:rsidRDefault="00994244" w:rsidP="00A664A7">
      <w:pPr>
        <w:pStyle w:val="ListParagraph"/>
        <w:numPr>
          <w:ilvl w:val="1"/>
          <w:numId w:val="18"/>
        </w:numPr>
        <w:rPr>
          <w:rFonts w:ascii="Arial" w:hAnsi="Arial" w:cs="Arial"/>
          <w:lang w:val="en-US"/>
        </w:rPr>
      </w:pPr>
      <w:r w:rsidRPr="00994244">
        <w:rPr>
          <w:rFonts w:ascii="Arial" w:hAnsi="Arial" w:cs="Arial"/>
          <w:lang w:val="en-US"/>
        </w:rPr>
        <w:t xml:space="preserve">A response to that comment was sent back to JTC 1/SC 6 in July.  </w:t>
      </w:r>
    </w:p>
    <w:p w:rsidR="00994244" w:rsidRPr="00994244" w:rsidRDefault="00A664A7" w:rsidP="00A664A7">
      <w:pPr>
        <w:pStyle w:val="Heading3"/>
        <w:rPr>
          <w:lang w:val="en-US"/>
        </w:rPr>
      </w:pPr>
      <w:r>
        <w:rPr>
          <w:lang w:val="en-US"/>
        </w:rPr>
        <w:t>802.22</w:t>
      </w:r>
    </w:p>
    <w:p w:rsidR="00994244" w:rsidRPr="00994244" w:rsidRDefault="00994244" w:rsidP="00994244">
      <w:pPr>
        <w:pStyle w:val="ListParagraph"/>
        <w:numPr>
          <w:ilvl w:val="0"/>
          <w:numId w:val="18"/>
        </w:numPr>
        <w:rPr>
          <w:rFonts w:ascii="Arial" w:hAnsi="Arial" w:cs="Arial"/>
          <w:lang w:val="en-US"/>
        </w:rPr>
      </w:pPr>
      <w:r w:rsidRPr="00994244">
        <w:rPr>
          <w:rFonts w:ascii="Arial" w:hAnsi="Arial" w:cs="Arial"/>
          <w:lang w:val="en-US"/>
        </w:rPr>
        <w:t>IEEE 802.22 has no documents currently before JTC 1/SC 6 for consideration.</w:t>
      </w:r>
    </w:p>
    <w:p w:rsidR="00994244" w:rsidRPr="00994244" w:rsidRDefault="00A664A7" w:rsidP="00A664A7">
      <w:pPr>
        <w:pStyle w:val="Heading3"/>
        <w:rPr>
          <w:lang w:val="en-US"/>
        </w:rPr>
      </w:pPr>
      <w:r>
        <w:rPr>
          <w:lang w:val="en-US"/>
        </w:rPr>
        <w:t>SC6 meeting</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Peter Yee briefed the committee on the JTC 1/SC 6 that took place in Tokyo from August 27-31, 2018.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Also participating on behalf of IEEE was Jodi </w:t>
      </w:r>
      <w:proofErr w:type="spellStart"/>
      <w:r w:rsidRPr="00994244">
        <w:rPr>
          <w:rFonts w:ascii="Arial" w:hAnsi="Arial" w:cs="Arial"/>
          <w:lang w:val="en-US"/>
        </w:rPr>
        <w:t>Haasz</w:t>
      </w:r>
      <w:proofErr w:type="spellEnd"/>
      <w:r w:rsidRPr="00994244">
        <w:rPr>
          <w:rFonts w:ascii="Arial" w:hAnsi="Arial" w:cs="Arial"/>
          <w:lang w:val="en-US"/>
        </w:rPr>
        <w:t xml:space="preserve">, while Dorothy Stanley represented the US National Body.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During the meeting, Yee gave a status update (11-18/1344r02) summarizing the specifications that IEEE 802 has submitted under the PSDO and where we believe they stand.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It also noted the requested withdrawal of 4 older IEEE 802 specifications, which had been previously requested but had seen no apparent action.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lastRenderedPageBreak/>
        <w:t xml:space="preserve">Also included in the status report was an invitation for interested experts from JTC 1/SC 6/WG 1 (and in truth anyone from SC 6) to attend a security workshop to be held in conjunction with the Bangkok IEEE 802 plenary in November.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This workshop would be considered a joint exercise between SC 6 and IEEE 802.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The purpose of the workshop is to have a direct, face-to-face discussion of the security comments that have been submitted to IEEE 802 over the years and that were the impetus for the creation of SC 6’s Ad Hoc Group on Security (AHGS).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Speaking of the AHGS, that body has been disbanded, having a fixed duration that terminates at the SC 6 plenary following its creation.  (Although the AHGS was created two plenaries back in the SC 6 timeline, its Terms of Reference and actual work were not agreed upon until the previous plenary in Seoul.)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There was an attempt by the China NB to extend the AHGS for another period, ostensibly to look for more issues, but neither this nor a counterproposal from the IEEE representatives for a more limited scope were met with sufficient support to allow the AHGS to continue.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In general, termination of the AHGS is a good thing as it has been no more productive in terms of clarifying alleged security issues in IEEE 802 standards than the comments submitted by individual NBs during the normal SC 6 balloting process. </w:t>
      </w:r>
    </w:p>
    <w:p w:rsidR="00A664A7"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 Peter Yee took an action item to report back to the Chair with a list of IEEE 802 WG/TG teleconferences.  </w:t>
      </w:r>
    </w:p>
    <w:p w:rsidR="00994244" w:rsidRPr="00994244" w:rsidRDefault="00994244" w:rsidP="00994244">
      <w:pPr>
        <w:pStyle w:val="ListParagraph"/>
        <w:numPr>
          <w:ilvl w:val="0"/>
          <w:numId w:val="18"/>
        </w:numPr>
        <w:rPr>
          <w:rFonts w:ascii="Arial" w:hAnsi="Arial" w:cs="Arial"/>
          <w:lang w:val="en-US"/>
        </w:rPr>
      </w:pPr>
      <w:r w:rsidRPr="00994244">
        <w:rPr>
          <w:rFonts w:ascii="Arial" w:hAnsi="Arial" w:cs="Arial"/>
          <w:lang w:val="en-US"/>
        </w:rPr>
        <w:t>This information is to be shared with SC 6 in order to give them other opportunities to participate directly with IEEE 802 WGs and TGs so that their concerns may be addressed directly.</w:t>
      </w:r>
    </w:p>
    <w:p w:rsidR="00994244" w:rsidRPr="00994244" w:rsidRDefault="00A664A7" w:rsidP="00A664A7">
      <w:pPr>
        <w:pStyle w:val="Heading3"/>
        <w:rPr>
          <w:lang w:val="en-US"/>
        </w:rPr>
      </w:pPr>
      <w:r>
        <w:rPr>
          <w:lang w:val="en-US"/>
        </w:rPr>
        <w:t>Adjourned</w:t>
      </w:r>
      <w:bookmarkStart w:id="0" w:name="_GoBack"/>
      <w:bookmarkEnd w:id="0"/>
    </w:p>
    <w:p w:rsidR="00980210" w:rsidRPr="00980210" w:rsidRDefault="00994244" w:rsidP="00994244">
      <w:pPr>
        <w:pStyle w:val="ListParagraph"/>
        <w:numPr>
          <w:ilvl w:val="0"/>
          <w:numId w:val="18"/>
        </w:numPr>
        <w:rPr>
          <w:rFonts w:ascii="Arial" w:hAnsi="Arial" w:cs="Arial"/>
          <w:lang w:val="en-US"/>
        </w:rPr>
      </w:pPr>
      <w:r w:rsidRPr="00994244">
        <w:rPr>
          <w:rFonts w:ascii="Arial" w:hAnsi="Arial" w:cs="Arial"/>
          <w:lang w:val="en-US"/>
        </w:rPr>
        <w:t xml:space="preserve">The meeting was adjourned at 2:45 </w:t>
      </w:r>
      <w:proofErr w:type="gramStart"/>
      <w:r w:rsidRPr="00994244">
        <w:rPr>
          <w:rFonts w:ascii="Arial" w:hAnsi="Arial" w:cs="Arial"/>
          <w:lang w:val="en-US"/>
        </w:rPr>
        <w:t>p.m.</w:t>
      </w:r>
      <w:r w:rsidR="00980210" w:rsidRPr="00980210">
        <w:rPr>
          <w:rFonts w:ascii="Arial" w:hAnsi="Arial" w:cs="Arial"/>
          <w:lang w:val="en-US"/>
        </w:rPr>
        <w:t>.</w:t>
      </w:r>
      <w:proofErr w:type="gramEnd"/>
    </w:p>
    <w:sectPr w:rsidR="00980210" w:rsidRPr="00980210" w:rsidSect="00C41A8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CAA" w:rsidRDefault="00DA2CAA">
      <w:r>
        <w:separator/>
      </w:r>
    </w:p>
  </w:endnote>
  <w:endnote w:type="continuationSeparator" w:id="0">
    <w:p w:rsidR="00DA2CAA" w:rsidRDefault="00DA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Default="00DA4FBE">
    <w:pPr>
      <w:pStyle w:val="Footer"/>
      <w:tabs>
        <w:tab w:val="clear" w:pos="6480"/>
        <w:tab w:val="center" w:pos="4680"/>
        <w:tab w:val="right" w:pos="9360"/>
      </w:tabs>
    </w:pPr>
    <w:fldSimple w:instr=" SUBJECT  \* MERGEFORMAT ">
      <w:r w:rsidR="00506212">
        <w:t>Submission</w:t>
      </w:r>
    </w:fldSimple>
    <w:r w:rsidR="0062716A">
      <w:tab/>
      <w:t xml:space="preserve">page </w:t>
    </w:r>
    <w:r w:rsidR="0062716A">
      <w:fldChar w:fldCharType="begin"/>
    </w:r>
    <w:r w:rsidR="0062716A">
      <w:instrText xml:space="preserve">page </w:instrText>
    </w:r>
    <w:r w:rsidR="0062716A">
      <w:fldChar w:fldCharType="separate"/>
    </w:r>
    <w:r w:rsidR="00A664A7">
      <w:rPr>
        <w:noProof/>
      </w:rPr>
      <w:t>4</w:t>
    </w:r>
    <w:r w:rsidR="0062716A">
      <w:fldChar w:fldCharType="end"/>
    </w:r>
    <w:r w:rsidR="0062716A">
      <w:tab/>
    </w:r>
    <w:r w:rsidR="00506212">
      <w:t>Andrew Myles (Cisco)</w:t>
    </w:r>
  </w:p>
  <w:p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CAA" w:rsidRDefault="00DA2CAA">
      <w:r>
        <w:separator/>
      </w:r>
    </w:p>
  </w:footnote>
  <w:footnote w:type="continuationSeparator" w:id="0">
    <w:p w:rsidR="00DA2CAA" w:rsidRDefault="00DA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Pr="005831F1" w:rsidRDefault="00994244" w:rsidP="001E3294">
    <w:pPr>
      <w:pStyle w:val="Header"/>
      <w:tabs>
        <w:tab w:val="clear" w:pos="6480"/>
        <w:tab w:val="center" w:pos="4680"/>
        <w:tab w:val="right" w:pos="10065"/>
      </w:tabs>
      <w:rPr>
        <w:rFonts w:asciiTheme="minorHAnsi" w:hAnsiTheme="minorHAnsi"/>
      </w:rPr>
    </w:pPr>
    <w:r>
      <w:rPr>
        <w:rFonts w:asciiTheme="minorHAnsi" w:hAnsiTheme="minorHAnsi"/>
      </w:rPr>
      <w:t>Sept</w:t>
    </w:r>
    <w:r w:rsidR="0090601A">
      <w:rPr>
        <w:rFonts w:asciiTheme="minorHAnsi" w:hAnsiTheme="minorHAnsi"/>
      </w:rPr>
      <w:t xml:space="preserve"> 2018</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 IEEE 802.1</w:t>
    </w:r>
    <w:r w:rsidR="00301343">
      <w:rPr>
        <w:rFonts w:asciiTheme="minorHAnsi" w:hAnsiTheme="minorHAnsi"/>
      </w:rPr>
      <w:t>1-18</w:t>
    </w:r>
    <w:r w:rsidR="00256BBD" w:rsidRPr="005831F1">
      <w:rPr>
        <w:rFonts w:asciiTheme="minorHAnsi" w:hAnsiTheme="minorHAnsi"/>
      </w:rPr>
      <w:t>/</w:t>
    </w:r>
    <w:r>
      <w:rPr>
        <w:rFonts w:asciiTheme="minorHAnsi" w:hAnsiTheme="minorHAnsi"/>
      </w:rPr>
      <w:t>1693</w:t>
    </w:r>
    <w:r w:rsidR="002F4D92">
      <w:rPr>
        <w:rFonts w:asciiTheme="minorHAnsi" w:hAnsiTheme="minorHAnsi"/>
      </w:rPr>
      <w:t>r0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7"/>
  </w:num>
  <w:num w:numId="5">
    <w:abstractNumId w:val="0"/>
  </w:num>
  <w:num w:numId="6">
    <w:abstractNumId w:val="10"/>
  </w:num>
  <w:num w:numId="7">
    <w:abstractNumId w:val="2"/>
  </w:num>
  <w:num w:numId="8">
    <w:abstractNumId w:val="14"/>
  </w:num>
  <w:num w:numId="9">
    <w:abstractNumId w:val="3"/>
  </w:num>
  <w:num w:numId="10">
    <w:abstractNumId w:val="11"/>
  </w:num>
  <w:num w:numId="11">
    <w:abstractNumId w:val="5"/>
  </w:num>
  <w:num w:numId="12">
    <w:abstractNumId w:val="16"/>
  </w:num>
  <w:num w:numId="13">
    <w:abstractNumId w:val="9"/>
  </w:num>
  <w:num w:numId="14">
    <w:abstractNumId w:val="6"/>
  </w:num>
  <w:num w:numId="15">
    <w:abstractNumId w:val="1"/>
  </w:num>
  <w:num w:numId="16">
    <w:abstractNumId w:val="4"/>
  </w:num>
  <w:num w:numId="17">
    <w:abstractNumId w:val="13"/>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75F"/>
    <w:rsid w:val="0001155F"/>
    <w:rsid w:val="0001400E"/>
    <w:rsid w:val="00014365"/>
    <w:rsid w:val="00024F1A"/>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004A9"/>
    <w:rsid w:val="002301C9"/>
    <w:rsid w:val="002500F4"/>
    <w:rsid w:val="00256BBD"/>
    <w:rsid w:val="00263901"/>
    <w:rsid w:val="00263E90"/>
    <w:rsid w:val="00267A0F"/>
    <w:rsid w:val="002706A9"/>
    <w:rsid w:val="00275DC7"/>
    <w:rsid w:val="00281B9A"/>
    <w:rsid w:val="00287259"/>
    <w:rsid w:val="0029020B"/>
    <w:rsid w:val="00293654"/>
    <w:rsid w:val="002A199A"/>
    <w:rsid w:val="002D44BE"/>
    <w:rsid w:val="002D5761"/>
    <w:rsid w:val="002D7E31"/>
    <w:rsid w:val="002E6155"/>
    <w:rsid w:val="002F16D9"/>
    <w:rsid w:val="002F4CEF"/>
    <w:rsid w:val="002F4D92"/>
    <w:rsid w:val="00301343"/>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F2499"/>
    <w:rsid w:val="003F3EE9"/>
    <w:rsid w:val="003F4703"/>
    <w:rsid w:val="004033D5"/>
    <w:rsid w:val="00421629"/>
    <w:rsid w:val="004239A7"/>
    <w:rsid w:val="00442037"/>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46897"/>
    <w:rsid w:val="00553062"/>
    <w:rsid w:val="00561AB1"/>
    <w:rsid w:val="0056308E"/>
    <w:rsid w:val="0057222A"/>
    <w:rsid w:val="00576AFB"/>
    <w:rsid w:val="005829B5"/>
    <w:rsid w:val="005831F1"/>
    <w:rsid w:val="005945A8"/>
    <w:rsid w:val="005A1B1D"/>
    <w:rsid w:val="005B3EB1"/>
    <w:rsid w:val="005D2AE7"/>
    <w:rsid w:val="005D7BC4"/>
    <w:rsid w:val="005F4E00"/>
    <w:rsid w:val="00600CD7"/>
    <w:rsid w:val="0060555E"/>
    <w:rsid w:val="00610234"/>
    <w:rsid w:val="0062440B"/>
    <w:rsid w:val="006252C6"/>
    <w:rsid w:val="0062716A"/>
    <w:rsid w:val="00627E45"/>
    <w:rsid w:val="006326CE"/>
    <w:rsid w:val="00654142"/>
    <w:rsid w:val="00654C39"/>
    <w:rsid w:val="0065555A"/>
    <w:rsid w:val="006660CE"/>
    <w:rsid w:val="006744DF"/>
    <w:rsid w:val="006839CD"/>
    <w:rsid w:val="00692903"/>
    <w:rsid w:val="00696E0C"/>
    <w:rsid w:val="006A7C8A"/>
    <w:rsid w:val="006B2190"/>
    <w:rsid w:val="006C0727"/>
    <w:rsid w:val="006C2EEC"/>
    <w:rsid w:val="006C31B3"/>
    <w:rsid w:val="006E145F"/>
    <w:rsid w:val="006E1D13"/>
    <w:rsid w:val="006E29C0"/>
    <w:rsid w:val="006E45AB"/>
    <w:rsid w:val="006F3F14"/>
    <w:rsid w:val="006F4754"/>
    <w:rsid w:val="0071122E"/>
    <w:rsid w:val="00727513"/>
    <w:rsid w:val="00732CAB"/>
    <w:rsid w:val="00737BD9"/>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D4600"/>
    <w:rsid w:val="008E04BD"/>
    <w:rsid w:val="008E33B1"/>
    <w:rsid w:val="008F7B7A"/>
    <w:rsid w:val="008F7B8D"/>
    <w:rsid w:val="009008E9"/>
    <w:rsid w:val="009021D9"/>
    <w:rsid w:val="00902D4B"/>
    <w:rsid w:val="0090601A"/>
    <w:rsid w:val="00921976"/>
    <w:rsid w:val="0092462F"/>
    <w:rsid w:val="00937927"/>
    <w:rsid w:val="00937D2A"/>
    <w:rsid w:val="00940415"/>
    <w:rsid w:val="009423EC"/>
    <w:rsid w:val="00955C4D"/>
    <w:rsid w:val="0096307E"/>
    <w:rsid w:val="00975F0B"/>
    <w:rsid w:val="00980210"/>
    <w:rsid w:val="00982E9B"/>
    <w:rsid w:val="00986360"/>
    <w:rsid w:val="009927FC"/>
    <w:rsid w:val="00994244"/>
    <w:rsid w:val="009963FB"/>
    <w:rsid w:val="009A08C3"/>
    <w:rsid w:val="009C6C36"/>
    <w:rsid w:val="009D5E5E"/>
    <w:rsid w:val="009F2B0F"/>
    <w:rsid w:val="00A006B0"/>
    <w:rsid w:val="00A02ED0"/>
    <w:rsid w:val="00A259AD"/>
    <w:rsid w:val="00A30172"/>
    <w:rsid w:val="00A358C0"/>
    <w:rsid w:val="00A4426D"/>
    <w:rsid w:val="00A444BB"/>
    <w:rsid w:val="00A55922"/>
    <w:rsid w:val="00A664A7"/>
    <w:rsid w:val="00A671D6"/>
    <w:rsid w:val="00A74B51"/>
    <w:rsid w:val="00A74B84"/>
    <w:rsid w:val="00A80526"/>
    <w:rsid w:val="00A82BA8"/>
    <w:rsid w:val="00A84CDC"/>
    <w:rsid w:val="00A976E3"/>
    <w:rsid w:val="00AA427C"/>
    <w:rsid w:val="00AA5F63"/>
    <w:rsid w:val="00AA7B09"/>
    <w:rsid w:val="00AC6551"/>
    <w:rsid w:val="00AD1B4B"/>
    <w:rsid w:val="00AD1BB9"/>
    <w:rsid w:val="00AD4607"/>
    <w:rsid w:val="00AE47BE"/>
    <w:rsid w:val="00AF70FF"/>
    <w:rsid w:val="00B01F88"/>
    <w:rsid w:val="00B034C0"/>
    <w:rsid w:val="00B0637C"/>
    <w:rsid w:val="00B1789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A2CAA"/>
    <w:rsid w:val="00DA4FBE"/>
    <w:rsid w:val="00DB53BF"/>
    <w:rsid w:val="00DB5647"/>
    <w:rsid w:val="00DC34EF"/>
    <w:rsid w:val="00DC5A7B"/>
    <w:rsid w:val="00DD3654"/>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1E92"/>
    <w:rsid w:val="00F73B11"/>
    <w:rsid w:val="00F84DC6"/>
    <w:rsid w:val="00F84EA2"/>
    <w:rsid w:val="00F940B7"/>
    <w:rsid w:val="00FA608E"/>
    <w:rsid w:val="00FB51EA"/>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0245E"/>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3EF1-176D-4806-98DE-C51BFDAE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7518</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 (amyles)</cp:lastModifiedBy>
  <cp:revision>3</cp:revision>
  <dcterms:created xsi:type="dcterms:W3CDTF">2018-09-26T07:47:00Z</dcterms:created>
  <dcterms:modified xsi:type="dcterms:W3CDTF">2018-09-26T08:02:00Z</dcterms:modified>
</cp:coreProperties>
</file>