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5C0165" w14:textId="77777777" w:rsidR="00CA09B2" w:rsidRPr="003F1D4B" w:rsidRDefault="00CA09B2">
      <w:pPr>
        <w:pStyle w:val="T1"/>
        <w:pBdr>
          <w:bottom w:val="single" w:sz="6" w:space="0" w:color="auto"/>
        </w:pBdr>
        <w:spacing w:after="240"/>
      </w:pPr>
      <w:r w:rsidRPr="003F1D4B">
        <w:t>IEEE P802.11</w:t>
      </w:r>
      <w:r w:rsidRPr="003F1D4B">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1704"/>
        <w:gridCol w:w="2085"/>
        <w:gridCol w:w="1456"/>
        <w:gridCol w:w="2635"/>
      </w:tblGrid>
      <w:tr w:rsidR="003F1D4B" w:rsidRPr="003F1D4B" w14:paraId="3C7E59BA" w14:textId="77777777" w:rsidTr="00B04410">
        <w:trPr>
          <w:trHeight w:val="485"/>
          <w:jc w:val="center"/>
        </w:trPr>
        <w:tc>
          <w:tcPr>
            <w:tcW w:w="9576" w:type="dxa"/>
            <w:gridSpan w:val="5"/>
            <w:vAlign w:val="center"/>
          </w:tcPr>
          <w:p w14:paraId="42AE8703" w14:textId="01C17AAC" w:rsidR="00CA09B2" w:rsidRPr="003F1D4B" w:rsidRDefault="009F2078" w:rsidP="00574241">
            <w:pPr>
              <w:pStyle w:val="T2"/>
            </w:pPr>
            <w:r>
              <w:t>Resolution to DMG CIDs</w:t>
            </w:r>
          </w:p>
        </w:tc>
      </w:tr>
      <w:tr w:rsidR="003F1D4B" w:rsidRPr="003F1D4B" w14:paraId="331E3A1E" w14:textId="77777777" w:rsidTr="00B04410">
        <w:trPr>
          <w:trHeight w:val="359"/>
          <w:jc w:val="center"/>
        </w:trPr>
        <w:tc>
          <w:tcPr>
            <w:tcW w:w="9576" w:type="dxa"/>
            <w:gridSpan w:val="5"/>
            <w:vAlign w:val="center"/>
          </w:tcPr>
          <w:p w14:paraId="56451407" w14:textId="54FB00BA" w:rsidR="00CA09B2" w:rsidRPr="003F1D4B" w:rsidRDefault="00CA09B2" w:rsidP="009F2078">
            <w:pPr>
              <w:pStyle w:val="T2"/>
              <w:ind w:left="0"/>
              <w:rPr>
                <w:sz w:val="20"/>
              </w:rPr>
            </w:pPr>
            <w:r w:rsidRPr="003F1D4B">
              <w:rPr>
                <w:sz w:val="20"/>
              </w:rPr>
              <w:t>Date:</w:t>
            </w:r>
            <w:r w:rsidRPr="003F1D4B">
              <w:rPr>
                <w:b w:val="0"/>
                <w:sz w:val="20"/>
              </w:rPr>
              <w:t xml:space="preserve">  </w:t>
            </w:r>
            <w:r w:rsidR="00E72285" w:rsidRPr="003F1D4B">
              <w:rPr>
                <w:b w:val="0"/>
                <w:sz w:val="20"/>
              </w:rPr>
              <w:t>201</w:t>
            </w:r>
            <w:r w:rsidR="001377FF">
              <w:rPr>
                <w:b w:val="0"/>
                <w:sz w:val="20"/>
              </w:rPr>
              <w:t>8</w:t>
            </w:r>
            <w:r w:rsidRPr="003F1D4B">
              <w:rPr>
                <w:b w:val="0"/>
                <w:sz w:val="20"/>
              </w:rPr>
              <w:t>-</w:t>
            </w:r>
            <w:r w:rsidR="009A42BD">
              <w:rPr>
                <w:b w:val="0"/>
                <w:sz w:val="20"/>
              </w:rPr>
              <w:t>0</w:t>
            </w:r>
            <w:r w:rsidR="00A07BAE">
              <w:rPr>
                <w:b w:val="0"/>
                <w:sz w:val="20"/>
              </w:rPr>
              <w:t>9</w:t>
            </w:r>
            <w:r w:rsidRPr="003F1D4B">
              <w:rPr>
                <w:b w:val="0"/>
                <w:sz w:val="20"/>
              </w:rPr>
              <w:t>-</w:t>
            </w:r>
            <w:r w:rsidR="009F2078">
              <w:rPr>
                <w:b w:val="0"/>
                <w:sz w:val="20"/>
              </w:rPr>
              <w:t>09</w:t>
            </w:r>
          </w:p>
        </w:tc>
      </w:tr>
      <w:tr w:rsidR="003F1D4B" w:rsidRPr="003F1D4B" w14:paraId="3CAF0ADC" w14:textId="77777777" w:rsidTr="00B04410">
        <w:trPr>
          <w:cantSplit/>
          <w:jc w:val="center"/>
        </w:trPr>
        <w:tc>
          <w:tcPr>
            <w:tcW w:w="9576" w:type="dxa"/>
            <w:gridSpan w:val="5"/>
            <w:vAlign w:val="center"/>
          </w:tcPr>
          <w:p w14:paraId="29A8681E" w14:textId="77777777" w:rsidR="00CA09B2" w:rsidRPr="003F1D4B" w:rsidRDefault="00CA09B2">
            <w:pPr>
              <w:pStyle w:val="T2"/>
              <w:spacing w:after="0"/>
              <w:ind w:left="0" w:right="0"/>
              <w:jc w:val="left"/>
              <w:rPr>
                <w:sz w:val="20"/>
              </w:rPr>
            </w:pPr>
            <w:r w:rsidRPr="003F1D4B">
              <w:rPr>
                <w:sz w:val="20"/>
              </w:rPr>
              <w:t>Author(s):</w:t>
            </w:r>
          </w:p>
        </w:tc>
      </w:tr>
      <w:tr w:rsidR="003F1D4B" w:rsidRPr="003F1D4B" w14:paraId="1E0F7D79" w14:textId="77777777" w:rsidTr="00566BAB">
        <w:trPr>
          <w:jc w:val="center"/>
        </w:trPr>
        <w:tc>
          <w:tcPr>
            <w:tcW w:w="1696" w:type="dxa"/>
            <w:vAlign w:val="center"/>
          </w:tcPr>
          <w:p w14:paraId="22406A19" w14:textId="77777777" w:rsidR="00CA09B2" w:rsidRPr="003F1D4B" w:rsidRDefault="00CA09B2">
            <w:pPr>
              <w:pStyle w:val="T2"/>
              <w:spacing w:after="0"/>
              <w:ind w:left="0" w:right="0"/>
              <w:jc w:val="left"/>
              <w:rPr>
                <w:sz w:val="20"/>
              </w:rPr>
            </w:pPr>
            <w:r w:rsidRPr="003F1D4B">
              <w:rPr>
                <w:sz w:val="20"/>
              </w:rPr>
              <w:t>Name</w:t>
            </w:r>
          </w:p>
        </w:tc>
        <w:tc>
          <w:tcPr>
            <w:tcW w:w="1704" w:type="dxa"/>
            <w:vAlign w:val="center"/>
          </w:tcPr>
          <w:p w14:paraId="1C330232" w14:textId="77777777" w:rsidR="00CA09B2" w:rsidRPr="003F1D4B" w:rsidRDefault="0062440B">
            <w:pPr>
              <w:pStyle w:val="T2"/>
              <w:spacing w:after="0"/>
              <w:ind w:left="0" w:right="0"/>
              <w:jc w:val="left"/>
              <w:rPr>
                <w:sz w:val="20"/>
              </w:rPr>
            </w:pPr>
            <w:r w:rsidRPr="003F1D4B">
              <w:rPr>
                <w:sz w:val="20"/>
              </w:rPr>
              <w:t>Affiliation</w:t>
            </w:r>
          </w:p>
        </w:tc>
        <w:tc>
          <w:tcPr>
            <w:tcW w:w="2085" w:type="dxa"/>
            <w:vAlign w:val="center"/>
          </w:tcPr>
          <w:p w14:paraId="6BE80C15" w14:textId="77777777" w:rsidR="00CA09B2" w:rsidRPr="003F1D4B" w:rsidRDefault="00CA09B2">
            <w:pPr>
              <w:pStyle w:val="T2"/>
              <w:spacing w:after="0"/>
              <w:ind w:left="0" w:right="0"/>
              <w:jc w:val="left"/>
              <w:rPr>
                <w:sz w:val="20"/>
              </w:rPr>
            </w:pPr>
            <w:r w:rsidRPr="003F1D4B">
              <w:rPr>
                <w:sz w:val="20"/>
              </w:rPr>
              <w:t>Address</w:t>
            </w:r>
          </w:p>
        </w:tc>
        <w:tc>
          <w:tcPr>
            <w:tcW w:w="1456" w:type="dxa"/>
            <w:vAlign w:val="center"/>
          </w:tcPr>
          <w:p w14:paraId="40246C41" w14:textId="77777777" w:rsidR="00CA09B2" w:rsidRPr="003F1D4B" w:rsidRDefault="00CA09B2">
            <w:pPr>
              <w:pStyle w:val="T2"/>
              <w:spacing w:after="0"/>
              <w:ind w:left="0" w:right="0"/>
              <w:jc w:val="left"/>
              <w:rPr>
                <w:sz w:val="20"/>
              </w:rPr>
            </w:pPr>
            <w:r w:rsidRPr="003F1D4B">
              <w:rPr>
                <w:sz w:val="20"/>
              </w:rPr>
              <w:t>Phone</w:t>
            </w:r>
          </w:p>
        </w:tc>
        <w:tc>
          <w:tcPr>
            <w:tcW w:w="2635" w:type="dxa"/>
            <w:vAlign w:val="center"/>
          </w:tcPr>
          <w:p w14:paraId="5059BF5F" w14:textId="77777777" w:rsidR="00CA09B2" w:rsidRPr="003F1D4B" w:rsidRDefault="00CA09B2">
            <w:pPr>
              <w:pStyle w:val="T2"/>
              <w:spacing w:after="0"/>
              <w:ind w:left="0" w:right="0"/>
              <w:jc w:val="left"/>
              <w:rPr>
                <w:sz w:val="20"/>
              </w:rPr>
            </w:pPr>
            <w:r w:rsidRPr="003F1D4B">
              <w:rPr>
                <w:sz w:val="20"/>
              </w:rPr>
              <w:t>email</w:t>
            </w:r>
          </w:p>
        </w:tc>
      </w:tr>
      <w:tr w:rsidR="007D4764" w:rsidRPr="003F1D4B" w14:paraId="2B265029" w14:textId="77777777" w:rsidTr="00597460">
        <w:trPr>
          <w:jc w:val="center"/>
        </w:trPr>
        <w:tc>
          <w:tcPr>
            <w:tcW w:w="1696" w:type="dxa"/>
          </w:tcPr>
          <w:p w14:paraId="48E3201A" w14:textId="227D2BA1" w:rsidR="007D4764" w:rsidRPr="007B29A7" w:rsidRDefault="007D4764" w:rsidP="007D4764">
            <w:pPr>
              <w:pStyle w:val="T2"/>
              <w:spacing w:after="0"/>
              <w:ind w:left="0" w:right="0"/>
              <w:rPr>
                <w:b w:val="0"/>
                <w:sz w:val="20"/>
              </w:rPr>
            </w:pPr>
            <w:r>
              <w:rPr>
                <w:rFonts w:hint="eastAsia"/>
                <w:b w:val="0"/>
                <w:sz w:val="20"/>
                <w:lang w:eastAsia="zh-CN"/>
              </w:rPr>
              <w:t>Car</w:t>
            </w:r>
            <w:r>
              <w:rPr>
                <w:b w:val="0"/>
                <w:sz w:val="20"/>
                <w:lang w:eastAsia="zh-CN"/>
              </w:rPr>
              <w:t>los Cordeiro</w:t>
            </w:r>
          </w:p>
        </w:tc>
        <w:tc>
          <w:tcPr>
            <w:tcW w:w="1704" w:type="dxa"/>
          </w:tcPr>
          <w:p w14:paraId="4C5368CD" w14:textId="0C5B9AFE" w:rsidR="007D4764" w:rsidRPr="007B29A7" w:rsidRDefault="00452BB4" w:rsidP="007D4764">
            <w:pPr>
              <w:pStyle w:val="T2"/>
              <w:spacing w:after="0"/>
              <w:ind w:left="0" w:right="0"/>
              <w:rPr>
                <w:b w:val="0"/>
                <w:sz w:val="20"/>
              </w:rPr>
            </w:pPr>
            <w:r>
              <w:rPr>
                <w:b w:val="0"/>
                <w:sz w:val="20"/>
              </w:rPr>
              <w:t>Intel</w:t>
            </w:r>
          </w:p>
        </w:tc>
        <w:tc>
          <w:tcPr>
            <w:tcW w:w="2085" w:type="dxa"/>
          </w:tcPr>
          <w:p w14:paraId="36E854C5" w14:textId="77777777" w:rsidR="007D4764" w:rsidRPr="007B29A7" w:rsidRDefault="007D4764" w:rsidP="007D4764">
            <w:pPr>
              <w:pStyle w:val="T2"/>
              <w:spacing w:after="0"/>
              <w:ind w:left="0" w:right="0"/>
              <w:rPr>
                <w:b w:val="0"/>
                <w:sz w:val="20"/>
              </w:rPr>
            </w:pPr>
          </w:p>
        </w:tc>
        <w:tc>
          <w:tcPr>
            <w:tcW w:w="1456" w:type="dxa"/>
          </w:tcPr>
          <w:p w14:paraId="0A08CA4F" w14:textId="77777777" w:rsidR="007D4764" w:rsidRPr="00604414" w:rsidRDefault="007D4764" w:rsidP="007D4764">
            <w:pPr>
              <w:pStyle w:val="T2"/>
              <w:spacing w:after="0"/>
              <w:ind w:left="0" w:right="0"/>
              <w:rPr>
                <w:b w:val="0"/>
                <w:sz w:val="20"/>
              </w:rPr>
            </w:pPr>
          </w:p>
        </w:tc>
        <w:tc>
          <w:tcPr>
            <w:tcW w:w="2635" w:type="dxa"/>
          </w:tcPr>
          <w:p w14:paraId="0E45E9C8" w14:textId="36FF7DAE" w:rsidR="007D4764" w:rsidRPr="007B29A7" w:rsidRDefault="007D4764" w:rsidP="007D4764">
            <w:pPr>
              <w:pStyle w:val="T2"/>
              <w:spacing w:after="0"/>
              <w:ind w:left="0" w:right="0"/>
              <w:jc w:val="left"/>
              <w:rPr>
                <w:b w:val="0"/>
                <w:sz w:val="20"/>
              </w:rPr>
            </w:pPr>
            <w:r>
              <w:rPr>
                <w:b w:val="0"/>
                <w:sz w:val="20"/>
                <w:lang w:eastAsia="zh-CN"/>
              </w:rPr>
              <w:t>c</w:t>
            </w:r>
            <w:r>
              <w:rPr>
                <w:rFonts w:hint="eastAsia"/>
                <w:b w:val="0"/>
                <w:sz w:val="20"/>
                <w:lang w:eastAsia="zh-CN"/>
              </w:rPr>
              <w:t>ar</w:t>
            </w:r>
            <w:r>
              <w:rPr>
                <w:b w:val="0"/>
                <w:sz w:val="20"/>
                <w:lang w:eastAsia="zh-CN"/>
              </w:rPr>
              <w:t>los.cordeiro@intel.com</w:t>
            </w:r>
          </w:p>
        </w:tc>
      </w:tr>
    </w:tbl>
    <w:p w14:paraId="2BEA4108" w14:textId="77777777" w:rsidR="00CA09B2" w:rsidRPr="003F1D4B" w:rsidRDefault="003E138C">
      <w:pPr>
        <w:pStyle w:val="T1"/>
        <w:spacing w:after="120"/>
        <w:rPr>
          <w:sz w:val="22"/>
        </w:rPr>
      </w:pPr>
      <w:r w:rsidRPr="003F1D4B">
        <w:rPr>
          <w:noProof/>
          <w:lang w:val="en-US"/>
        </w:rPr>
        <mc:AlternateContent>
          <mc:Choice Requires="wps">
            <w:drawing>
              <wp:anchor distT="0" distB="0" distL="114300" distR="114300" simplePos="0" relativeHeight="251657728" behindDoc="0" locked="0" layoutInCell="0" allowOverlap="1" wp14:anchorId="70A73F50" wp14:editId="5B34E37C">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6CCE22" w14:textId="77777777" w:rsidR="0062192D" w:rsidRDefault="0062192D">
                            <w:pPr>
                              <w:pStyle w:val="T1"/>
                              <w:spacing w:after="120"/>
                            </w:pPr>
                            <w:r>
                              <w:t>Abstract</w:t>
                            </w:r>
                          </w:p>
                          <w:p w14:paraId="312CE87C" w14:textId="2E23E5D5" w:rsidR="0062192D" w:rsidRDefault="009F2078">
                            <w:pPr>
                              <w:jc w:val="both"/>
                            </w:pPr>
                            <w:r>
                              <w:t xml:space="preserve">Resolution to 11md CIDs related to DMG. </w:t>
                            </w:r>
                          </w:p>
                          <w:p w14:paraId="1FB6684C" w14:textId="77777777" w:rsidR="0062192D" w:rsidRDefault="0062192D">
                            <w:pPr>
                              <w:jc w:val="both"/>
                            </w:pPr>
                          </w:p>
                          <w:p w14:paraId="33CBE5E8" w14:textId="1C1DE169" w:rsidR="0062192D" w:rsidRDefault="0062192D">
                            <w:pPr>
                              <w:jc w:val="both"/>
                            </w:pPr>
                            <w:r>
                              <w:t>All the changes are related to 11md D1.</w:t>
                            </w:r>
                            <w:r w:rsidR="009F2078">
                              <w:t>4</w:t>
                            </w:r>
                            <w:r>
                              <w:t>.</w:t>
                            </w:r>
                          </w:p>
                          <w:p w14:paraId="69FC202C" w14:textId="086B22E9" w:rsidR="0062192D" w:rsidRDefault="0062192D">
                            <w:pPr>
                              <w:jc w:val="both"/>
                            </w:pPr>
                          </w:p>
                          <w:p w14:paraId="1126FFD7" w14:textId="0B8B63A2" w:rsidR="0062192D" w:rsidRDefault="0062192D">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A73F50"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686CCE22" w14:textId="77777777" w:rsidR="0062192D" w:rsidRDefault="0062192D">
                      <w:pPr>
                        <w:pStyle w:val="T1"/>
                        <w:spacing w:after="120"/>
                      </w:pPr>
                      <w:r>
                        <w:t>Abstract</w:t>
                      </w:r>
                    </w:p>
                    <w:p w14:paraId="312CE87C" w14:textId="2E23E5D5" w:rsidR="0062192D" w:rsidRDefault="009F2078">
                      <w:pPr>
                        <w:jc w:val="both"/>
                      </w:pPr>
                      <w:r>
                        <w:t xml:space="preserve">Resolution to 11md CIDs related to DMG. </w:t>
                      </w:r>
                    </w:p>
                    <w:p w14:paraId="1FB6684C" w14:textId="77777777" w:rsidR="0062192D" w:rsidRDefault="0062192D">
                      <w:pPr>
                        <w:jc w:val="both"/>
                      </w:pPr>
                    </w:p>
                    <w:p w14:paraId="33CBE5E8" w14:textId="1C1DE169" w:rsidR="0062192D" w:rsidRDefault="0062192D">
                      <w:pPr>
                        <w:jc w:val="both"/>
                      </w:pPr>
                      <w:r>
                        <w:t>All the changes are related to 11md D1.</w:t>
                      </w:r>
                      <w:r w:rsidR="009F2078">
                        <w:t>4</w:t>
                      </w:r>
                      <w:r>
                        <w:t>.</w:t>
                      </w:r>
                    </w:p>
                    <w:p w14:paraId="69FC202C" w14:textId="086B22E9" w:rsidR="0062192D" w:rsidRDefault="0062192D">
                      <w:pPr>
                        <w:jc w:val="both"/>
                      </w:pPr>
                    </w:p>
                    <w:p w14:paraId="1126FFD7" w14:textId="0B8B63A2" w:rsidR="0062192D" w:rsidRDefault="0062192D">
                      <w:pPr>
                        <w:jc w:val="both"/>
                      </w:pPr>
                    </w:p>
                  </w:txbxContent>
                </v:textbox>
              </v:shape>
            </w:pict>
          </mc:Fallback>
        </mc:AlternateContent>
      </w:r>
    </w:p>
    <w:p w14:paraId="1B04FACE" w14:textId="7886E0C5" w:rsidR="00FA6D24" w:rsidRPr="00F36CA8" w:rsidRDefault="00CA09B2" w:rsidP="00F36CA8">
      <w:r w:rsidRPr="003F1D4B">
        <w:br w:type="page"/>
      </w:r>
    </w:p>
    <w:p w14:paraId="2F3A774C" w14:textId="77777777" w:rsidR="009F2078" w:rsidRDefault="009F2078" w:rsidP="00B576A0">
      <w:pPr>
        <w:widowControl w:val="0"/>
        <w:autoSpaceDE w:val="0"/>
        <w:autoSpaceDN w:val="0"/>
        <w:adjustRightInd w:val="0"/>
        <w:rPr>
          <w:bCs/>
          <w:sz w:val="20"/>
          <w:lang w:val="en-US"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1051"/>
        <w:gridCol w:w="939"/>
        <w:gridCol w:w="3847"/>
        <w:gridCol w:w="2852"/>
      </w:tblGrid>
      <w:tr w:rsidR="009F2078" w:rsidRPr="009F2078" w14:paraId="483A3440" w14:textId="77777777" w:rsidTr="009F2078">
        <w:trPr>
          <w:trHeight w:val="2295"/>
        </w:trPr>
        <w:tc>
          <w:tcPr>
            <w:tcW w:w="353" w:type="pct"/>
            <w:shd w:val="clear" w:color="auto" w:fill="auto"/>
            <w:hideMark/>
          </w:tcPr>
          <w:p w14:paraId="49C8C196" w14:textId="77777777" w:rsidR="009F2078" w:rsidRPr="009F2078" w:rsidRDefault="009F2078" w:rsidP="009F2078">
            <w:pPr>
              <w:jc w:val="right"/>
              <w:rPr>
                <w:rFonts w:ascii="Arial" w:eastAsia="Times New Roman" w:hAnsi="Arial" w:cs="Arial"/>
                <w:sz w:val="20"/>
                <w:lang w:val="en-US"/>
              </w:rPr>
            </w:pPr>
            <w:r w:rsidRPr="009F2078">
              <w:rPr>
                <w:rFonts w:ascii="Arial" w:eastAsia="Times New Roman" w:hAnsi="Arial" w:cs="Arial"/>
                <w:sz w:val="20"/>
                <w:lang w:val="en-US"/>
              </w:rPr>
              <w:t>1493</w:t>
            </w:r>
          </w:p>
        </w:tc>
        <w:tc>
          <w:tcPr>
            <w:tcW w:w="562" w:type="pct"/>
            <w:shd w:val="clear" w:color="auto" w:fill="auto"/>
            <w:hideMark/>
          </w:tcPr>
          <w:p w14:paraId="08F38067" w14:textId="77777777" w:rsidR="009F2078" w:rsidRPr="009F2078" w:rsidRDefault="009F2078" w:rsidP="009F2078">
            <w:pPr>
              <w:rPr>
                <w:rFonts w:ascii="Arial" w:eastAsia="Times New Roman" w:hAnsi="Arial" w:cs="Arial"/>
                <w:sz w:val="20"/>
                <w:lang w:val="en-US"/>
              </w:rPr>
            </w:pPr>
            <w:r w:rsidRPr="009F2078">
              <w:rPr>
                <w:rFonts w:ascii="Arial" w:eastAsia="Times New Roman" w:hAnsi="Arial" w:cs="Arial"/>
                <w:sz w:val="20"/>
                <w:lang w:val="en-US"/>
              </w:rPr>
              <w:t>10.25.5.7</w:t>
            </w:r>
          </w:p>
        </w:tc>
        <w:tc>
          <w:tcPr>
            <w:tcW w:w="502" w:type="pct"/>
            <w:shd w:val="clear" w:color="auto" w:fill="auto"/>
            <w:hideMark/>
          </w:tcPr>
          <w:p w14:paraId="1A341B10" w14:textId="77777777" w:rsidR="009F2078" w:rsidRPr="009F2078" w:rsidRDefault="009F2078" w:rsidP="009F2078">
            <w:pPr>
              <w:jc w:val="right"/>
              <w:rPr>
                <w:rFonts w:ascii="Arial" w:eastAsia="Times New Roman" w:hAnsi="Arial" w:cs="Arial"/>
                <w:sz w:val="20"/>
                <w:lang w:val="en-US"/>
              </w:rPr>
            </w:pPr>
            <w:r w:rsidRPr="009F2078">
              <w:rPr>
                <w:rFonts w:ascii="Arial" w:eastAsia="Times New Roman" w:hAnsi="Arial" w:cs="Arial"/>
                <w:sz w:val="20"/>
                <w:lang w:val="en-US"/>
              </w:rPr>
              <w:t>1726.08</w:t>
            </w:r>
          </w:p>
        </w:tc>
        <w:tc>
          <w:tcPr>
            <w:tcW w:w="2057" w:type="pct"/>
            <w:shd w:val="clear" w:color="auto" w:fill="auto"/>
            <w:hideMark/>
          </w:tcPr>
          <w:p w14:paraId="525EBA19" w14:textId="77777777" w:rsidR="009F2078" w:rsidRPr="009F2078" w:rsidRDefault="009F2078" w:rsidP="009F2078">
            <w:pPr>
              <w:rPr>
                <w:rFonts w:ascii="Arial" w:eastAsia="Times New Roman" w:hAnsi="Arial" w:cs="Arial"/>
                <w:sz w:val="20"/>
                <w:lang w:val="en-US"/>
              </w:rPr>
            </w:pPr>
            <w:r w:rsidRPr="009F2078">
              <w:rPr>
                <w:rFonts w:ascii="Arial" w:eastAsia="Times New Roman" w:hAnsi="Arial" w:cs="Arial"/>
                <w:sz w:val="20"/>
                <w:lang w:val="en-US"/>
              </w:rPr>
              <w:t>"An originator that is a DMG STA shall not start a new TXOP or SP with an MPDU or A-MPDU that has an</w:t>
            </w:r>
            <w:r w:rsidRPr="009F2078">
              <w:rPr>
                <w:rFonts w:ascii="Arial" w:eastAsia="Times New Roman" w:hAnsi="Arial" w:cs="Arial"/>
                <w:sz w:val="20"/>
                <w:lang w:val="en-US"/>
              </w:rPr>
              <w:br/>
            </w:r>
            <w:r w:rsidRPr="009F2078">
              <w:rPr>
                <w:rFonts w:ascii="Arial" w:eastAsia="Times New Roman" w:hAnsi="Arial" w:cs="Arial"/>
                <w:sz w:val="20"/>
                <w:lang w:val="en-US"/>
              </w:rPr>
              <w:br/>
              <w:t>Ack policy other than Normal Ack" -- an A-MPDU does not have an Ack policy (sic)</w:t>
            </w:r>
          </w:p>
        </w:tc>
        <w:tc>
          <w:tcPr>
            <w:tcW w:w="1525" w:type="pct"/>
            <w:shd w:val="clear" w:color="auto" w:fill="auto"/>
            <w:hideMark/>
          </w:tcPr>
          <w:p w14:paraId="17162947" w14:textId="77777777" w:rsidR="009F2078" w:rsidRPr="009F2078" w:rsidRDefault="009F2078" w:rsidP="009F2078">
            <w:pPr>
              <w:rPr>
                <w:rFonts w:ascii="Arial" w:eastAsia="Times New Roman" w:hAnsi="Arial" w:cs="Arial"/>
                <w:sz w:val="20"/>
                <w:lang w:val="en-US"/>
              </w:rPr>
            </w:pPr>
            <w:r w:rsidRPr="009F2078">
              <w:rPr>
                <w:rFonts w:ascii="Arial" w:eastAsia="Times New Roman" w:hAnsi="Arial" w:cs="Arial"/>
                <w:sz w:val="20"/>
                <w:lang w:val="en-US"/>
              </w:rPr>
              <w:t>Change the cited text at the referenced location to "An originator that is a DMG STA shall not start a new TXOP or SP with a PPDU containing a QoS Data MPDU that has an Ack Policy other than Normal Ack or Immediate Block Ack"</w:t>
            </w:r>
          </w:p>
        </w:tc>
      </w:tr>
    </w:tbl>
    <w:p w14:paraId="30B97E26" w14:textId="77777777" w:rsidR="009F2078" w:rsidRDefault="009F2078"/>
    <w:p w14:paraId="66C7EFD8" w14:textId="77777777" w:rsidR="009F2078" w:rsidRPr="009F2078" w:rsidRDefault="009F2078" w:rsidP="009F2078">
      <w:pPr>
        <w:widowControl w:val="0"/>
        <w:autoSpaceDE w:val="0"/>
        <w:autoSpaceDN w:val="0"/>
        <w:adjustRightInd w:val="0"/>
        <w:rPr>
          <w:bCs/>
          <w:sz w:val="20"/>
          <w:lang w:val="en-US" w:eastAsia="zh-CN"/>
        </w:rPr>
      </w:pPr>
    </w:p>
    <w:p w14:paraId="0AA2634D" w14:textId="2D414984" w:rsidR="009F2078" w:rsidRPr="00B57CF3" w:rsidRDefault="009F2078" w:rsidP="009F2078">
      <w:pPr>
        <w:widowControl w:val="0"/>
        <w:autoSpaceDE w:val="0"/>
        <w:autoSpaceDN w:val="0"/>
        <w:adjustRightInd w:val="0"/>
        <w:rPr>
          <w:bCs/>
          <w:sz w:val="20"/>
          <w:lang w:val="en-US" w:eastAsia="zh-CN"/>
        </w:rPr>
      </w:pPr>
      <w:r w:rsidRPr="00B57CF3">
        <w:rPr>
          <w:b/>
          <w:bCs/>
          <w:sz w:val="20"/>
          <w:lang w:val="en-US" w:eastAsia="zh-CN"/>
        </w:rPr>
        <w:t xml:space="preserve">Proposed </w:t>
      </w:r>
      <w:r w:rsidR="00AF0CFF">
        <w:rPr>
          <w:b/>
          <w:bCs/>
          <w:sz w:val="20"/>
          <w:lang w:val="en-US" w:eastAsia="zh-CN"/>
        </w:rPr>
        <w:t>resolution</w:t>
      </w:r>
      <w:r w:rsidRPr="00B57CF3">
        <w:rPr>
          <w:bCs/>
          <w:sz w:val="20"/>
          <w:lang w:val="en-US" w:eastAsia="zh-CN"/>
        </w:rPr>
        <w:t>:</w:t>
      </w:r>
      <w:r w:rsidR="00AF0CFF">
        <w:rPr>
          <w:bCs/>
          <w:sz w:val="20"/>
          <w:lang w:val="en-US" w:eastAsia="zh-CN"/>
        </w:rPr>
        <w:t xml:space="preserve"> Accept</w:t>
      </w:r>
    </w:p>
    <w:p w14:paraId="7B577F9F" w14:textId="77777777" w:rsidR="009F2078" w:rsidRDefault="009F2078"/>
    <w:p w14:paraId="57294E59" w14:textId="77777777" w:rsidR="009F2078" w:rsidRDefault="009F2078"/>
    <w:p w14:paraId="66AF7E4D" w14:textId="77777777" w:rsidR="009F2078" w:rsidRDefault="009F2078"/>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1051"/>
        <w:gridCol w:w="939"/>
        <w:gridCol w:w="3847"/>
        <w:gridCol w:w="2852"/>
      </w:tblGrid>
      <w:tr w:rsidR="009F2078" w:rsidRPr="009F2078" w14:paraId="011F04F2" w14:textId="77777777" w:rsidTr="009F2078">
        <w:trPr>
          <w:trHeight w:val="4080"/>
        </w:trPr>
        <w:tc>
          <w:tcPr>
            <w:tcW w:w="353" w:type="pct"/>
            <w:shd w:val="clear" w:color="auto" w:fill="auto"/>
            <w:hideMark/>
          </w:tcPr>
          <w:p w14:paraId="7BF36293" w14:textId="77777777" w:rsidR="009F2078" w:rsidRPr="009F2078" w:rsidRDefault="009F2078" w:rsidP="009F2078">
            <w:pPr>
              <w:jc w:val="right"/>
              <w:rPr>
                <w:rFonts w:ascii="Arial" w:eastAsia="Times New Roman" w:hAnsi="Arial" w:cs="Arial"/>
                <w:sz w:val="20"/>
                <w:lang w:val="en-US"/>
              </w:rPr>
            </w:pPr>
            <w:r w:rsidRPr="009F2078">
              <w:rPr>
                <w:rFonts w:ascii="Arial" w:eastAsia="Times New Roman" w:hAnsi="Arial" w:cs="Arial"/>
                <w:sz w:val="20"/>
                <w:lang w:val="en-US"/>
              </w:rPr>
              <w:t>1314</w:t>
            </w:r>
          </w:p>
        </w:tc>
        <w:tc>
          <w:tcPr>
            <w:tcW w:w="562" w:type="pct"/>
            <w:shd w:val="clear" w:color="auto" w:fill="auto"/>
            <w:hideMark/>
          </w:tcPr>
          <w:p w14:paraId="153D49AE" w14:textId="77777777" w:rsidR="009F2078" w:rsidRPr="009F2078" w:rsidRDefault="009F2078" w:rsidP="009F2078">
            <w:pPr>
              <w:rPr>
                <w:rFonts w:ascii="Arial" w:eastAsia="Times New Roman" w:hAnsi="Arial" w:cs="Arial"/>
                <w:sz w:val="20"/>
                <w:lang w:val="en-US"/>
              </w:rPr>
            </w:pPr>
            <w:r w:rsidRPr="009F2078">
              <w:rPr>
                <w:rFonts w:ascii="Arial" w:eastAsia="Times New Roman" w:hAnsi="Arial" w:cs="Arial"/>
                <w:sz w:val="20"/>
                <w:lang w:val="en-US"/>
              </w:rPr>
              <w:t>11.4.1</w:t>
            </w:r>
          </w:p>
        </w:tc>
        <w:tc>
          <w:tcPr>
            <w:tcW w:w="502" w:type="pct"/>
            <w:shd w:val="clear" w:color="auto" w:fill="auto"/>
            <w:hideMark/>
          </w:tcPr>
          <w:p w14:paraId="01A31239" w14:textId="77777777" w:rsidR="009F2078" w:rsidRPr="009F2078" w:rsidRDefault="009F2078" w:rsidP="009F2078">
            <w:pPr>
              <w:jc w:val="right"/>
              <w:rPr>
                <w:rFonts w:ascii="Arial" w:eastAsia="Times New Roman" w:hAnsi="Arial" w:cs="Arial"/>
                <w:sz w:val="20"/>
                <w:lang w:val="en-US"/>
              </w:rPr>
            </w:pPr>
            <w:r w:rsidRPr="009F2078">
              <w:rPr>
                <w:rFonts w:ascii="Arial" w:eastAsia="Times New Roman" w:hAnsi="Arial" w:cs="Arial"/>
                <w:sz w:val="20"/>
                <w:lang w:val="en-US"/>
              </w:rPr>
              <w:t>2035.19</w:t>
            </w:r>
          </w:p>
        </w:tc>
        <w:tc>
          <w:tcPr>
            <w:tcW w:w="2057" w:type="pct"/>
            <w:shd w:val="clear" w:color="auto" w:fill="auto"/>
            <w:hideMark/>
          </w:tcPr>
          <w:p w14:paraId="5654C167" w14:textId="77777777" w:rsidR="009F2078" w:rsidRPr="009F2078" w:rsidRDefault="009F2078" w:rsidP="009F2078">
            <w:pPr>
              <w:rPr>
                <w:rFonts w:ascii="Arial" w:eastAsia="Times New Roman" w:hAnsi="Arial" w:cs="Arial"/>
                <w:sz w:val="20"/>
                <w:lang w:val="en-US"/>
              </w:rPr>
            </w:pPr>
            <w:r w:rsidRPr="009F2078">
              <w:rPr>
                <w:rFonts w:ascii="Arial" w:eastAsia="Times New Roman" w:hAnsi="Arial" w:cs="Arial"/>
                <w:sz w:val="20"/>
                <w:lang w:val="en-US"/>
              </w:rPr>
              <w:t>"A non-AP DMG STA that is not the source DMG STA of a specific TS shall not initiate the exchange of a TSPEC to the AP DMG STA or PCP DMG STA to create that TS",</w:t>
            </w:r>
            <w:r w:rsidRPr="009F2078">
              <w:rPr>
                <w:rFonts w:ascii="Arial" w:eastAsia="Times New Roman" w:hAnsi="Arial" w:cs="Arial"/>
                <w:sz w:val="20"/>
                <w:lang w:val="en-US"/>
              </w:rPr>
              <w:br/>
            </w:r>
            <w:r w:rsidRPr="009F2078">
              <w:rPr>
                <w:rFonts w:ascii="Arial" w:eastAsia="Times New Roman" w:hAnsi="Arial" w:cs="Arial"/>
                <w:sz w:val="20"/>
                <w:lang w:val="en-US"/>
              </w:rPr>
              <w:br/>
            </w:r>
            <w:r w:rsidRPr="009F2078">
              <w:rPr>
                <w:rFonts w:ascii="Arial" w:eastAsia="Times New Roman" w:hAnsi="Arial" w:cs="Arial"/>
                <w:sz w:val="20"/>
                <w:lang w:val="en-US"/>
              </w:rPr>
              <w:br/>
            </w:r>
            <w:r w:rsidRPr="009F2078">
              <w:rPr>
                <w:rFonts w:ascii="Arial" w:eastAsia="Times New Roman" w:hAnsi="Arial" w:cs="Arial"/>
                <w:sz w:val="20"/>
                <w:lang w:val="en-US"/>
              </w:rPr>
              <w:br/>
              <w:t>However, in the Allocation Direction subfield in the DMG attribute field of TSPEC element,  the value can be 0 to indicate the sender of ADDTS request is not the source DMG STA of the allocation</w:t>
            </w:r>
          </w:p>
        </w:tc>
        <w:tc>
          <w:tcPr>
            <w:tcW w:w="1525" w:type="pct"/>
            <w:shd w:val="clear" w:color="auto" w:fill="auto"/>
            <w:hideMark/>
          </w:tcPr>
          <w:p w14:paraId="0C8C6583" w14:textId="77777777" w:rsidR="009F2078" w:rsidRPr="009F2078" w:rsidRDefault="009F2078" w:rsidP="009F2078">
            <w:pPr>
              <w:rPr>
                <w:rFonts w:ascii="Arial" w:eastAsia="Times New Roman" w:hAnsi="Arial" w:cs="Arial"/>
                <w:sz w:val="20"/>
                <w:lang w:val="en-US"/>
              </w:rPr>
            </w:pPr>
            <w:r w:rsidRPr="009F2078">
              <w:rPr>
                <w:rFonts w:ascii="Arial" w:eastAsia="Times New Roman" w:hAnsi="Arial" w:cs="Arial"/>
                <w:sz w:val="20"/>
                <w:lang w:val="en-US"/>
              </w:rPr>
              <w:t>remove "A non-AP DMG STA that is not the source DMG STA of a specific TS shall not initiate the exchange of a TSPEC to the AP DMG STA or PCP DMG STA to create that TS."</w:t>
            </w:r>
          </w:p>
        </w:tc>
      </w:tr>
    </w:tbl>
    <w:p w14:paraId="758D453C" w14:textId="77777777" w:rsidR="009F2078" w:rsidRDefault="009F2078"/>
    <w:p w14:paraId="2D3C7CF9" w14:textId="77777777" w:rsidR="009F2078" w:rsidRPr="009F2078" w:rsidRDefault="009F2078" w:rsidP="009F2078">
      <w:pPr>
        <w:widowControl w:val="0"/>
        <w:autoSpaceDE w:val="0"/>
        <w:autoSpaceDN w:val="0"/>
        <w:adjustRightInd w:val="0"/>
        <w:rPr>
          <w:bCs/>
          <w:sz w:val="20"/>
          <w:lang w:val="en-US" w:eastAsia="zh-CN"/>
        </w:rPr>
      </w:pPr>
    </w:p>
    <w:p w14:paraId="21AC6621" w14:textId="4AC83292" w:rsidR="00AF0CFF" w:rsidRPr="00AF0CFF" w:rsidRDefault="009F2078" w:rsidP="00AF0CFF">
      <w:pPr>
        <w:widowControl w:val="0"/>
        <w:autoSpaceDE w:val="0"/>
        <w:autoSpaceDN w:val="0"/>
        <w:adjustRightInd w:val="0"/>
        <w:rPr>
          <w:bCs/>
          <w:sz w:val="20"/>
          <w:lang w:val="en-US" w:eastAsia="zh-CN"/>
        </w:rPr>
      </w:pPr>
      <w:r w:rsidRPr="00B57CF3">
        <w:rPr>
          <w:b/>
          <w:bCs/>
          <w:sz w:val="20"/>
          <w:lang w:val="en-US" w:eastAsia="zh-CN"/>
        </w:rPr>
        <w:t>Discussion</w:t>
      </w:r>
      <w:r w:rsidRPr="00B57CF3">
        <w:rPr>
          <w:bCs/>
          <w:sz w:val="20"/>
          <w:lang w:val="en-US" w:eastAsia="zh-CN"/>
        </w:rPr>
        <w:t xml:space="preserve">: </w:t>
      </w:r>
      <w:r w:rsidR="00AF0CFF">
        <w:rPr>
          <w:bCs/>
          <w:sz w:val="20"/>
          <w:lang w:val="en-US" w:eastAsia="zh-CN"/>
        </w:rPr>
        <w:t xml:space="preserve">The commenter is mixing two different concepts: source of an allocation (i.e., SP or CBAP) with source of a TS. </w:t>
      </w:r>
      <w:r w:rsidR="00AF0CFF" w:rsidRPr="00AF0CFF">
        <w:rPr>
          <w:bCs/>
          <w:sz w:val="20"/>
          <w:lang w:val="en-US" w:eastAsia="zh-CN"/>
        </w:rPr>
        <w:t>The Allocation Direction field is related to the source of an allocation, not TS. When referring to TSs, it is always the source of the TS that initiates the exchange of the corresponding TSPEC. This exchange can then be associated with an allocation, for which the source of such allocation can be the source of the TS or the destination of the TS – these are independent.</w:t>
      </w:r>
    </w:p>
    <w:p w14:paraId="7BAE038F" w14:textId="77777777" w:rsidR="009F2078" w:rsidRPr="00B57CF3" w:rsidRDefault="009F2078" w:rsidP="009F2078">
      <w:pPr>
        <w:widowControl w:val="0"/>
        <w:autoSpaceDE w:val="0"/>
        <w:autoSpaceDN w:val="0"/>
        <w:adjustRightInd w:val="0"/>
        <w:rPr>
          <w:bCs/>
          <w:sz w:val="20"/>
          <w:lang w:val="en-US" w:eastAsia="zh-CN"/>
        </w:rPr>
      </w:pPr>
    </w:p>
    <w:p w14:paraId="5DCB7CE8" w14:textId="25DC1170" w:rsidR="009F2078" w:rsidRPr="00B57CF3" w:rsidRDefault="009F2078" w:rsidP="009F2078">
      <w:pPr>
        <w:widowControl w:val="0"/>
        <w:autoSpaceDE w:val="0"/>
        <w:autoSpaceDN w:val="0"/>
        <w:adjustRightInd w:val="0"/>
        <w:rPr>
          <w:bCs/>
          <w:sz w:val="20"/>
          <w:lang w:val="en-US" w:eastAsia="zh-CN"/>
        </w:rPr>
      </w:pPr>
      <w:r w:rsidRPr="00B57CF3">
        <w:rPr>
          <w:b/>
          <w:bCs/>
          <w:sz w:val="20"/>
          <w:lang w:val="en-US" w:eastAsia="zh-CN"/>
        </w:rPr>
        <w:t xml:space="preserve">Proposed </w:t>
      </w:r>
      <w:r w:rsidR="00AF0CFF">
        <w:rPr>
          <w:b/>
          <w:bCs/>
          <w:sz w:val="20"/>
          <w:lang w:val="en-US" w:eastAsia="zh-CN"/>
        </w:rPr>
        <w:t>resolution</w:t>
      </w:r>
      <w:r w:rsidRPr="00B57CF3">
        <w:rPr>
          <w:bCs/>
          <w:sz w:val="20"/>
          <w:lang w:val="en-US" w:eastAsia="zh-CN"/>
        </w:rPr>
        <w:t>:</w:t>
      </w:r>
      <w:r w:rsidR="00AF0CFF">
        <w:rPr>
          <w:bCs/>
          <w:sz w:val="20"/>
          <w:lang w:val="en-US" w:eastAsia="zh-CN"/>
        </w:rPr>
        <w:t xml:space="preserve"> Reject</w:t>
      </w:r>
    </w:p>
    <w:p w14:paraId="23A287B2" w14:textId="77777777" w:rsidR="009F2078" w:rsidRDefault="009F2078"/>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1051"/>
        <w:gridCol w:w="939"/>
        <w:gridCol w:w="3847"/>
        <w:gridCol w:w="2852"/>
      </w:tblGrid>
      <w:tr w:rsidR="009F2078" w:rsidRPr="009F2078" w14:paraId="225D9A77" w14:textId="77777777" w:rsidTr="009F2078">
        <w:trPr>
          <w:trHeight w:val="4590"/>
        </w:trPr>
        <w:tc>
          <w:tcPr>
            <w:tcW w:w="353" w:type="pct"/>
            <w:shd w:val="clear" w:color="auto" w:fill="auto"/>
            <w:hideMark/>
          </w:tcPr>
          <w:p w14:paraId="1E0D6DCA" w14:textId="77777777" w:rsidR="009F2078" w:rsidRPr="009F2078" w:rsidRDefault="009F2078" w:rsidP="009F2078">
            <w:pPr>
              <w:jc w:val="right"/>
              <w:rPr>
                <w:rFonts w:ascii="Arial" w:eastAsia="Times New Roman" w:hAnsi="Arial" w:cs="Arial"/>
                <w:sz w:val="20"/>
                <w:lang w:val="en-US"/>
              </w:rPr>
            </w:pPr>
            <w:r w:rsidRPr="009F2078">
              <w:rPr>
                <w:rFonts w:ascii="Arial" w:eastAsia="Times New Roman" w:hAnsi="Arial" w:cs="Arial"/>
                <w:sz w:val="20"/>
                <w:lang w:val="en-US"/>
              </w:rPr>
              <w:lastRenderedPageBreak/>
              <w:t>1312</w:t>
            </w:r>
          </w:p>
        </w:tc>
        <w:tc>
          <w:tcPr>
            <w:tcW w:w="562" w:type="pct"/>
            <w:shd w:val="clear" w:color="auto" w:fill="auto"/>
            <w:hideMark/>
          </w:tcPr>
          <w:p w14:paraId="0151A15E" w14:textId="77777777" w:rsidR="009F2078" w:rsidRPr="009F2078" w:rsidRDefault="009F2078" w:rsidP="009F2078">
            <w:pPr>
              <w:rPr>
                <w:rFonts w:ascii="Arial" w:eastAsia="Times New Roman" w:hAnsi="Arial" w:cs="Arial"/>
                <w:sz w:val="20"/>
                <w:lang w:val="en-US"/>
              </w:rPr>
            </w:pPr>
            <w:r w:rsidRPr="009F2078">
              <w:rPr>
                <w:rFonts w:ascii="Arial" w:eastAsia="Times New Roman" w:hAnsi="Arial" w:cs="Arial"/>
                <w:sz w:val="20"/>
                <w:lang w:val="en-US"/>
              </w:rPr>
              <w:t>9.4.2.29</w:t>
            </w:r>
          </w:p>
        </w:tc>
        <w:tc>
          <w:tcPr>
            <w:tcW w:w="502" w:type="pct"/>
            <w:shd w:val="clear" w:color="auto" w:fill="auto"/>
            <w:hideMark/>
          </w:tcPr>
          <w:p w14:paraId="1B5361A2" w14:textId="77777777" w:rsidR="009F2078" w:rsidRPr="009F2078" w:rsidRDefault="009F2078" w:rsidP="009F2078">
            <w:pPr>
              <w:jc w:val="right"/>
              <w:rPr>
                <w:rFonts w:ascii="Arial" w:eastAsia="Times New Roman" w:hAnsi="Arial" w:cs="Arial"/>
                <w:sz w:val="20"/>
                <w:lang w:val="en-US"/>
              </w:rPr>
            </w:pPr>
            <w:r w:rsidRPr="009F2078">
              <w:rPr>
                <w:rFonts w:ascii="Arial" w:eastAsia="Times New Roman" w:hAnsi="Arial" w:cs="Arial"/>
                <w:sz w:val="20"/>
                <w:lang w:val="en-US"/>
              </w:rPr>
              <w:t>1040.22</w:t>
            </w:r>
          </w:p>
        </w:tc>
        <w:tc>
          <w:tcPr>
            <w:tcW w:w="2057" w:type="pct"/>
            <w:shd w:val="clear" w:color="auto" w:fill="auto"/>
            <w:hideMark/>
          </w:tcPr>
          <w:p w14:paraId="4C08D212" w14:textId="77777777" w:rsidR="009F2078" w:rsidRPr="009F2078" w:rsidRDefault="009F2078" w:rsidP="009F2078">
            <w:pPr>
              <w:rPr>
                <w:rFonts w:ascii="Arial" w:eastAsia="Times New Roman" w:hAnsi="Arial" w:cs="Arial"/>
                <w:sz w:val="20"/>
                <w:lang w:val="en-US"/>
              </w:rPr>
            </w:pPr>
            <w:r w:rsidRPr="009F2078">
              <w:rPr>
                <w:rFonts w:ascii="Arial" w:eastAsia="Times New Roman" w:hAnsi="Arial" w:cs="Arial"/>
                <w:sz w:val="20"/>
                <w:lang w:val="en-US"/>
              </w:rPr>
              <w:t>Table 9-151 Downlink "DMG BSS: MSDUs or A-MSDUs are sent by the non-AP recipient of the ADDTS Request frame" is very confusing</w:t>
            </w:r>
            <w:r w:rsidRPr="009F2078">
              <w:rPr>
                <w:rFonts w:ascii="Arial" w:eastAsia="Times New Roman" w:hAnsi="Arial" w:cs="Arial"/>
                <w:sz w:val="20"/>
                <w:lang w:val="en-US"/>
              </w:rPr>
              <w:br/>
            </w:r>
            <w:r w:rsidRPr="009F2078">
              <w:rPr>
                <w:rFonts w:ascii="Arial" w:eastAsia="Times New Roman" w:hAnsi="Arial" w:cs="Arial"/>
                <w:sz w:val="20"/>
                <w:lang w:val="en-US"/>
              </w:rPr>
              <w:br/>
            </w:r>
            <w:r w:rsidRPr="009F2078">
              <w:rPr>
                <w:rFonts w:ascii="Arial" w:eastAsia="Times New Roman" w:hAnsi="Arial" w:cs="Arial"/>
                <w:sz w:val="20"/>
                <w:lang w:val="en-US"/>
              </w:rPr>
              <w:br/>
            </w:r>
            <w:r w:rsidRPr="009F2078">
              <w:rPr>
                <w:rFonts w:ascii="Arial" w:eastAsia="Times New Roman" w:hAnsi="Arial" w:cs="Arial"/>
                <w:sz w:val="20"/>
                <w:lang w:val="en-US"/>
              </w:rPr>
              <w:br/>
              <w:t>In 11.4.1 the spec says "It is always the responsibility of the non-AP STA to initiate the creation of a TS regardless of its direction." However in p1040.22 downlink definition, the ADDTS request is received by non-AP STA (sent by AP?), while data is sent to the AP (uplink?)</w:t>
            </w:r>
          </w:p>
        </w:tc>
        <w:tc>
          <w:tcPr>
            <w:tcW w:w="1525" w:type="pct"/>
            <w:shd w:val="clear" w:color="auto" w:fill="auto"/>
            <w:hideMark/>
          </w:tcPr>
          <w:p w14:paraId="096FD57C" w14:textId="77777777" w:rsidR="009F2078" w:rsidRPr="009F2078" w:rsidRDefault="009F2078" w:rsidP="009F2078">
            <w:pPr>
              <w:rPr>
                <w:rFonts w:ascii="Arial" w:eastAsia="Times New Roman" w:hAnsi="Arial" w:cs="Arial"/>
                <w:sz w:val="20"/>
                <w:lang w:val="en-US"/>
              </w:rPr>
            </w:pPr>
            <w:r w:rsidRPr="009F2078">
              <w:rPr>
                <w:rFonts w:ascii="Arial" w:eastAsia="Times New Roman" w:hAnsi="Arial" w:cs="Arial"/>
                <w:sz w:val="20"/>
                <w:lang w:val="en-US"/>
              </w:rPr>
              <w:t>clarify the definition of downlink for DMG BSS</w:t>
            </w:r>
          </w:p>
        </w:tc>
      </w:tr>
    </w:tbl>
    <w:p w14:paraId="47A5F2E7" w14:textId="77777777" w:rsidR="009F2078" w:rsidRDefault="009F2078"/>
    <w:p w14:paraId="209E7A3A" w14:textId="77777777" w:rsidR="009F2078" w:rsidRPr="009F2078" w:rsidRDefault="009F2078" w:rsidP="009F2078">
      <w:pPr>
        <w:widowControl w:val="0"/>
        <w:autoSpaceDE w:val="0"/>
        <w:autoSpaceDN w:val="0"/>
        <w:adjustRightInd w:val="0"/>
        <w:rPr>
          <w:bCs/>
          <w:sz w:val="20"/>
          <w:lang w:val="en-US" w:eastAsia="zh-CN"/>
        </w:rPr>
      </w:pPr>
    </w:p>
    <w:p w14:paraId="7AC3D5A3" w14:textId="03799DDE" w:rsidR="009F2078" w:rsidRPr="00B57CF3" w:rsidRDefault="009F2078" w:rsidP="009F2078">
      <w:pPr>
        <w:widowControl w:val="0"/>
        <w:autoSpaceDE w:val="0"/>
        <w:autoSpaceDN w:val="0"/>
        <w:adjustRightInd w:val="0"/>
        <w:rPr>
          <w:bCs/>
          <w:sz w:val="20"/>
          <w:lang w:val="en-US" w:eastAsia="zh-CN"/>
        </w:rPr>
      </w:pPr>
      <w:r w:rsidRPr="00B57CF3">
        <w:rPr>
          <w:b/>
          <w:bCs/>
          <w:sz w:val="20"/>
          <w:lang w:val="en-US" w:eastAsia="zh-CN"/>
        </w:rPr>
        <w:t>Discussion</w:t>
      </w:r>
      <w:r w:rsidRPr="00B57CF3">
        <w:rPr>
          <w:bCs/>
          <w:sz w:val="20"/>
          <w:lang w:val="en-US" w:eastAsia="zh-CN"/>
        </w:rPr>
        <w:t xml:space="preserve">: </w:t>
      </w:r>
      <w:r w:rsidR="00704FA8">
        <w:rPr>
          <w:bCs/>
          <w:sz w:val="20"/>
          <w:lang w:val="en-US" w:eastAsia="zh-CN"/>
        </w:rPr>
        <w:t>commenter points out a correct inconsistency. The text in 11.4.1 is correct, but table 9-151 needs to be ratified. Propose to delete “non-AP” from the table and, as such, let the specification be the text in 11.4.1.</w:t>
      </w:r>
    </w:p>
    <w:p w14:paraId="45E7D4DC" w14:textId="77777777" w:rsidR="009F2078" w:rsidRPr="009F2078" w:rsidRDefault="009F2078" w:rsidP="009F2078">
      <w:pPr>
        <w:widowControl w:val="0"/>
        <w:autoSpaceDE w:val="0"/>
        <w:autoSpaceDN w:val="0"/>
        <w:adjustRightInd w:val="0"/>
        <w:rPr>
          <w:bCs/>
          <w:sz w:val="20"/>
          <w:lang w:val="en-US" w:eastAsia="zh-CN"/>
        </w:rPr>
      </w:pPr>
    </w:p>
    <w:p w14:paraId="69DDE57E" w14:textId="476298EA" w:rsidR="009F2078" w:rsidRDefault="00704FA8" w:rsidP="009F2078">
      <w:pPr>
        <w:widowControl w:val="0"/>
        <w:autoSpaceDE w:val="0"/>
        <w:autoSpaceDN w:val="0"/>
        <w:adjustRightInd w:val="0"/>
        <w:rPr>
          <w:bCs/>
          <w:sz w:val="20"/>
          <w:lang w:val="en-US" w:eastAsia="zh-CN"/>
        </w:rPr>
      </w:pPr>
      <w:r w:rsidRPr="00B57CF3">
        <w:rPr>
          <w:b/>
          <w:bCs/>
          <w:sz w:val="20"/>
          <w:lang w:val="en-US" w:eastAsia="zh-CN"/>
        </w:rPr>
        <w:t xml:space="preserve">Proposed </w:t>
      </w:r>
      <w:r>
        <w:rPr>
          <w:b/>
          <w:bCs/>
          <w:sz w:val="20"/>
          <w:lang w:val="en-US" w:eastAsia="zh-CN"/>
        </w:rPr>
        <w:t>resolution</w:t>
      </w:r>
      <w:r w:rsidRPr="00B57CF3">
        <w:rPr>
          <w:bCs/>
          <w:sz w:val="20"/>
          <w:lang w:val="en-US" w:eastAsia="zh-CN"/>
        </w:rPr>
        <w:t>:</w:t>
      </w:r>
      <w:r>
        <w:rPr>
          <w:bCs/>
          <w:sz w:val="20"/>
          <w:lang w:val="en-US" w:eastAsia="zh-CN"/>
        </w:rPr>
        <w:t xml:space="preserve"> Revised</w:t>
      </w:r>
    </w:p>
    <w:p w14:paraId="2926D144" w14:textId="77777777" w:rsidR="00704FA8" w:rsidRPr="00B57CF3" w:rsidRDefault="00704FA8" w:rsidP="009F2078">
      <w:pPr>
        <w:widowControl w:val="0"/>
        <w:autoSpaceDE w:val="0"/>
        <w:autoSpaceDN w:val="0"/>
        <w:adjustRightInd w:val="0"/>
        <w:rPr>
          <w:bCs/>
          <w:sz w:val="20"/>
          <w:lang w:val="en-US" w:eastAsia="zh-CN"/>
        </w:rPr>
      </w:pPr>
    </w:p>
    <w:p w14:paraId="00BA105C" w14:textId="77777777" w:rsidR="009F2078" w:rsidRPr="00B57CF3" w:rsidRDefault="009F2078" w:rsidP="009F2078">
      <w:pPr>
        <w:widowControl w:val="0"/>
        <w:autoSpaceDE w:val="0"/>
        <w:autoSpaceDN w:val="0"/>
        <w:adjustRightInd w:val="0"/>
        <w:rPr>
          <w:bCs/>
          <w:sz w:val="20"/>
          <w:lang w:val="en-US" w:eastAsia="zh-CN"/>
        </w:rPr>
      </w:pPr>
      <w:r w:rsidRPr="00B57CF3">
        <w:rPr>
          <w:b/>
          <w:bCs/>
          <w:sz w:val="20"/>
          <w:lang w:val="en-US" w:eastAsia="zh-CN"/>
        </w:rPr>
        <w:t>Proposed changes</w:t>
      </w:r>
      <w:r w:rsidRPr="00B57CF3">
        <w:rPr>
          <w:bCs/>
          <w:sz w:val="20"/>
          <w:lang w:val="en-US" w:eastAsia="zh-CN"/>
        </w:rPr>
        <w:t>:</w:t>
      </w:r>
    </w:p>
    <w:p w14:paraId="7D123704" w14:textId="77777777" w:rsidR="009F2078" w:rsidRPr="00B57CF3" w:rsidRDefault="009F2078" w:rsidP="009F2078">
      <w:pPr>
        <w:widowControl w:val="0"/>
        <w:autoSpaceDE w:val="0"/>
        <w:autoSpaceDN w:val="0"/>
        <w:adjustRightInd w:val="0"/>
        <w:rPr>
          <w:bCs/>
          <w:sz w:val="20"/>
          <w:lang w:val="en-US" w:eastAsia="zh-CN"/>
        </w:rPr>
      </w:pPr>
    </w:p>
    <w:p w14:paraId="74C84364" w14:textId="4433724A" w:rsidR="009F2078" w:rsidRPr="00704FA8" w:rsidRDefault="00704FA8">
      <w:pPr>
        <w:rPr>
          <w:i/>
        </w:rPr>
      </w:pPr>
      <w:r>
        <w:rPr>
          <w:i/>
        </w:rPr>
        <w:t>Change the following rows of Table 9-159 as indicated</w:t>
      </w:r>
    </w:p>
    <w:p w14:paraId="2C912326" w14:textId="77777777" w:rsidR="00704FA8" w:rsidRDefault="00704FA8"/>
    <w:tbl>
      <w:tblPr>
        <w:tblStyle w:val="TableGrid"/>
        <w:tblW w:w="5000" w:type="pct"/>
        <w:tblLook w:val="04A0" w:firstRow="1" w:lastRow="0" w:firstColumn="1" w:lastColumn="0" w:noHBand="0" w:noVBand="1"/>
      </w:tblPr>
      <w:tblGrid>
        <w:gridCol w:w="462"/>
        <w:gridCol w:w="462"/>
        <w:gridCol w:w="8426"/>
      </w:tblGrid>
      <w:tr w:rsidR="00704FA8" w14:paraId="37469B73" w14:textId="77777777" w:rsidTr="00704FA8">
        <w:tc>
          <w:tcPr>
            <w:tcW w:w="247" w:type="pct"/>
          </w:tcPr>
          <w:p w14:paraId="5AE32259" w14:textId="75F21117" w:rsidR="00704FA8" w:rsidRDefault="00704FA8">
            <w:r>
              <w:t>0</w:t>
            </w:r>
          </w:p>
        </w:tc>
        <w:tc>
          <w:tcPr>
            <w:tcW w:w="247" w:type="pct"/>
          </w:tcPr>
          <w:p w14:paraId="56A9A2D2" w14:textId="628687F4" w:rsidR="00704FA8" w:rsidRDefault="00704FA8">
            <w:r>
              <w:t>0</w:t>
            </w:r>
          </w:p>
        </w:tc>
        <w:tc>
          <w:tcPr>
            <w:tcW w:w="4507" w:type="pct"/>
          </w:tcPr>
          <w:p w14:paraId="135F5C8F" w14:textId="77777777" w:rsidR="00704FA8" w:rsidRDefault="00704FA8" w:rsidP="00704FA8">
            <w:pPr>
              <w:autoSpaceDE w:val="0"/>
              <w:autoSpaceDN w:val="0"/>
              <w:adjustRightInd w:val="0"/>
              <w:rPr>
                <w:rFonts w:ascii="TimesNewRomanPSMT" w:eastAsia="TimesNewRomanPSMT" w:cs="TimesNewRomanPSMT"/>
                <w:sz w:val="18"/>
                <w:szCs w:val="18"/>
                <w:lang w:val="en-US" w:eastAsia="zh-CN"/>
              </w:rPr>
            </w:pPr>
            <w:r>
              <w:rPr>
                <w:rFonts w:ascii="TimesNewRomanPSMT" w:eastAsia="TimesNewRomanPSMT" w:cs="TimesNewRomanPSMT"/>
                <w:sz w:val="18"/>
                <w:szCs w:val="18"/>
                <w:lang w:val="en-US" w:eastAsia="zh-CN"/>
              </w:rPr>
              <w:t>Uplink, defined as follows:</w:t>
            </w:r>
          </w:p>
          <w:p w14:paraId="4C6E9E5C" w14:textId="77777777" w:rsidR="00704FA8" w:rsidRDefault="00704FA8" w:rsidP="00704FA8">
            <w:pPr>
              <w:autoSpaceDE w:val="0"/>
              <w:autoSpaceDN w:val="0"/>
              <w:adjustRightInd w:val="0"/>
              <w:rPr>
                <w:rFonts w:ascii="TimesNewRomanPSMT" w:eastAsia="TimesNewRomanPSMT" w:cs="TimesNewRomanPSMT"/>
                <w:sz w:val="18"/>
                <w:szCs w:val="18"/>
                <w:lang w:val="en-US" w:eastAsia="zh-CN"/>
              </w:rPr>
            </w:pPr>
            <w:r>
              <w:rPr>
                <w:rFonts w:ascii="TimesNewRomanPSMT" w:eastAsia="TimesNewRomanPSMT" w:cs="TimesNewRomanPSMT" w:hint="eastAsia"/>
                <w:sz w:val="18"/>
                <w:szCs w:val="18"/>
                <w:lang w:val="en-US" w:eastAsia="zh-CN"/>
              </w:rPr>
              <w:t>—</w:t>
            </w:r>
            <w:r>
              <w:rPr>
                <w:rFonts w:ascii="TimesNewRomanPSMT" w:eastAsia="TimesNewRomanPSMT" w:cs="TimesNewRomanPSMT"/>
                <w:sz w:val="18"/>
                <w:szCs w:val="18"/>
                <w:lang w:val="en-US" w:eastAsia="zh-CN"/>
              </w:rPr>
              <w:t xml:space="preserve"> Non-DMG BSS: MSDUs or A-MSDUs are sent from the non-AP STA to HC</w:t>
            </w:r>
          </w:p>
          <w:p w14:paraId="44D8411C" w14:textId="1E3A56F8" w:rsidR="00704FA8" w:rsidRDefault="00704FA8" w:rsidP="00704FA8">
            <w:pPr>
              <w:autoSpaceDE w:val="0"/>
              <w:autoSpaceDN w:val="0"/>
              <w:adjustRightInd w:val="0"/>
            </w:pPr>
            <w:r>
              <w:rPr>
                <w:rFonts w:ascii="TimesNewRomanPSMT" w:eastAsia="TimesNewRomanPSMT" w:cs="TimesNewRomanPSMT" w:hint="eastAsia"/>
                <w:sz w:val="18"/>
                <w:szCs w:val="18"/>
                <w:lang w:val="en-US" w:eastAsia="zh-CN"/>
              </w:rPr>
              <w:t>—</w:t>
            </w:r>
            <w:r>
              <w:rPr>
                <w:rFonts w:ascii="TimesNewRomanPSMT" w:eastAsia="TimesNewRomanPSMT" w:cs="TimesNewRomanPSMT"/>
                <w:sz w:val="18"/>
                <w:szCs w:val="18"/>
                <w:lang w:val="en-US" w:eastAsia="zh-CN"/>
              </w:rPr>
              <w:t xml:space="preserve"> DMG BSS: </w:t>
            </w:r>
            <w:r>
              <w:rPr>
                <w:rFonts w:ascii="TimesNewRomanPSMT" w:eastAsia="TimesNewRomanPSMT" w:cs="TimesNewRomanPSMT"/>
                <w:sz w:val="20"/>
                <w:lang w:val="en-US" w:eastAsia="zh-CN"/>
              </w:rPr>
              <w:t xml:space="preserve">MSDUs or A-MSDUs are sent by the </w:t>
            </w:r>
            <w:r w:rsidRPr="00704FA8">
              <w:rPr>
                <w:rFonts w:ascii="TimesNewRomanPSMT" w:eastAsia="TimesNewRomanPSMT" w:cs="TimesNewRomanPSMT"/>
                <w:strike/>
                <w:sz w:val="20"/>
                <w:lang w:val="en-US" w:eastAsia="zh-CN"/>
              </w:rPr>
              <w:t>non-AP</w:t>
            </w:r>
            <w:r>
              <w:rPr>
                <w:rFonts w:ascii="TimesNewRomanPSMT" w:eastAsia="TimesNewRomanPSMT" w:cs="TimesNewRomanPSMT"/>
                <w:sz w:val="20"/>
                <w:lang w:val="en-US" w:eastAsia="zh-CN"/>
              </w:rPr>
              <w:t xml:space="preserve"> originator of the ADDTS Request frame</w:t>
            </w:r>
          </w:p>
        </w:tc>
      </w:tr>
      <w:tr w:rsidR="00704FA8" w14:paraId="692C395B" w14:textId="77777777" w:rsidTr="00704FA8">
        <w:tc>
          <w:tcPr>
            <w:tcW w:w="247" w:type="pct"/>
          </w:tcPr>
          <w:p w14:paraId="2AC6612C" w14:textId="5E1A8B5B" w:rsidR="00704FA8" w:rsidRDefault="00704FA8">
            <w:r>
              <w:t>1</w:t>
            </w:r>
          </w:p>
        </w:tc>
        <w:tc>
          <w:tcPr>
            <w:tcW w:w="247" w:type="pct"/>
          </w:tcPr>
          <w:p w14:paraId="178A9906" w14:textId="3B611B98" w:rsidR="00704FA8" w:rsidRDefault="00704FA8">
            <w:r>
              <w:t>0</w:t>
            </w:r>
          </w:p>
        </w:tc>
        <w:tc>
          <w:tcPr>
            <w:tcW w:w="4507" w:type="pct"/>
          </w:tcPr>
          <w:p w14:paraId="109C0ECF" w14:textId="77777777" w:rsidR="00704FA8" w:rsidRDefault="00704FA8" w:rsidP="00704FA8">
            <w:pPr>
              <w:autoSpaceDE w:val="0"/>
              <w:autoSpaceDN w:val="0"/>
              <w:adjustRightInd w:val="0"/>
              <w:rPr>
                <w:rFonts w:ascii="TimesNewRomanPSMT" w:eastAsia="TimesNewRomanPSMT" w:cs="TimesNewRomanPSMT"/>
                <w:sz w:val="18"/>
                <w:szCs w:val="18"/>
                <w:lang w:val="en-US" w:eastAsia="zh-CN"/>
              </w:rPr>
            </w:pPr>
            <w:r>
              <w:rPr>
                <w:rFonts w:ascii="TimesNewRomanPSMT" w:eastAsia="TimesNewRomanPSMT" w:cs="TimesNewRomanPSMT"/>
                <w:sz w:val="18"/>
                <w:szCs w:val="18"/>
                <w:lang w:val="en-US" w:eastAsia="zh-CN"/>
              </w:rPr>
              <w:t>Downlink, defined as follows:</w:t>
            </w:r>
          </w:p>
          <w:p w14:paraId="28B185FB" w14:textId="59BE48B1" w:rsidR="00704FA8" w:rsidRDefault="00704FA8" w:rsidP="00704FA8">
            <w:pPr>
              <w:autoSpaceDE w:val="0"/>
              <w:autoSpaceDN w:val="0"/>
              <w:adjustRightInd w:val="0"/>
              <w:rPr>
                <w:rFonts w:ascii="TimesNewRomanPSMT" w:eastAsia="TimesNewRomanPSMT" w:cs="TimesNewRomanPSMT"/>
                <w:sz w:val="18"/>
                <w:szCs w:val="18"/>
                <w:lang w:val="en-US" w:eastAsia="zh-CN"/>
              </w:rPr>
            </w:pPr>
            <w:r>
              <w:rPr>
                <w:rFonts w:ascii="TimesNewRomanPSMT" w:eastAsia="TimesNewRomanPSMT" w:cs="TimesNewRomanPSMT" w:hint="eastAsia"/>
                <w:sz w:val="18"/>
                <w:szCs w:val="18"/>
                <w:lang w:val="en-US" w:eastAsia="zh-CN"/>
              </w:rPr>
              <w:t>—</w:t>
            </w:r>
            <w:r>
              <w:rPr>
                <w:rFonts w:ascii="TimesNewRomanPSMT" w:eastAsia="TimesNewRomanPSMT" w:cs="TimesNewRomanPSMT"/>
                <w:sz w:val="18"/>
                <w:szCs w:val="18"/>
                <w:lang w:val="en-US" w:eastAsia="zh-CN"/>
              </w:rPr>
              <w:t xml:space="preserve"> Non-DMG BSS: MSDUs or A-MSDUs are sent from the HC to the non-AP STA</w:t>
            </w:r>
          </w:p>
          <w:p w14:paraId="3B1D2BF5" w14:textId="7EB7EA80" w:rsidR="00704FA8" w:rsidRDefault="00704FA8" w:rsidP="00704FA8">
            <w:pPr>
              <w:autoSpaceDE w:val="0"/>
              <w:autoSpaceDN w:val="0"/>
              <w:adjustRightInd w:val="0"/>
            </w:pPr>
            <w:r>
              <w:rPr>
                <w:rFonts w:ascii="TimesNewRomanPSMT" w:eastAsia="TimesNewRomanPSMT" w:cs="TimesNewRomanPSMT" w:hint="eastAsia"/>
                <w:sz w:val="18"/>
                <w:szCs w:val="18"/>
                <w:lang w:val="en-US" w:eastAsia="zh-CN"/>
              </w:rPr>
              <w:t>—</w:t>
            </w:r>
            <w:r>
              <w:rPr>
                <w:rFonts w:ascii="TimesNewRomanPSMT" w:eastAsia="TimesNewRomanPSMT" w:cs="TimesNewRomanPSMT"/>
                <w:sz w:val="18"/>
                <w:szCs w:val="18"/>
                <w:lang w:val="en-US" w:eastAsia="zh-CN"/>
              </w:rPr>
              <w:t xml:space="preserve"> DMG BSS: MSDUs or A-MSDUs are sent by the </w:t>
            </w:r>
            <w:r w:rsidRPr="00704FA8">
              <w:rPr>
                <w:rFonts w:ascii="TimesNewRomanPSMT" w:eastAsia="TimesNewRomanPSMT" w:cs="TimesNewRomanPSMT"/>
                <w:strike/>
                <w:sz w:val="18"/>
                <w:szCs w:val="18"/>
                <w:lang w:val="en-US" w:eastAsia="zh-CN"/>
              </w:rPr>
              <w:t>non-AP</w:t>
            </w:r>
            <w:r>
              <w:rPr>
                <w:rFonts w:ascii="TimesNewRomanPSMT" w:eastAsia="TimesNewRomanPSMT" w:cs="TimesNewRomanPSMT"/>
                <w:sz w:val="18"/>
                <w:szCs w:val="18"/>
                <w:lang w:val="en-US" w:eastAsia="zh-CN"/>
              </w:rPr>
              <w:t xml:space="preserve"> recipient of the ADDTS Request frame</w:t>
            </w:r>
          </w:p>
        </w:tc>
      </w:tr>
    </w:tbl>
    <w:p w14:paraId="23F2D366" w14:textId="77777777" w:rsidR="00704FA8" w:rsidRDefault="00704FA8"/>
    <w:p w14:paraId="56FE2FFC" w14:textId="77777777" w:rsidR="00704FA8" w:rsidRDefault="00704FA8"/>
    <w:p w14:paraId="41CE40F3" w14:textId="77777777" w:rsidR="009F2078" w:rsidRDefault="009F2078"/>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1051"/>
        <w:gridCol w:w="939"/>
        <w:gridCol w:w="3847"/>
        <w:gridCol w:w="2852"/>
      </w:tblGrid>
      <w:tr w:rsidR="009F2078" w:rsidRPr="009F2078" w14:paraId="73A496B2" w14:textId="77777777" w:rsidTr="009F2078">
        <w:trPr>
          <w:trHeight w:val="8190"/>
        </w:trPr>
        <w:tc>
          <w:tcPr>
            <w:tcW w:w="353" w:type="pct"/>
            <w:shd w:val="clear" w:color="auto" w:fill="auto"/>
            <w:hideMark/>
          </w:tcPr>
          <w:p w14:paraId="7BFB8558" w14:textId="77777777" w:rsidR="009F2078" w:rsidRPr="009F2078" w:rsidRDefault="009F2078" w:rsidP="009F2078">
            <w:pPr>
              <w:jc w:val="right"/>
              <w:rPr>
                <w:rFonts w:ascii="Arial" w:eastAsia="Times New Roman" w:hAnsi="Arial" w:cs="Arial"/>
                <w:sz w:val="20"/>
                <w:lang w:val="en-US"/>
              </w:rPr>
            </w:pPr>
            <w:r w:rsidRPr="009F2078">
              <w:rPr>
                <w:rFonts w:ascii="Arial" w:eastAsia="Times New Roman" w:hAnsi="Arial" w:cs="Arial"/>
                <w:sz w:val="20"/>
                <w:lang w:val="en-US"/>
              </w:rPr>
              <w:lastRenderedPageBreak/>
              <w:t>1310</w:t>
            </w:r>
          </w:p>
        </w:tc>
        <w:tc>
          <w:tcPr>
            <w:tcW w:w="562" w:type="pct"/>
            <w:shd w:val="clear" w:color="auto" w:fill="auto"/>
            <w:hideMark/>
          </w:tcPr>
          <w:p w14:paraId="5D5CA5BC" w14:textId="77777777" w:rsidR="009F2078" w:rsidRPr="009F2078" w:rsidRDefault="009F2078" w:rsidP="009F2078">
            <w:pPr>
              <w:rPr>
                <w:rFonts w:ascii="Arial" w:eastAsia="Times New Roman" w:hAnsi="Arial" w:cs="Arial"/>
                <w:sz w:val="20"/>
                <w:lang w:val="en-US"/>
              </w:rPr>
            </w:pPr>
            <w:r w:rsidRPr="009F2078">
              <w:rPr>
                <w:rFonts w:ascii="Arial" w:eastAsia="Times New Roman" w:hAnsi="Arial" w:cs="Arial"/>
                <w:sz w:val="20"/>
                <w:lang w:val="en-US"/>
              </w:rPr>
              <w:t>10.37.4</w:t>
            </w:r>
          </w:p>
        </w:tc>
        <w:tc>
          <w:tcPr>
            <w:tcW w:w="502" w:type="pct"/>
            <w:shd w:val="clear" w:color="auto" w:fill="auto"/>
            <w:hideMark/>
          </w:tcPr>
          <w:p w14:paraId="024BE2B9" w14:textId="77777777" w:rsidR="009F2078" w:rsidRPr="009F2078" w:rsidRDefault="009F2078" w:rsidP="009F2078">
            <w:pPr>
              <w:jc w:val="right"/>
              <w:rPr>
                <w:rFonts w:ascii="Arial" w:eastAsia="Times New Roman" w:hAnsi="Arial" w:cs="Arial"/>
                <w:sz w:val="20"/>
                <w:lang w:val="en-US"/>
              </w:rPr>
            </w:pPr>
            <w:r w:rsidRPr="009F2078">
              <w:rPr>
                <w:rFonts w:ascii="Arial" w:eastAsia="Times New Roman" w:hAnsi="Arial" w:cs="Arial"/>
                <w:sz w:val="20"/>
                <w:lang w:val="en-US"/>
              </w:rPr>
              <w:t>1803.22</w:t>
            </w:r>
          </w:p>
        </w:tc>
        <w:tc>
          <w:tcPr>
            <w:tcW w:w="2057" w:type="pct"/>
            <w:shd w:val="clear" w:color="auto" w:fill="auto"/>
            <w:hideMark/>
          </w:tcPr>
          <w:p w14:paraId="70EDA21C" w14:textId="0B4F8BDD" w:rsidR="009F2078" w:rsidRPr="009F2078" w:rsidRDefault="009F2078" w:rsidP="008153E4">
            <w:pPr>
              <w:rPr>
                <w:rFonts w:ascii="Arial" w:eastAsia="Times New Roman" w:hAnsi="Arial" w:cs="Arial"/>
                <w:sz w:val="20"/>
                <w:lang w:val="en-US"/>
              </w:rPr>
            </w:pPr>
            <w:r w:rsidRPr="009F2078">
              <w:rPr>
                <w:rFonts w:ascii="Arial" w:eastAsia="Times New Roman" w:hAnsi="Arial" w:cs="Arial"/>
                <w:sz w:val="20"/>
                <w:lang w:val="en-US"/>
              </w:rPr>
              <w:t>It is not clear what is the case that a destination DMG STA can initiate a frame exchange sequence in an SP</w:t>
            </w:r>
            <w:r w:rsidRPr="009F2078">
              <w:rPr>
                <w:rFonts w:ascii="Arial" w:eastAsia="Times New Roman" w:hAnsi="Arial" w:cs="Arial"/>
                <w:sz w:val="20"/>
                <w:lang w:val="en-US"/>
              </w:rPr>
              <w:br/>
            </w:r>
            <w:r w:rsidRPr="009F2078">
              <w:rPr>
                <w:rFonts w:ascii="Arial" w:eastAsia="Times New Roman" w:hAnsi="Arial" w:cs="Arial"/>
                <w:sz w:val="20"/>
                <w:lang w:val="en-US"/>
              </w:rPr>
              <w:br/>
            </w:r>
            <w:r w:rsidRPr="009F2078">
              <w:rPr>
                <w:rFonts w:ascii="Arial" w:eastAsia="Times New Roman" w:hAnsi="Arial" w:cs="Arial"/>
                <w:sz w:val="20"/>
                <w:lang w:val="en-US"/>
              </w:rPr>
              <w:br/>
            </w:r>
            <w:r w:rsidRPr="009F2078">
              <w:rPr>
                <w:rFonts w:ascii="Arial" w:eastAsia="Times New Roman" w:hAnsi="Arial" w:cs="Arial"/>
                <w:sz w:val="20"/>
                <w:lang w:val="en-US"/>
              </w:rPr>
              <w:br/>
              <w:t>In 10.37.6.2: "The source DMG STA shall initiate the frame exchange sequence that takes place during the SP at the start of the SP, except when the source DMG STA intends to establish a DMG protected period in which case the rules described in 10.37.6.6 (DMG protected period) shall be followed before the source DMG STA initiates the frame exchange in the SP"</w:t>
            </w:r>
            <w:r w:rsidRPr="009F2078">
              <w:rPr>
                <w:rFonts w:ascii="Arial" w:eastAsia="Times New Roman" w:hAnsi="Arial" w:cs="Arial"/>
                <w:sz w:val="20"/>
                <w:lang w:val="en-US"/>
              </w:rPr>
              <w:br/>
            </w:r>
            <w:r w:rsidRPr="009F2078">
              <w:rPr>
                <w:rFonts w:ascii="Arial" w:eastAsia="Times New Roman" w:hAnsi="Arial" w:cs="Arial"/>
                <w:sz w:val="20"/>
                <w:lang w:val="en-US"/>
              </w:rPr>
              <w:br/>
            </w:r>
            <w:r w:rsidRPr="009F2078">
              <w:rPr>
                <w:rFonts w:ascii="Arial" w:eastAsia="Times New Roman" w:hAnsi="Arial" w:cs="Arial"/>
                <w:sz w:val="20"/>
                <w:lang w:val="en-US"/>
              </w:rPr>
              <w:br/>
            </w:r>
            <w:r w:rsidRPr="009F2078">
              <w:rPr>
                <w:rFonts w:ascii="Arial" w:eastAsia="Times New Roman" w:hAnsi="Arial" w:cs="Arial"/>
                <w:sz w:val="20"/>
                <w:lang w:val="en-US"/>
              </w:rPr>
              <w:br/>
              <w:t>In 10.37.6.6.1: "To create a DMG protected</w:t>
            </w:r>
            <w:r w:rsidR="008153E4">
              <w:rPr>
                <w:rFonts w:ascii="Arial" w:eastAsia="Times New Roman" w:hAnsi="Arial" w:cs="Arial"/>
                <w:sz w:val="20"/>
                <w:lang w:val="en-US"/>
              </w:rPr>
              <w:t xml:space="preserve"> </w:t>
            </w:r>
            <w:r w:rsidRPr="009F2078">
              <w:rPr>
                <w:rFonts w:ascii="Arial" w:eastAsia="Times New Roman" w:hAnsi="Arial" w:cs="Arial"/>
                <w:sz w:val="20"/>
                <w:lang w:val="en-US"/>
              </w:rPr>
              <w:t>period, the source DMG STA of an SP sends an RTS, and the recipient STA responds with a DMG CTS. If the recipient STA responds with a DMG CTS, then a DMG protected period is established; otherwise, no DMG protected period has been established."</w:t>
            </w:r>
            <w:r w:rsidRPr="009F2078">
              <w:rPr>
                <w:rFonts w:ascii="Arial" w:eastAsia="Times New Roman" w:hAnsi="Arial" w:cs="Arial"/>
                <w:sz w:val="20"/>
                <w:lang w:val="en-US"/>
              </w:rPr>
              <w:br/>
            </w:r>
            <w:r w:rsidRPr="009F2078">
              <w:rPr>
                <w:rFonts w:ascii="Arial" w:eastAsia="Times New Roman" w:hAnsi="Arial" w:cs="Arial"/>
                <w:sz w:val="20"/>
                <w:lang w:val="en-US"/>
              </w:rPr>
              <w:br/>
              <w:t>This sentence indicates only source DMG STA can create a DMG protected period</w:t>
            </w:r>
            <w:r w:rsidRPr="009F2078">
              <w:rPr>
                <w:rFonts w:ascii="Arial" w:eastAsia="Times New Roman" w:hAnsi="Arial" w:cs="Arial"/>
                <w:sz w:val="20"/>
                <w:lang w:val="en-US"/>
              </w:rPr>
              <w:br/>
            </w:r>
            <w:r w:rsidRPr="009F2078">
              <w:rPr>
                <w:rFonts w:ascii="Arial" w:eastAsia="Times New Roman" w:hAnsi="Arial" w:cs="Arial"/>
                <w:sz w:val="20"/>
                <w:lang w:val="en-US"/>
              </w:rPr>
              <w:br/>
            </w:r>
            <w:r w:rsidRPr="009F2078">
              <w:rPr>
                <w:rFonts w:ascii="Arial" w:eastAsia="Times New Roman" w:hAnsi="Arial" w:cs="Arial"/>
                <w:sz w:val="20"/>
                <w:lang w:val="en-US"/>
              </w:rPr>
              <w:br/>
            </w:r>
            <w:r w:rsidRPr="009F2078">
              <w:rPr>
                <w:rFonts w:ascii="Arial" w:eastAsia="Times New Roman" w:hAnsi="Arial" w:cs="Arial"/>
                <w:sz w:val="20"/>
                <w:lang w:val="en-US"/>
              </w:rPr>
              <w:br/>
              <w:t>It seems in both cases (with or without DMG protected period), the frame exchange sequence can only be initaited by the source DMG STA in an SP</w:t>
            </w:r>
          </w:p>
        </w:tc>
        <w:tc>
          <w:tcPr>
            <w:tcW w:w="1525" w:type="pct"/>
            <w:shd w:val="clear" w:color="auto" w:fill="auto"/>
            <w:hideMark/>
          </w:tcPr>
          <w:p w14:paraId="6770F645" w14:textId="77777777" w:rsidR="009F2078" w:rsidRPr="009F2078" w:rsidRDefault="009F2078" w:rsidP="009F2078">
            <w:pPr>
              <w:rPr>
                <w:rFonts w:ascii="Arial" w:eastAsia="Times New Roman" w:hAnsi="Arial" w:cs="Arial"/>
                <w:sz w:val="20"/>
                <w:lang w:val="en-US"/>
              </w:rPr>
            </w:pPr>
            <w:r w:rsidRPr="009F2078">
              <w:rPr>
                <w:rFonts w:ascii="Arial" w:eastAsia="Times New Roman" w:hAnsi="Arial" w:cs="Arial"/>
                <w:sz w:val="20"/>
                <w:lang w:val="en-US"/>
              </w:rPr>
              <w:t>In 1083.22 remove "or destination" in "b) During an SP for which the STA is identified as source or destination (10.37.6.2 (Service period (SP) allocation) and 10.37.7 (Dynamic allocation of service period))"</w:t>
            </w:r>
            <w:r w:rsidRPr="009F2078">
              <w:rPr>
                <w:rFonts w:ascii="Arial" w:eastAsia="Times New Roman" w:hAnsi="Arial" w:cs="Arial"/>
                <w:sz w:val="20"/>
                <w:lang w:val="en-US"/>
              </w:rPr>
              <w:br/>
            </w:r>
            <w:r w:rsidRPr="009F2078">
              <w:rPr>
                <w:rFonts w:ascii="Arial" w:eastAsia="Times New Roman" w:hAnsi="Arial" w:cs="Arial"/>
                <w:sz w:val="20"/>
                <w:lang w:val="en-US"/>
              </w:rPr>
              <w:br/>
            </w:r>
            <w:r w:rsidRPr="009F2078">
              <w:rPr>
                <w:rFonts w:ascii="Arial" w:eastAsia="Times New Roman" w:hAnsi="Arial" w:cs="Arial"/>
                <w:sz w:val="20"/>
                <w:lang w:val="en-US"/>
              </w:rPr>
              <w:br/>
            </w:r>
            <w:r w:rsidRPr="009F2078">
              <w:rPr>
                <w:rFonts w:ascii="Arial" w:eastAsia="Times New Roman" w:hAnsi="Arial" w:cs="Arial"/>
                <w:sz w:val="20"/>
                <w:lang w:val="en-US"/>
              </w:rPr>
              <w:br/>
              <w:t>In 1810.20, remove "or a destination DMG STA" in "A DMG STA that creates a DMG protected period during an SP in which it is a source DMG STA or a destination DMG STA moves to and stays in listening mode ..."</w:t>
            </w:r>
            <w:r w:rsidRPr="009F2078">
              <w:rPr>
                <w:rFonts w:ascii="Arial" w:eastAsia="Times New Roman" w:hAnsi="Arial" w:cs="Arial"/>
                <w:sz w:val="20"/>
                <w:lang w:val="en-US"/>
              </w:rPr>
              <w:br/>
            </w:r>
            <w:r w:rsidRPr="009F2078">
              <w:rPr>
                <w:rFonts w:ascii="Arial" w:eastAsia="Times New Roman" w:hAnsi="Arial" w:cs="Arial"/>
                <w:sz w:val="20"/>
                <w:lang w:val="en-US"/>
              </w:rPr>
              <w:br/>
            </w:r>
            <w:r w:rsidRPr="009F2078">
              <w:rPr>
                <w:rFonts w:ascii="Arial" w:eastAsia="Times New Roman" w:hAnsi="Arial" w:cs="Arial"/>
                <w:sz w:val="20"/>
                <w:lang w:val="en-US"/>
              </w:rPr>
              <w:br/>
            </w:r>
            <w:r w:rsidRPr="009F2078">
              <w:rPr>
                <w:rFonts w:ascii="Arial" w:eastAsia="Times New Roman" w:hAnsi="Arial" w:cs="Arial"/>
                <w:sz w:val="20"/>
                <w:lang w:val="en-US"/>
              </w:rPr>
              <w:br/>
              <w:t>or</w:t>
            </w:r>
            <w:r w:rsidRPr="009F2078">
              <w:rPr>
                <w:rFonts w:ascii="Arial" w:eastAsia="Times New Roman" w:hAnsi="Arial" w:cs="Arial"/>
                <w:sz w:val="20"/>
                <w:lang w:val="en-US"/>
              </w:rPr>
              <w:br/>
            </w:r>
            <w:r w:rsidRPr="009F2078">
              <w:rPr>
                <w:rFonts w:ascii="Arial" w:eastAsia="Times New Roman" w:hAnsi="Arial" w:cs="Arial"/>
                <w:sz w:val="20"/>
                <w:lang w:val="en-US"/>
              </w:rPr>
              <w:br/>
            </w:r>
            <w:r w:rsidRPr="009F2078">
              <w:rPr>
                <w:rFonts w:ascii="Arial" w:eastAsia="Times New Roman" w:hAnsi="Arial" w:cs="Arial"/>
                <w:sz w:val="20"/>
                <w:lang w:val="en-US"/>
              </w:rPr>
              <w:br/>
            </w:r>
            <w:r w:rsidRPr="009F2078">
              <w:rPr>
                <w:rFonts w:ascii="Arial" w:eastAsia="Times New Roman" w:hAnsi="Arial" w:cs="Arial"/>
                <w:sz w:val="20"/>
                <w:lang w:val="en-US"/>
              </w:rPr>
              <w:br/>
              <w:t>add a note describing the case that a destination DMG STA initiates frame exchange sequence in an SP</w:t>
            </w:r>
          </w:p>
        </w:tc>
      </w:tr>
    </w:tbl>
    <w:p w14:paraId="6D0739DD" w14:textId="77777777" w:rsidR="009F2078" w:rsidRDefault="009F2078" w:rsidP="00B576A0">
      <w:pPr>
        <w:widowControl w:val="0"/>
        <w:autoSpaceDE w:val="0"/>
        <w:autoSpaceDN w:val="0"/>
        <w:adjustRightInd w:val="0"/>
        <w:rPr>
          <w:bCs/>
          <w:sz w:val="20"/>
          <w:lang w:val="en-US" w:eastAsia="zh-CN"/>
        </w:rPr>
      </w:pPr>
    </w:p>
    <w:p w14:paraId="3ED58AFE" w14:textId="77777777" w:rsidR="009F2078" w:rsidRPr="009F2078" w:rsidRDefault="009F2078" w:rsidP="009F2078">
      <w:pPr>
        <w:widowControl w:val="0"/>
        <w:autoSpaceDE w:val="0"/>
        <w:autoSpaceDN w:val="0"/>
        <w:adjustRightInd w:val="0"/>
        <w:rPr>
          <w:bCs/>
          <w:sz w:val="20"/>
          <w:lang w:val="en-US" w:eastAsia="zh-CN"/>
        </w:rPr>
      </w:pPr>
    </w:p>
    <w:p w14:paraId="117CF40D" w14:textId="77777777" w:rsidR="008153E4" w:rsidRDefault="009F2078" w:rsidP="009F2078">
      <w:pPr>
        <w:widowControl w:val="0"/>
        <w:autoSpaceDE w:val="0"/>
        <w:autoSpaceDN w:val="0"/>
        <w:adjustRightInd w:val="0"/>
        <w:rPr>
          <w:bCs/>
          <w:sz w:val="20"/>
          <w:lang w:val="en-US" w:eastAsia="zh-CN"/>
        </w:rPr>
      </w:pPr>
      <w:r w:rsidRPr="00B57CF3">
        <w:rPr>
          <w:b/>
          <w:bCs/>
          <w:sz w:val="20"/>
          <w:lang w:val="en-US" w:eastAsia="zh-CN"/>
        </w:rPr>
        <w:t>Discussion</w:t>
      </w:r>
      <w:r w:rsidRPr="00B57CF3">
        <w:rPr>
          <w:bCs/>
          <w:sz w:val="20"/>
          <w:lang w:val="en-US" w:eastAsia="zh-CN"/>
        </w:rPr>
        <w:t xml:space="preserve">: </w:t>
      </w:r>
    </w:p>
    <w:p w14:paraId="2141FEED" w14:textId="0557A7B7" w:rsidR="009F2078" w:rsidRDefault="008153E4" w:rsidP="0050182F">
      <w:pPr>
        <w:pStyle w:val="ListParagraph"/>
        <w:widowControl w:val="0"/>
        <w:numPr>
          <w:ilvl w:val="0"/>
          <w:numId w:val="47"/>
        </w:numPr>
        <w:autoSpaceDE w:val="0"/>
        <w:autoSpaceDN w:val="0"/>
        <w:adjustRightInd w:val="0"/>
        <w:rPr>
          <w:bCs/>
          <w:sz w:val="20"/>
          <w:lang w:val="en-US" w:eastAsia="zh-CN"/>
        </w:rPr>
      </w:pPr>
      <w:r>
        <w:rPr>
          <w:bCs/>
          <w:sz w:val="20"/>
          <w:lang w:val="en-US" w:eastAsia="zh-CN"/>
        </w:rPr>
        <w:t>The case when a</w:t>
      </w:r>
      <w:r w:rsidRPr="008153E4">
        <w:rPr>
          <w:bCs/>
          <w:sz w:val="20"/>
          <w:lang w:val="en-US" w:eastAsia="zh-CN"/>
        </w:rPr>
        <w:t xml:space="preserve"> destination STA initiates a frame exchange in an SP is given in </w:t>
      </w:r>
      <w:r w:rsidRPr="008153E4">
        <w:rPr>
          <w:bCs/>
          <w:sz w:val="20"/>
          <w:lang w:val="en-US" w:eastAsia="zh-CN"/>
        </w:rPr>
        <w:t xml:space="preserve">10.37.6.7 </w:t>
      </w:r>
      <w:r>
        <w:rPr>
          <w:bCs/>
          <w:sz w:val="20"/>
          <w:lang w:val="en-US" w:eastAsia="zh-CN"/>
        </w:rPr>
        <w:t>(</w:t>
      </w:r>
      <w:r w:rsidRPr="008153E4">
        <w:rPr>
          <w:bCs/>
          <w:sz w:val="20"/>
          <w:lang w:val="en-US" w:eastAsia="zh-CN"/>
        </w:rPr>
        <w:t>Service period recovery</w:t>
      </w:r>
      <w:r>
        <w:rPr>
          <w:bCs/>
          <w:sz w:val="20"/>
          <w:lang w:val="en-US" w:eastAsia="zh-CN"/>
        </w:rPr>
        <w:t>)</w:t>
      </w:r>
      <w:r w:rsidRPr="008153E4">
        <w:rPr>
          <w:bCs/>
          <w:sz w:val="20"/>
          <w:lang w:val="en-US" w:eastAsia="zh-CN"/>
        </w:rPr>
        <w:t>. This is further explicitly elaborated in the third paragraph of 10.37.6.2 which states “</w:t>
      </w:r>
      <w:r w:rsidRPr="008153E4">
        <w:rPr>
          <w:rFonts w:ascii="TimesNewRomanPSMT" w:eastAsia="TimesNewRomanPSMT" w:cs="TimesNewRomanPSMT"/>
          <w:sz w:val="20"/>
          <w:lang w:val="en-US" w:eastAsia="zh-CN"/>
        </w:rPr>
        <w:t>Except when</w:t>
      </w:r>
      <w:r w:rsidRPr="008153E4">
        <w:rPr>
          <w:rFonts w:ascii="TimesNewRomanPSMT" w:eastAsia="TimesNewRomanPSMT" w:cs="TimesNewRomanPSMT"/>
          <w:sz w:val="20"/>
          <w:lang w:val="en-US" w:eastAsia="zh-CN"/>
        </w:rPr>
        <w:t xml:space="preserve"> </w:t>
      </w:r>
      <w:r w:rsidRPr="008153E4">
        <w:rPr>
          <w:rFonts w:ascii="TimesNewRomanPSMT" w:eastAsia="TimesNewRomanPSMT" w:cs="TimesNewRomanPSMT"/>
          <w:sz w:val="20"/>
          <w:lang w:val="en-US" w:eastAsia="zh-CN"/>
        </w:rPr>
        <w:t>transmitting a frame as part of the SP recovery procedure (10.37.6.7 (Service period recovery))</w:t>
      </w:r>
      <w:r w:rsidRPr="008153E4">
        <w:rPr>
          <w:rFonts w:ascii="TimesNewRomanPSMT" w:eastAsia="TimesNewRomanPSMT" w:cs="TimesNewRomanPSMT"/>
          <w:sz w:val="20"/>
          <w:lang w:val="en-US" w:eastAsia="zh-CN"/>
        </w:rPr>
        <w:t xml:space="preserve"> </w:t>
      </w:r>
      <w:r w:rsidRPr="008153E4">
        <w:rPr>
          <w:rFonts w:ascii="TimesNewRomanPSMT" w:eastAsia="TimesNewRomanPSMT" w:cs="TimesNewRomanPSMT"/>
          <w:sz w:val="20"/>
          <w:lang w:val="en-US" w:eastAsia="zh-CN"/>
        </w:rPr>
        <w:t>or transmitting a response to the source DMG STA or transmitting a PPDU as part of an RD response burst</w:t>
      </w:r>
      <w:r w:rsidRPr="008153E4">
        <w:rPr>
          <w:rFonts w:ascii="TimesNewRomanPSMT" w:eastAsia="TimesNewRomanPSMT" w:cs="TimesNewRomanPSMT"/>
          <w:sz w:val="20"/>
          <w:lang w:val="en-US" w:eastAsia="zh-CN"/>
        </w:rPr>
        <w:t xml:space="preserve"> </w:t>
      </w:r>
      <w:r w:rsidRPr="008153E4">
        <w:rPr>
          <w:rFonts w:ascii="TimesNewRomanPSMT" w:eastAsia="TimesNewRomanPSMT" w:cs="TimesNewRomanPSMT"/>
          <w:sz w:val="20"/>
          <w:lang w:val="en-US" w:eastAsia="zh-CN"/>
        </w:rPr>
        <w:t>(10.29 (Reverse direction protocol)), the STA identified by the Destination AID field in the Extended</w:t>
      </w:r>
      <w:r w:rsidRPr="008153E4">
        <w:rPr>
          <w:rFonts w:ascii="TimesNewRomanPSMT" w:eastAsia="TimesNewRomanPSMT" w:cs="TimesNewRomanPSMT"/>
          <w:sz w:val="20"/>
          <w:lang w:val="en-US" w:eastAsia="zh-CN"/>
        </w:rPr>
        <w:t xml:space="preserve"> </w:t>
      </w:r>
      <w:r w:rsidRPr="008153E4">
        <w:rPr>
          <w:rFonts w:ascii="TimesNewRomanPSMT" w:eastAsia="TimesNewRomanPSMT" w:cs="TimesNewRomanPSMT"/>
          <w:sz w:val="20"/>
          <w:lang w:val="en-US" w:eastAsia="zh-CN"/>
        </w:rPr>
        <w:t>Schedule element should be in the</w:t>
      </w:r>
      <w:r w:rsidRPr="008153E4">
        <w:rPr>
          <w:rFonts w:ascii="TimesNewRomanPSMT" w:eastAsia="TimesNewRomanPSMT" w:cs="TimesNewRomanPSMT"/>
          <w:sz w:val="20"/>
          <w:lang w:val="en-US" w:eastAsia="zh-CN"/>
        </w:rPr>
        <w:t xml:space="preserve"> </w:t>
      </w:r>
      <w:r w:rsidRPr="008153E4">
        <w:rPr>
          <w:rFonts w:ascii="TimesNewRomanPSMT" w:eastAsia="TimesNewRomanPSMT" w:cs="TimesNewRomanPSMT"/>
          <w:sz w:val="20"/>
          <w:lang w:val="en-US" w:eastAsia="zh-CN"/>
        </w:rPr>
        <w:t>receive state for the duration of the SP in order to receive transmissions</w:t>
      </w:r>
      <w:r w:rsidRPr="008153E4">
        <w:rPr>
          <w:rFonts w:ascii="TimesNewRomanPSMT" w:eastAsia="TimesNewRomanPSMT" w:cs="TimesNewRomanPSMT"/>
          <w:sz w:val="20"/>
          <w:lang w:val="en-US" w:eastAsia="zh-CN"/>
        </w:rPr>
        <w:t xml:space="preserve"> </w:t>
      </w:r>
      <w:r w:rsidRPr="008153E4">
        <w:rPr>
          <w:rFonts w:ascii="TimesNewRomanPSMT" w:eastAsia="TimesNewRomanPSMT" w:cs="TimesNewRomanPSMT"/>
          <w:sz w:val="20"/>
          <w:lang w:val="en-US" w:eastAsia="zh-CN"/>
        </w:rPr>
        <w:t>from the source DMG STA.</w:t>
      </w:r>
      <w:r w:rsidRPr="008153E4">
        <w:rPr>
          <w:bCs/>
          <w:sz w:val="20"/>
          <w:lang w:val="en-US" w:eastAsia="zh-CN"/>
        </w:rPr>
        <w:t>”</w:t>
      </w:r>
      <w:r>
        <w:rPr>
          <w:bCs/>
          <w:sz w:val="20"/>
          <w:lang w:val="en-US" w:eastAsia="zh-CN"/>
        </w:rPr>
        <w:t xml:space="preserve"> Thus</w:t>
      </w:r>
      <w:r w:rsidRPr="008153E4">
        <w:rPr>
          <w:bCs/>
          <w:sz w:val="20"/>
          <w:lang w:val="en-US" w:eastAsia="zh-CN"/>
        </w:rPr>
        <w:t>, simply removing the case of the destination STA as proposed by the commenter would not be correct.</w:t>
      </w:r>
    </w:p>
    <w:p w14:paraId="21AF0422" w14:textId="23FEAD23" w:rsidR="008153E4" w:rsidRDefault="008153E4" w:rsidP="0050182F">
      <w:pPr>
        <w:pStyle w:val="ListParagraph"/>
        <w:widowControl w:val="0"/>
        <w:numPr>
          <w:ilvl w:val="0"/>
          <w:numId w:val="47"/>
        </w:numPr>
        <w:autoSpaceDE w:val="0"/>
        <w:autoSpaceDN w:val="0"/>
        <w:adjustRightInd w:val="0"/>
        <w:rPr>
          <w:bCs/>
          <w:sz w:val="20"/>
          <w:lang w:val="en-US" w:eastAsia="zh-CN"/>
        </w:rPr>
      </w:pPr>
      <w:r>
        <w:rPr>
          <w:bCs/>
          <w:sz w:val="20"/>
          <w:lang w:val="en-US" w:eastAsia="zh-CN"/>
        </w:rPr>
        <w:t>With respect to the proposed changes by the commenter:</w:t>
      </w:r>
    </w:p>
    <w:p w14:paraId="62564E17" w14:textId="2893E533" w:rsidR="008153E4" w:rsidRDefault="008153E4" w:rsidP="008153E4">
      <w:pPr>
        <w:pStyle w:val="ListParagraph"/>
        <w:widowControl w:val="0"/>
        <w:numPr>
          <w:ilvl w:val="1"/>
          <w:numId w:val="47"/>
        </w:numPr>
        <w:autoSpaceDE w:val="0"/>
        <w:autoSpaceDN w:val="0"/>
        <w:adjustRightInd w:val="0"/>
        <w:rPr>
          <w:bCs/>
          <w:sz w:val="20"/>
          <w:lang w:val="en-US" w:eastAsia="zh-CN"/>
        </w:rPr>
      </w:pPr>
      <w:r>
        <w:rPr>
          <w:bCs/>
          <w:sz w:val="20"/>
          <w:lang w:val="en-US" w:eastAsia="zh-CN"/>
        </w:rPr>
        <w:t>The proposal to delete “or destination” from P1803L22 is incorrect given (a) above. Note that the text has an explicit reference to section 10.37.6.2, which further references 10.37.6.7 as noted above.</w:t>
      </w:r>
    </w:p>
    <w:p w14:paraId="4CCCA82C" w14:textId="2E8B9844" w:rsidR="008153E4" w:rsidRDefault="008153E4" w:rsidP="008153E4">
      <w:pPr>
        <w:pStyle w:val="ListParagraph"/>
        <w:widowControl w:val="0"/>
        <w:numPr>
          <w:ilvl w:val="1"/>
          <w:numId w:val="47"/>
        </w:numPr>
        <w:autoSpaceDE w:val="0"/>
        <w:autoSpaceDN w:val="0"/>
        <w:adjustRightInd w:val="0"/>
        <w:rPr>
          <w:bCs/>
          <w:sz w:val="20"/>
          <w:lang w:val="en-US" w:eastAsia="zh-CN"/>
        </w:rPr>
      </w:pPr>
      <w:r>
        <w:rPr>
          <w:bCs/>
          <w:sz w:val="20"/>
          <w:lang w:val="en-US" w:eastAsia="zh-CN"/>
        </w:rPr>
        <w:t>The proposed changes to section (</w:t>
      </w:r>
      <w:r>
        <w:rPr>
          <w:rFonts w:ascii="Arial-BoldMT" w:hAnsi="Arial-BoldMT" w:cs="Arial-BoldMT"/>
          <w:b/>
          <w:bCs/>
          <w:sz w:val="20"/>
          <w:lang w:val="en-US" w:eastAsia="zh-CN"/>
        </w:rPr>
        <w:t>10.37.6.6 DMG protected period</w:t>
      </w:r>
      <w:r>
        <w:rPr>
          <w:bCs/>
          <w:sz w:val="20"/>
          <w:lang w:val="en-US" w:eastAsia="zh-CN"/>
        </w:rPr>
        <w:t>) are not correct. As the third paragraph states “</w:t>
      </w:r>
      <w:r>
        <w:rPr>
          <w:rFonts w:ascii="TimesNewRomanPSMT" w:eastAsia="TimesNewRomanPSMT" w:cs="TimesNewRomanPSMT"/>
          <w:sz w:val="20"/>
          <w:lang w:val="en-US" w:eastAsia="zh-CN"/>
        </w:rPr>
        <w:t xml:space="preserve">Both the source DMG STA and destination DMG STA of an SP </w:t>
      </w:r>
      <w:r w:rsidRPr="008153E4">
        <w:rPr>
          <w:rFonts w:ascii="TimesNewRomanPSMT" w:eastAsia="TimesNewRomanPSMT" w:cs="TimesNewRomanPSMT"/>
          <w:sz w:val="20"/>
          <w:u w:val="single"/>
          <w:lang w:val="en-US" w:eastAsia="zh-CN"/>
        </w:rPr>
        <w:t>are owners of the DMG protected period</w:t>
      </w:r>
      <w:r>
        <w:rPr>
          <w:bCs/>
          <w:sz w:val="20"/>
          <w:lang w:val="en-US" w:eastAsia="zh-CN"/>
        </w:rPr>
        <w:t xml:space="preserve">”. Essentially, both STAs are required to create a protected SP. In fact, the paragraph quoted by the commenter in </w:t>
      </w:r>
      <w:r w:rsidRPr="008153E4">
        <w:rPr>
          <w:bCs/>
          <w:sz w:val="20"/>
          <w:lang w:val="en-US" w:eastAsia="zh-CN"/>
        </w:rPr>
        <w:t>10.37.6.6.1</w:t>
      </w:r>
      <w:r w:rsidRPr="008153E4">
        <w:rPr>
          <w:bCs/>
          <w:sz w:val="20"/>
          <w:lang w:val="en-US" w:eastAsia="zh-CN"/>
        </w:rPr>
        <w:t xml:space="preserve"> alludes to this very fact, since both source and destination STAs are required to perform a frame exchange (RTS/CTS) to establish the </w:t>
      </w:r>
      <w:r w:rsidRPr="008153E4">
        <w:rPr>
          <w:bCs/>
          <w:sz w:val="20"/>
          <w:lang w:val="en-US" w:eastAsia="zh-CN"/>
        </w:rPr>
        <w:lastRenderedPageBreak/>
        <w:t>protected period. So, essentially, both STAs create the SP.</w:t>
      </w:r>
    </w:p>
    <w:p w14:paraId="2CE1D049" w14:textId="4A8DC202" w:rsidR="00E87722" w:rsidRDefault="00E87722" w:rsidP="00E87722">
      <w:pPr>
        <w:pStyle w:val="ListParagraph"/>
        <w:widowControl w:val="0"/>
        <w:numPr>
          <w:ilvl w:val="0"/>
          <w:numId w:val="47"/>
        </w:numPr>
        <w:autoSpaceDE w:val="0"/>
        <w:autoSpaceDN w:val="0"/>
        <w:adjustRightInd w:val="0"/>
        <w:rPr>
          <w:bCs/>
          <w:sz w:val="20"/>
          <w:lang w:val="en-US" w:eastAsia="zh-CN"/>
        </w:rPr>
      </w:pPr>
      <w:r>
        <w:rPr>
          <w:bCs/>
          <w:sz w:val="20"/>
          <w:lang w:val="en-US" w:eastAsia="zh-CN"/>
        </w:rPr>
        <w:t xml:space="preserve">With the above said, the sentence that is causing the confusion is the one noted by the commenter in the second paragraph of 10.37.6.2. </w:t>
      </w:r>
      <w:r w:rsidR="0085629B">
        <w:rPr>
          <w:bCs/>
          <w:sz w:val="20"/>
          <w:lang w:val="en-US" w:eastAsia="zh-CN"/>
        </w:rPr>
        <w:t>It appears that the reason for the confusion of the commenter has to do with which STA transmits first in the SP. However, this is not what the second paragraph of 10.37.6.2 is trying to say, Specifically, the “…</w:t>
      </w:r>
      <w:r w:rsidR="0085629B" w:rsidRPr="0085629B">
        <w:rPr>
          <w:rFonts w:ascii="TimesNewRomanPSMT" w:eastAsia="TimesNewRomanPSMT" w:cs="TimesNewRomanPSMT"/>
          <w:sz w:val="20"/>
          <w:lang w:val="en-US" w:eastAsia="zh-CN"/>
        </w:rPr>
        <w:t>except when</w:t>
      </w:r>
      <w:r w:rsidR="0085629B">
        <w:rPr>
          <w:rFonts w:ascii="TimesNewRomanPSMT" w:eastAsia="TimesNewRomanPSMT" w:cs="TimesNewRomanPSMT"/>
          <w:sz w:val="20"/>
          <w:lang w:val="en-US" w:eastAsia="zh-CN"/>
        </w:rPr>
        <w:t xml:space="preserve"> the source DMG STA intends to establish a DMG protected period</w:t>
      </w:r>
      <w:r w:rsidR="0085629B">
        <w:rPr>
          <w:rFonts w:ascii="TimesNewRomanPSMT" w:eastAsia="TimesNewRomanPSMT" w:cs="TimesNewRomanPSMT"/>
          <w:sz w:val="20"/>
          <w:lang w:val="en-US" w:eastAsia="zh-CN"/>
        </w:rPr>
        <w:t xml:space="preserve"> </w:t>
      </w:r>
      <w:r w:rsidR="0085629B">
        <w:rPr>
          <w:rFonts w:ascii="TimesNewRomanPSMT" w:eastAsia="TimesNewRomanPSMT" w:cs="TimesNewRomanPSMT"/>
          <w:sz w:val="20"/>
          <w:lang w:val="en-US" w:eastAsia="zh-CN"/>
        </w:rPr>
        <w:t>…</w:t>
      </w:r>
      <w:r w:rsidR="0085629B">
        <w:rPr>
          <w:bCs/>
          <w:sz w:val="20"/>
          <w:lang w:val="en-US" w:eastAsia="zh-CN"/>
        </w:rPr>
        <w:t>” has to do with the fact that in a protected period, the transmission from the source DMG STA might not necessarily begin at the start of the SP. If the NAV is busy, the transmission will be delayed until the NAV becomes idle. Therefore, it is not a question of whether it is the source or destination STA that initiates the transmission, but rather the timing in which the transmission takes place.</w:t>
      </w:r>
    </w:p>
    <w:p w14:paraId="1F6F379B" w14:textId="5BA8AC94" w:rsidR="0085629B" w:rsidRPr="008153E4" w:rsidRDefault="0085629B" w:rsidP="00E87722">
      <w:pPr>
        <w:pStyle w:val="ListParagraph"/>
        <w:widowControl w:val="0"/>
        <w:numPr>
          <w:ilvl w:val="0"/>
          <w:numId w:val="47"/>
        </w:numPr>
        <w:autoSpaceDE w:val="0"/>
        <w:autoSpaceDN w:val="0"/>
        <w:adjustRightInd w:val="0"/>
        <w:rPr>
          <w:bCs/>
          <w:sz w:val="20"/>
          <w:lang w:val="en-US" w:eastAsia="zh-CN"/>
        </w:rPr>
      </w:pPr>
      <w:r>
        <w:rPr>
          <w:bCs/>
          <w:sz w:val="20"/>
          <w:lang w:val="en-US" w:eastAsia="zh-CN"/>
        </w:rPr>
        <w:t>Propose to make an editorial change to the second paragraph of 10.37.6.2 to improve its readability, but the change is unrelated to the comment.</w:t>
      </w:r>
    </w:p>
    <w:p w14:paraId="7BDD9CF7" w14:textId="77777777" w:rsidR="009F2078" w:rsidRPr="009F2078" w:rsidRDefault="009F2078" w:rsidP="009F2078">
      <w:pPr>
        <w:widowControl w:val="0"/>
        <w:autoSpaceDE w:val="0"/>
        <w:autoSpaceDN w:val="0"/>
        <w:adjustRightInd w:val="0"/>
        <w:rPr>
          <w:bCs/>
          <w:sz w:val="20"/>
          <w:lang w:val="en-US" w:eastAsia="zh-CN"/>
        </w:rPr>
      </w:pPr>
    </w:p>
    <w:p w14:paraId="7FDBABE2" w14:textId="77777777" w:rsidR="009F2078" w:rsidRDefault="009F2078" w:rsidP="009F2078">
      <w:pPr>
        <w:widowControl w:val="0"/>
        <w:autoSpaceDE w:val="0"/>
        <w:autoSpaceDN w:val="0"/>
        <w:adjustRightInd w:val="0"/>
        <w:rPr>
          <w:bCs/>
          <w:sz w:val="20"/>
          <w:lang w:val="en-US" w:eastAsia="zh-CN"/>
        </w:rPr>
      </w:pPr>
    </w:p>
    <w:p w14:paraId="66990C31" w14:textId="77777777" w:rsidR="00E87722" w:rsidRDefault="00E87722" w:rsidP="00E87722">
      <w:pPr>
        <w:widowControl w:val="0"/>
        <w:autoSpaceDE w:val="0"/>
        <w:autoSpaceDN w:val="0"/>
        <w:adjustRightInd w:val="0"/>
        <w:rPr>
          <w:bCs/>
          <w:sz w:val="20"/>
          <w:lang w:val="en-US" w:eastAsia="zh-CN"/>
        </w:rPr>
      </w:pPr>
      <w:r w:rsidRPr="00B57CF3">
        <w:rPr>
          <w:b/>
          <w:bCs/>
          <w:sz w:val="20"/>
          <w:lang w:val="en-US" w:eastAsia="zh-CN"/>
        </w:rPr>
        <w:t xml:space="preserve">Proposed </w:t>
      </w:r>
      <w:r>
        <w:rPr>
          <w:b/>
          <w:bCs/>
          <w:sz w:val="20"/>
          <w:lang w:val="en-US" w:eastAsia="zh-CN"/>
        </w:rPr>
        <w:t>resolution</w:t>
      </w:r>
      <w:r w:rsidRPr="00B57CF3">
        <w:rPr>
          <w:bCs/>
          <w:sz w:val="20"/>
          <w:lang w:val="en-US" w:eastAsia="zh-CN"/>
        </w:rPr>
        <w:t>:</w:t>
      </w:r>
      <w:r>
        <w:rPr>
          <w:bCs/>
          <w:sz w:val="20"/>
          <w:lang w:val="en-US" w:eastAsia="zh-CN"/>
        </w:rPr>
        <w:t xml:space="preserve"> Revised</w:t>
      </w:r>
    </w:p>
    <w:p w14:paraId="5D10D4CB" w14:textId="77777777" w:rsidR="00E87722" w:rsidRDefault="00E87722" w:rsidP="009F2078">
      <w:pPr>
        <w:widowControl w:val="0"/>
        <w:autoSpaceDE w:val="0"/>
        <w:autoSpaceDN w:val="0"/>
        <w:adjustRightInd w:val="0"/>
        <w:rPr>
          <w:bCs/>
          <w:sz w:val="20"/>
          <w:lang w:val="en-US" w:eastAsia="zh-CN"/>
        </w:rPr>
      </w:pPr>
    </w:p>
    <w:p w14:paraId="69C05B91" w14:textId="77777777" w:rsidR="00E87722" w:rsidRPr="00B57CF3" w:rsidRDefault="00E87722" w:rsidP="009F2078">
      <w:pPr>
        <w:widowControl w:val="0"/>
        <w:autoSpaceDE w:val="0"/>
        <w:autoSpaceDN w:val="0"/>
        <w:adjustRightInd w:val="0"/>
        <w:rPr>
          <w:bCs/>
          <w:sz w:val="20"/>
          <w:lang w:val="en-US" w:eastAsia="zh-CN"/>
        </w:rPr>
      </w:pPr>
    </w:p>
    <w:p w14:paraId="295DFC8E" w14:textId="3B58A2AA" w:rsidR="009F2078" w:rsidRPr="00B57CF3" w:rsidRDefault="009F2078" w:rsidP="009F2078">
      <w:pPr>
        <w:widowControl w:val="0"/>
        <w:autoSpaceDE w:val="0"/>
        <w:autoSpaceDN w:val="0"/>
        <w:adjustRightInd w:val="0"/>
        <w:rPr>
          <w:bCs/>
          <w:sz w:val="20"/>
          <w:lang w:val="en-US" w:eastAsia="zh-CN"/>
        </w:rPr>
      </w:pPr>
      <w:r w:rsidRPr="00B57CF3">
        <w:rPr>
          <w:b/>
          <w:bCs/>
          <w:sz w:val="20"/>
          <w:lang w:val="en-US" w:eastAsia="zh-CN"/>
        </w:rPr>
        <w:t>Proposed change</w:t>
      </w:r>
      <w:bookmarkStart w:id="0" w:name="_GoBack"/>
      <w:bookmarkEnd w:id="0"/>
      <w:r w:rsidRPr="00B57CF3">
        <w:rPr>
          <w:bCs/>
          <w:sz w:val="20"/>
          <w:lang w:val="en-US" w:eastAsia="zh-CN"/>
        </w:rPr>
        <w:t>:</w:t>
      </w:r>
    </w:p>
    <w:p w14:paraId="15AEAC61" w14:textId="77777777" w:rsidR="009F2078" w:rsidRDefault="009F2078" w:rsidP="009F2078">
      <w:pPr>
        <w:widowControl w:val="0"/>
        <w:autoSpaceDE w:val="0"/>
        <w:autoSpaceDN w:val="0"/>
        <w:adjustRightInd w:val="0"/>
        <w:rPr>
          <w:bCs/>
          <w:sz w:val="20"/>
          <w:lang w:val="en-US" w:eastAsia="zh-CN"/>
        </w:rPr>
      </w:pPr>
    </w:p>
    <w:p w14:paraId="57AD8782" w14:textId="35A8ADBE" w:rsidR="00E87722" w:rsidRPr="00E87722" w:rsidRDefault="00E87722" w:rsidP="009F2078">
      <w:pPr>
        <w:widowControl w:val="0"/>
        <w:autoSpaceDE w:val="0"/>
        <w:autoSpaceDN w:val="0"/>
        <w:adjustRightInd w:val="0"/>
        <w:rPr>
          <w:bCs/>
          <w:i/>
          <w:sz w:val="20"/>
          <w:lang w:val="en-US" w:eastAsia="zh-CN"/>
        </w:rPr>
      </w:pPr>
      <w:r>
        <w:rPr>
          <w:bCs/>
          <w:i/>
          <w:sz w:val="20"/>
          <w:lang w:val="en-US" w:eastAsia="zh-CN"/>
        </w:rPr>
        <w:t>Change the second paragraph in 10.37.6.2 as follows</w:t>
      </w:r>
    </w:p>
    <w:p w14:paraId="4943BEF5" w14:textId="77777777" w:rsidR="009F2078" w:rsidRDefault="009F2078" w:rsidP="00B576A0">
      <w:pPr>
        <w:widowControl w:val="0"/>
        <w:autoSpaceDE w:val="0"/>
        <w:autoSpaceDN w:val="0"/>
        <w:adjustRightInd w:val="0"/>
        <w:rPr>
          <w:bCs/>
          <w:sz w:val="20"/>
          <w:lang w:val="en-US" w:eastAsia="zh-CN"/>
        </w:rPr>
      </w:pPr>
    </w:p>
    <w:p w14:paraId="6BFB8EB8" w14:textId="7F3281DF" w:rsidR="00E87722" w:rsidRDefault="00E87722" w:rsidP="00E87722">
      <w:pPr>
        <w:autoSpaceDE w:val="0"/>
        <w:autoSpaceDN w:val="0"/>
        <w:adjustRightInd w:val="0"/>
        <w:rPr>
          <w:bCs/>
          <w:sz w:val="20"/>
          <w:lang w:val="en-US" w:eastAsia="zh-CN"/>
        </w:rPr>
      </w:pPr>
      <w:r>
        <w:rPr>
          <w:rFonts w:ascii="TimesNewRomanPSMT" w:eastAsia="TimesNewRomanPSMT" w:cs="TimesNewRomanPSMT"/>
          <w:sz w:val="20"/>
          <w:lang w:val="en-US" w:eastAsia="zh-CN"/>
        </w:rPr>
        <w:t xml:space="preserve">An SP </w:t>
      </w:r>
      <w:r>
        <w:rPr>
          <w:rFonts w:ascii="TimesNewRomanPSMT" w:eastAsia="TimesNewRomanPSMT" w:cs="TimesNewRomanPSMT"/>
          <w:sz w:val="20"/>
          <w:u w:val="single"/>
          <w:lang w:val="en-US" w:eastAsia="zh-CN"/>
        </w:rPr>
        <w:t xml:space="preserve">allocation that is not an obsolete allocation </w:t>
      </w:r>
      <w:r>
        <w:rPr>
          <w:rFonts w:ascii="TimesNewRomanPSMT" w:eastAsia="TimesNewRomanPSMT" w:cs="TimesNewRomanPSMT"/>
          <w:sz w:val="20"/>
          <w:lang w:val="en-US" w:eastAsia="zh-CN"/>
        </w:rPr>
        <w:t xml:space="preserve">is assigned to the source DMG STA identified in the Source AID subfield in an Allocation field </w:t>
      </w:r>
      <w:r w:rsidRPr="00E87722">
        <w:rPr>
          <w:rFonts w:ascii="TimesNewRomanPSMT" w:eastAsia="TimesNewRomanPSMT" w:cs="TimesNewRomanPSMT"/>
          <w:strike/>
          <w:sz w:val="20"/>
          <w:lang w:val="en-US" w:eastAsia="zh-CN"/>
        </w:rPr>
        <w:t>that</w:t>
      </w:r>
      <w:r w:rsidRPr="00E87722">
        <w:rPr>
          <w:rFonts w:ascii="TimesNewRomanPSMT" w:eastAsia="TimesNewRomanPSMT" w:cs="TimesNewRomanPSMT"/>
          <w:strike/>
          <w:sz w:val="20"/>
          <w:lang w:val="en-US" w:eastAsia="zh-CN"/>
        </w:rPr>
        <w:t xml:space="preserve"> </w:t>
      </w:r>
      <w:r w:rsidRPr="00E87722">
        <w:rPr>
          <w:rFonts w:ascii="TimesNewRomanPSMT" w:eastAsia="TimesNewRomanPSMT" w:cs="TimesNewRomanPSMT"/>
          <w:strike/>
          <w:sz w:val="20"/>
          <w:lang w:val="en-US" w:eastAsia="zh-CN"/>
        </w:rPr>
        <w:t>is not an obsolete allocation</w:t>
      </w:r>
      <w:r>
        <w:rPr>
          <w:rFonts w:ascii="TimesNewRomanPSMT" w:eastAsia="TimesNewRomanPSMT" w:cs="TimesNewRomanPSMT"/>
          <w:sz w:val="20"/>
          <w:lang w:val="en-US" w:eastAsia="zh-CN"/>
        </w:rPr>
        <w:t xml:space="preserve"> within the Extended Schedule element. The source DMG STA shall initiate the</w:t>
      </w:r>
      <w:r>
        <w:rPr>
          <w:rFonts w:ascii="TimesNewRomanPSMT" w:eastAsia="TimesNewRomanPSMT" w:cs="TimesNewRomanPSMT"/>
          <w:sz w:val="20"/>
          <w:lang w:val="en-US" w:eastAsia="zh-CN"/>
        </w:rPr>
        <w:t xml:space="preserve"> </w:t>
      </w:r>
      <w:r>
        <w:rPr>
          <w:rFonts w:ascii="TimesNewRomanPSMT" w:eastAsia="TimesNewRomanPSMT" w:cs="TimesNewRomanPSMT"/>
          <w:sz w:val="20"/>
          <w:lang w:val="en-US" w:eastAsia="zh-CN"/>
        </w:rPr>
        <w:t>frame exchange sequence that takes place during the SP at the start of the SP</w:t>
      </w:r>
      <w:r w:rsidRPr="0085629B">
        <w:rPr>
          <w:rFonts w:ascii="TimesNewRomanPSMT" w:eastAsia="TimesNewRomanPSMT" w:cs="TimesNewRomanPSMT"/>
          <w:sz w:val="20"/>
          <w:lang w:val="en-US" w:eastAsia="zh-CN"/>
        </w:rPr>
        <w:t>, except when</w:t>
      </w:r>
      <w:r>
        <w:rPr>
          <w:rFonts w:ascii="TimesNewRomanPSMT" w:eastAsia="TimesNewRomanPSMT" w:cs="TimesNewRomanPSMT"/>
          <w:sz w:val="20"/>
          <w:lang w:val="en-US" w:eastAsia="zh-CN"/>
        </w:rPr>
        <w:t xml:space="preserve"> the source DMG</w:t>
      </w:r>
      <w:r>
        <w:rPr>
          <w:rFonts w:ascii="TimesNewRomanPSMT" w:eastAsia="TimesNewRomanPSMT" w:cs="TimesNewRomanPSMT"/>
          <w:sz w:val="20"/>
          <w:lang w:val="en-US" w:eastAsia="zh-CN"/>
        </w:rPr>
        <w:t xml:space="preserve"> </w:t>
      </w:r>
      <w:r>
        <w:rPr>
          <w:rFonts w:ascii="TimesNewRomanPSMT" w:eastAsia="TimesNewRomanPSMT" w:cs="TimesNewRomanPSMT"/>
          <w:sz w:val="20"/>
          <w:lang w:val="en-US" w:eastAsia="zh-CN"/>
        </w:rPr>
        <w:t>STA intends to establish a DMG protected period</w:t>
      </w:r>
      <w:r w:rsidR="0085629B">
        <w:rPr>
          <w:rFonts w:ascii="TimesNewRomanPSMT" w:eastAsia="TimesNewRomanPSMT" w:cs="TimesNewRomanPSMT"/>
          <w:sz w:val="20"/>
          <w:u w:val="single"/>
          <w:lang w:val="en-US" w:eastAsia="zh-CN"/>
        </w:rPr>
        <w:t>,</w:t>
      </w:r>
      <w:r>
        <w:rPr>
          <w:rFonts w:ascii="TimesNewRomanPSMT" w:eastAsia="TimesNewRomanPSMT" w:cs="TimesNewRomanPSMT"/>
          <w:sz w:val="20"/>
          <w:lang w:val="en-US" w:eastAsia="zh-CN"/>
        </w:rPr>
        <w:t xml:space="preserve"> </w:t>
      </w:r>
      <w:r w:rsidRPr="0085629B">
        <w:rPr>
          <w:rFonts w:ascii="TimesNewRomanPSMT" w:eastAsia="TimesNewRomanPSMT" w:cs="TimesNewRomanPSMT"/>
          <w:sz w:val="20"/>
          <w:lang w:val="en-US" w:eastAsia="zh-CN"/>
        </w:rPr>
        <w:t>in which case</w:t>
      </w:r>
      <w:r>
        <w:rPr>
          <w:rFonts w:ascii="TimesNewRomanPSMT" w:eastAsia="TimesNewRomanPSMT" w:cs="TimesNewRomanPSMT"/>
          <w:sz w:val="20"/>
          <w:lang w:val="en-US" w:eastAsia="zh-CN"/>
        </w:rPr>
        <w:t xml:space="preserve"> the rules described in 10.37.6.6 (DMG</w:t>
      </w:r>
      <w:r>
        <w:rPr>
          <w:rFonts w:ascii="TimesNewRomanPSMT" w:eastAsia="TimesNewRomanPSMT" w:cs="TimesNewRomanPSMT"/>
          <w:sz w:val="20"/>
          <w:lang w:val="en-US" w:eastAsia="zh-CN"/>
        </w:rPr>
        <w:t xml:space="preserve"> </w:t>
      </w:r>
      <w:r>
        <w:rPr>
          <w:rFonts w:ascii="TimesNewRomanPSMT" w:eastAsia="TimesNewRomanPSMT" w:cs="TimesNewRomanPSMT"/>
          <w:sz w:val="20"/>
          <w:lang w:val="en-US" w:eastAsia="zh-CN"/>
        </w:rPr>
        <w:t>protected period) shall be followed before the source DMG STA initiates the frame exchange in the SP.</w:t>
      </w:r>
      <w:r>
        <w:rPr>
          <w:rFonts w:ascii="TimesNewRomanPSMT" w:eastAsia="TimesNewRomanPSMT" w:cs="TimesNewRomanPSMT"/>
          <w:sz w:val="20"/>
          <w:lang w:val="en-US" w:eastAsia="zh-CN"/>
        </w:rPr>
        <w:t xml:space="preserve"> </w:t>
      </w:r>
      <w:r>
        <w:rPr>
          <w:rFonts w:ascii="TimesNewRomanPSMT" w:eastAsia="TimesNewRomanPSMT" w:cs="TimesNewRomanPSMT"/>
          <w:sz w:val="20"/>
          <w:lang w:val="en-US" w:eastAsia="zh-CN"/>
        </w:rPr>
        <w:t>The</w:t>
      </w:r>
      <w:r>
        <w:rPr>
          <w:rFonts w:ascii="TimesNewRomanPSMT" w:eastAsia="TimesNewRomanPSMT" w:cs="TimesNewRomanPSMT"/>
          <w:sz w:val="20"/>
          <w:lang w:val="en-US" w:eastAsia="zh-CN"/>
        </w:rPr>
        <w:t xml:space="preserve"> </w:t>
      </w:r>
      <w:r>
        <w:rPr>
          <w:rFonts w:ascii="TimesNewRomanPSMT" w:eastAsia="TimesNewRomanPSMT" w:cs="TimesNewRomanPSMT"/>
          <w:sz w:val="20"/>
          <w:lang w:val="en-US" w:eastAsia="zh-CN"/>
        </w:rPr>
        <w:t>SP allocation identifies the TC or TS for which the allocation is made; however, the type of traffic</w:t>
      </w:r>
      <w:r>
        <w:rPr>
          <w:rFonts w:ascii="TimesNewRomanPSMT" w:eastAsia="TimesNewRomanPSMT" w:cs="TimesNewRomanPSMT"/>
          <w:sz w:val="20"/>
          <w:lang w:val="en-US" w:eastAsia="zh-CN"/>
        </w:rPr>
        <w:t xml:space="preserve"> </w:t>
      </w:r>
      <w:r>
        <w:rPr>
          <w:rFonts w:ascii="TimesNewRomanPSMT" w:eastAsia="TimesNewRomanPSMT" w:cs="TimesNewRomanPSMT"/>
          <w:sz w:val="20"/>
          <w:lang w:val="en-US" w:eastAsia="zh-CN"/>
        </w:rPr>
        <w:t>transmitted is not restricted to the specified TC or TS (11.4.1 (Introduction)).</w:t>
      </w:r>
    </w:p>
    <w:p w14:paraId="2C9F1737" w14:textId="77777777" w:rsidR="00E87722" w:rsidRPr="009F2078" w:rsidRDefault="00E87722" w:rsidP="00B576A0">
      <w:pPr>
        <w:widowControl w:val="0"/>
        <w:autoSpaceDE w:val="0"/>
        <w:autoSpaceDN w:val="0"/>
        <w:adjustRightInd w:val="0"/>
        <w:rPr>
          <w:bCs/>
          <w:sz w:val="20"/>
          <w:lang w:val="en-US" w:eastAsia="zh-CN"/>
        </w:rPr>
      </w:pPr>
    </w:p>
    <w:sectPr w:rsidR="00E87722" w:rsidRPr="009F2078">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39A031" w14:textId="77777777" w:rsidR="000F6789" w:rsidRDefault="000F6789">
      <w:r>
        <w:separator/>
      </w:r>
    </w:p>
  </w:endnote>
  <w:endnote w:type="continuationSeparator" w:id="0">
    <w:p w14:paraId="38DAD55B" w14:textId="77777777" w:rsidR="000F6789" w:rsidRDefault="000F67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BoldMT">
    <w:altName w:val="Times New Roman"/>
    <w:panose1 w:val="00000000000000000000"/>
    <w:charset w:val="00"/>
    <w:family w:val="roman"/>
    <w:notTrueType/>
    <w:pitch w:val="default"/>
    <w:sig w:usb0="00000003" w:usb1="08070000" w:usb2="00000010" w:usb3="00000000" w:csb0="00020001"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5D8FFE" w14:textId="5924DDD6" w:rsidR="0062192D" w:rsidRDefault="000F6789">
    <w:pPr>
      <w:pStyle w:val="Footer"/>
      <w:tabs>
        <w:tab w:val="clear" w:pos="6480"/>
        <w:tab w:val="center" w:pos="4680"/>
        <w:tab w:val="right" w:pos="9360"/>
      </w:tabs>
    </w:pPr>
    <w:r>
      <w:fldChar w:fldCharType="begin"/>
    </w:r>
    <w:r>
      <w:instrText xml:space="preserve"> SUBJECT  \* MERGEFORMAT </w:instrText>
    </w:r>
    <w:r>
      <w:fldChar w:fldCharType="separate"/>
    </w:r>
    <w:r w:rsidR="0062192D">
      <w:t>Submission</w:t>
    </w:r>
    <w:r>
      <w:fldChar w:fldCharType="end"/>
    </w:r>
    <w:r w:rsidR="0062192D">
      <w:tab/>
      <w:t xml:space="preserve">page </w:t>
    </w:r>
    <w:r w:rsidR="0062192D">
      <w:fldChar w:fldCharType="begin"/>
    </w:r>
    <w:r w:rsidR="0062192D">
      <w:instrText xml:space="preserve">page </w:instrText>
    </w:r>
    <w:r w:rsidR="0062192D">
      <w:fldChar w:fldCharType="separate"/>
    </w:r>
    <w:r w:rsidR="0085629B">
      <w:rPr>
        <w:noProof/>
      </w:rPr>
      <w:t>1</w:t>
    </w:r>
    <w:r w:rsidR="0062192D">
      <w:fldChar w:fldCharType="end"/>
    </w:r>
    <w:r w:rsidR="0062192D">
      <w:tab/>
    </w:r>
    <w:r>
      <w:fldChar w:fldCharType="begin"/>
    </w:r>
    <w:r>
      <w:instrText xml:space="preserve"> COMMENTS  \* MERGEFORMAT </w:instrText>
    </w:r>
    <w:r>
      <w:fldChar w:fldCharType="separate"/>
    </w:r>
    <w:r w:rsidR="0062192D">
      <w:t>Carlos Cordeiro, Intel</w:t>
    </w:r>
    <w:r>
      <w:fldChar w:fldCharType="end"/>
    </w:r>
  </w:p>
  <w:p w14:paraId="5C69FA55" w14:textId="77777777" w:rsidR="0062192D" w:rsidRDefault="0062192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F90226" w14:textId="77777777" w:rsidR="000F6789" w:rsidRDefault="000F6789">
      <w:r>
        <w:separator/>
      </w:r>
    </w:p>
  </w:footnote>
  <w:footnote w:type="continuationSeparator" w:id="0">
    <w:p w14:paraId="4FC030CA" w14:textId="77777777" w:rsidR="000F6789" w:rsidRDefault="000F67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9E49E6" w14:textId="545F8646" w:rsidR="0062192D" w:rsidRDefault="000F6789">
    <w:pPr>
      <w:pStyle w:val="Header"/>
      <w:tabs>
        <w:tab w:val="clear" w:pos="6480"/>
        <w:tab w:val="center" w:pos="4680"/>
        <w:tab w:val="right" w:pos="9360"/>
      </w:tabs>
    </w:pPr>
    <w:r>
      <w:fldChar w:fldCharType="begin"/>
    </w:r>
    <w:r>
      <w:instrText xml:space="preserve"> KEYWORDS  \* MERGEFORMAT </w:instrText>
    </w:r>
    <w:r>
      <w:fldChar w:fldCharType="separate"/>
    </w:r>
    <w:r w:rsidR="009F2078">
      <w:t>September 2018</w:t>
    </w:r>
    <w:r>
      <w:fldChar w:fldCharType="end"/>
    </w:r>
    <w:r w:rsidR="0062192D">
      <w:tab/>
    </w:r>
    <w:r w:rsidR="0062192D">
      <w:tab/>
    </w:r>
    <w:r>
      <w:fldChar w:fldCharType="begin"/>
    </w:r>
    <w:r>
      <w:instrText xml:space="preserve"> TITLE  \* MERGEFORMAT </w:instrText>
    </w:r>
    <w:r>
      <w:fldChar w:fldCharType="separate"/>
    </w:r>
    <w:r w:rsidR="00943B2F">
      <w:t>doc.: IEEE 802.11-18/1580r0</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590449EA"/>
    <w:lvl w:ilvl="0">
      <w:numFmt w:val="bullet"/>
      <w:lvlText w:val="*"/>
      <w:lvlJc w:val="left"/>
      <w:pPr>
        <w:ind w:left="0" w:firstLine="0"/>
      </w:pPr>
    </w:lvl>
  </w:abstractNum>
  <w:abstractNum w:abstractNumId="1" w15:restartNumberingAfterBreak="0">
    <w:nsid w:val="049D2F38"/>
    <w:multiLevelType w:val="hybridMultilevel"/>
    <w:tmpl w:val="88C8F1A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4CB1D4B"/>
    <w:multiLevelType w:val="hybridMultilevel"/>
    <w:tmpl w:val="80CC9F38"/>
    <w:lvl w:ilvl="0" w:tplc="C112402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4DA5218"/>
    <w:multiLevelType w:val="hybridMultilevel"/>
    <w:tmpl w:val="969079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5" w15:restartNumberingAfterBreak="0">
    <w:nsid w:val="0D604D25"/>
    <w:multiLevelType w:val="hybridMultilevel"/>
    <w:tmpl w:val="C0925A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DD3C99"/>
    <w:multiLevelType w:val="hybridMultilevel"/>
    <w:tmpl w:val="1CAC6D58"/>
    <w:lvl w:ilvl="0" w:tplc="99F4B0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ED6FEA"/>
    <w:multiLevelType w:val="hybridMultilevel"/>
    <w:tmpl w:val="D56AE7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9F7629"/>
    <w:multiLevelType w:val="hybridMultilevel"/>
    <w:tmpl w:val="B3F66848"/>
    <w:lvl w:ilvl="0" w:tplc="04F69734">
      <w:start w:val="11"/>
      <w:numFmt w:val="bullet"/>
      <w:lvlText w:val="-"/>
      <w:lvlJc w:val="left"/>
      <w:pPr>
        <w:ind w:left="720" w:hanging="360"/>
      </w:pPr>
      <w:rPr>
        <w:rFonts w:ascii="Arial-BoldMT" w:eastAsia="SimSun" w:hAnsi="Arial-BoldM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245EE0"/>
    <w:multiLevelType w:val="hybridMultilevel"/>
    <w:tmpl w:val="8D64C474"/>
    <w:lvl w:ilvl="0" w:tplc="B9C69A4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547965"/>
    <w:multiLevelType w:val="hybridMultilevel"/>
    <w:tmpl w:val="B6D23E1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2" w15:restartNumberingAfterBreak="0">
    <w:nsid w:val="267C2085"/>
    <w:multiLevelType w:val="hybridMultilevel"/>
    <w:tmpl w:val="29A044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8566FC"/>
    <w:multiLevelType w:val="multilevel"/>
    <w:tmpl w:val="2064F766"/>
    <w:lvl w:ilvl="0">
      <w:start w:val="9"/>
      <w:numFmt w:val="decimal"/>
      <w:lvlText w:val="%1"/>
      <w:lvlJc w:val="left"/>
      <w:pPr>
        <w:ind w:left="612" w:hanging="612"/>
      </w:pPr>
      <w:rPr>
        <w:rFonts w:hint="default"/>
      </w:rPr>
    </w:lvl>
    <w:lvl w:ilvl="1">
      <w:start w:val="3"/>
      <w:numFmt w:val="decimal"/>
      <w:lvlText w:val="%1.%2"/>
      <w:lvlJc w:val="left"/>
      <w:pPr>
        <w:ind w:left="612" w:hanging="612"/>
      </w:pPr>
      <w:rPr>
        <w:rFonts w:hint="default"/>
      </w:rPr>
    </w:lvl>
    <w:lvl w:ilvl="2">
      <w:start w:val="3"/>
      <w:numFmt w:val="decimal"/>
      <w:lvlText w:val="%1.%2.%3"/>
      <w:lvlJc w:val="left"/>
      <w:pPr>
        <w:ind w:left="720" w:hanging="720"/>
      </w:pPr>
      <w:rPr>
        <w:rFonts w:hint="default"/>
      </w:rPr>
    </w:lvl>
    <w:lvl w:ilvl="3">
      <w:start w:val="7"/>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A135ACC"/>
    <w:multiLevelType w:val="hybridMultilevel"/>
    <w:tmpl w:val="2FD6A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6102EE"/>
    <w:multiLevelType w:val="hybridMultilevel"/>
    <w:tmpl w:val="27D8EB70"/>
    <w:lvl w:ilvl="0" w:tplc="C18CCA3A">
      <w:start w:val="1"/>
      <w:numFmt w:val="bullet"/>
      <w:lvlText w:val="•"/>
      <w:lvlJc w:val="left"/>
      <w:pPr>
        <w:tabs>
          <w:tab w:val="num" w:pos="720"/>
        </w:tabs>
        <w:ind w:left="720" w:hanging="360"/>
      </w:pPr>
      <w:rPr>
        <w:rFonts w:ascii="SimSun" w:hAnsi="SimSun" w:hint="default"/>
      </w:rPr>
    </w:lvl>
    <w:lvl w:ilvl="1" w:tplc="92AE8EF8" w:tentative="1">
      <w:start w:val="1"/>
      <w:numFmt w:val="bullet"/>
      <w:lvlText w:val="•"/>
      <w:lvlJc w:val="left"/>
      <w:pPr>
        <w:tabs>
          <w:tab w:val="num" w:pos="1440"/>
        </w:tabs>
        <w:ind w:left="1440" w:hanging="360"/>
      </w:pPr>
      <w:rPr>
        <w:rFonts w:ascii="SimSun" w:hAnsi="SimSun" w:hint="default"/>
      </w:rPr>
    </w:lvl>
    <w:lvl w:ilvl="2" w:tplc="69B81934" w:tentative="1">
      <w:start w:val="1"/>
      <w:numFmt w:val="bullet"/>
      <w:lvlText w:val="•"/>
      <w:lvlJc w:val="left"/>
      <w:pPr>
        <w:tabs>
          <w:tab w:val="num" w:pos="2160"/>
        </w:tabs>
        <w:ind w:left="2160" w:hanging="360"/>
      </w:pPr>
      <w:rPr>
        <w:rFonts w:ascii="SimSun" w:hAnsi="SimSun" w:hint="default"/>
      </w:rPr>
    </w:lvl>
    <w:lvl w:ilvl="3" w:tplc="2706657A" w:tentative="1">
      <w:start w:val="1"/>
      <w:numFmt w:val="bullet"/>
      <w:lvlText w:val="•"/>
      <w:lvlJc w:val="left"/>
      <w:pPr>
        <w:tabs>
          <w:tab w:val="num" w:pos="2880"/>
        </w:tabs>
        <w:ind w:left="2880" w:hanging="360"/>
      </w:pPr>
      <w:rPr>
        <w:rFonts w:ascii="SimSun" w:hAnsi="SimSun" w:hint="default"/>
      </w:rPr>
    </w:lvl>
    <w:lvl w:ilvl="4" w:tplc="739A52CE" w:tentative="1">
      <w:start w:val="1"/>
      <w:numFmt w:val="bullet"/>
      <w:lvlText w:val="•"/>
      <w:lvlJc w:val="left"/>
      <w:pPr>
        <w:tabs>
          <w:tab w:val="num" w:pos="3600"/>
        </w:tabs>
        <w:ind w:left="3600" w:hanging="360"/>
      </w:pPr>
      <w:rPr>
        <w:rFonts w:ascii="SimSun" w:hAnsi="SimSun" w:hint="default"/>
      </w:rPr>
    </w:lvl>
    <w:lvl w:ilvl="5" w:tplc="1848C17A" w:tentative="1">
      <w:start w:val="1"/>
      <w:numFmt w:val="bullet"/>
      <w:lvlText w:val="•"/>
      <w:lvlJc w:val="left"/>
      <w:pPr>
        <w:tabs>
          <w:tab w:val="num" w:pos="4320"/>
        </w:tabs>
        <w:ind w:left="4320" w:hanging="360"/>
      </w:pPr>
      <w:rPr>
        <w:rFonts w:ascii="SimSun" w:hAnsi="SimSun" w:hint="default"/>
      </w:rPr>
    </w:lvl>
    <w:lvl w:ilvl="6" w:tplc="1FBE025E" w:tentative="1">
      <w:start w:val="1"/>
      <w:numFmt w:val="bullet"/>
      <w:lvlText w:val="•"/>
      <w:lvlJc w:val="left"/>
      <w:pPr>
        <w:tabs>
          <w:tab w:val="num" w:pos="5040"/>
        </w:tabs>
        <w:ind w:left="5040" w:hanging="360"/>
      </w:pPr>
      <w:rPr>
        <w:rFonts w:ascii="SimSun" w:hAnsi="SimSun" w:hint="default"/>
      </w:rPr>
    </w:lvl>
    <w:lvl w:ilvl="7" w:tplc="4E58EDAE" w:tentative="1">
      <w:start w:val="1"/>
      <w:numFmt w:val="bullet"/>
      <w:lvlText w:val="•"/>
      <w:lvlJc w:val="left"/>
      <w:pPr>
        <w:tabs>
          <w:tab w:val="num" w:pos="5760"/>
        </w:tabs>
        <w:ind w:left="5760" w:hanging="360"/>
      </w:pPr>
      <w:rPr>
        <w:rFonts w:ascii="SimSun" w:hAnsi="SimSun" w:hint="default"/>
      </w:rPr>
    </w:lvl>
    <w:lvl w:ilvl="8" w:tplc="DFE4D7F6" w:tentative="1">
      <w:start w:val="1"/>
      <w:numFmt w:val="bullet"/>
      <w:lvlText w:val="•"/>
      <w:lvlJc w:val="left"/>
      <w:pPr>
        <w:tabs>
          <w:tab w:val="num" w:pos="6480"/>
        </w:tabs>
        <w:ind w:left="6480" w:hanging="360"/>
      </w:pPr>
      <w:rPr>
        <w:rFonts w:ascii="SimSun" w:hAnsi="SimSun" w:hint="default"/>
      </w:rPr>
    </w:lvl>
  </w:abstractNum>
  <w:abstractNum w:abstractNumId="16" w15:restartNumberingAfterBreak="0">
    <w:nsid w:val="2BC42739"/>
    <w:multiLevelType w:val="hybridMultilevel"/>
    <w:tmpl w:val="57CEEE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E066083"/>
    <w:multiLevelType w:val="multilevel"/>
    <w:tmpl w:val="8154F1AC"/>
    <w:lvl w:ilvl="0">
      <w:start w:val="1"/>
      <w:numFmt w:val="lowerLetter"/>
      <w:pStyle w:val="IEEEStdsNumberedListLevel1"/>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pStyle w:val="IEEEStdsNumberedListLevel2"/>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pStyle w:val="IEEEStdsNumberedListLevel3"/>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pStyle w:val="IEEEStdsNumberedListLevel4"/>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pStyle w:val="IEEEStdsNumberedListLevel5"/>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18" w15:restartNumberingAfterBreak="0">
    <w:nsid w:val="31361AE2"/>
    <w:multiLevelType w:val="hybridMultilevel"/>
    <w:tmpl w:val="F5208BAA"/>
    <w:lvl w:ilvl="0" w:tplc="04090001">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9" w15:restartNumberingAfterBreak="0">
    <w:nsid w:val="36A463F0"/>
    <w:multiLevelType w:val="hybridMultilevel"/>
    <w:tmpl w:val="96B403B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3A074EF3"/>
    <w:multiLevelType w:val="hybridMultilevel"/>
    <w:tmpl w:val="F904D4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ACF4B80"/>
    <w:multiLevelType w:val="hybridMultilevel"/>
    <w:tmpl w:val="3F8AEC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0A797F"/>
    <w:multiLevelType w:val="hybridMultilevel"/>
    <w:tmpl w:val="7EAE7F2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3D2C7BE7"/>
    <w:multiLevelType w:val="hybridMultilevel"/>
    <w:tmpl w:val="4006A4A0"/>
    <w:lvl w:ilvl="0" w:tplc="DBE21C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EA0316D"/>
    <w:multiLevelType w:val="hybridMultilevel"/>
    <w:tmpl w:val="CCA45F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2784745"/>
    <w:multiLevelType w:val="hybridMultilevel"/>
    <w:tmpl w:val="CB424062"/>
    <w:lvl w:ilvl="0" w:tplc="04F69734">
      <w:start w:val="11"/>
      <w:numFmt w:val="bullet"/>
      <w:lvlText w:val="-"/>
      <w:lvlJc w:val="left"/>
      <w:pPr>
        <w:ind w:left="720" w:hanging="360"/>
      </w:pPr>
      <w:rPr>
        <w:rFonts w:ascii="Arial-BoldMT" w:eastAsia="SimSun" w:hAnsi="Arial-BoldM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2B96892"/>
    <w:multiLevelType w:val="singleLevel"/>
    <w:tmpl w:val="F15AAAE2"/>
    <w:lvl w:ilvl="0">
      <w:start w:val="1"/>
      <w:numFmt w:val="decimal"/>
      <w:pStyle w:val="IEEEStdsMultipleNotes"/>
      <w:lvlText w:val="NOTE %1—"/>
      <w:lvlJc w:val="left"/>
      <w:pPr>
        <w:tabs>
          <w:tab w:val="num" w:pos="1080"/>
        </w:tabs>
        <w:ind w:left="0" w:firstLine="0"/>
      </w:pPr>
      <w:rPr>
        <w:rFonts w:ascii="Times New Roman" w:hAnsi="Times New Roman"/>
        <w:b w:val="0"/>
        <w:i w:val="0"/>
        <w:caps w:val="0"/>
        <w:smallCaps w:val="0"/>
        <w:strike w:val="0"/>
        <w:dstrike w:val="0"/>
        <w:outline w:val="0"/>
        <w:shadow w:val="0"/>
        <w:emboss w:val="0"/>
        <w:imprint w:val="0"/>
        <w:vanish w:val="0"/>
        <w:sz w:val="18"/>
        <w:effect w:val="none"/>
        <w:vertAlign w:val="baseline"/>
      </w:rPr>
    </w:lvl>
  </w:abstractNum>
  <w:abstractNum w:abstractNumId="27" w15:restartNumberingAfterBreak="0">
    <w:nsid w:val="4780321F"/>
    <w:multiLevelType w:val="hybridMultilevel"/>
    <w:tmpl w:val="71680B92"/>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E3C1D72"/>
    <w:multiLevelType w:val="singleLevel"/>
    <w:tmpl w:val="68AE471A"/>
    <w:lvl w:ilvl="0">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29" w15:restartNumberingAfterBreak="0">
    <w:nsid w:val="57E93C85"/>
    <w:multiLevelType w:val="hybridMultilevel"/>
    <w:tmpl w:val="D652B066"/>
    <w:lvl w:ilvl="0" w:tplc="B8BA3436">
      <w:start w:val="1"/>
      <w:numFmt w:val="bullet"/>
      <w:lvlText w:val="•"/>
      <w:lvlJc w:val="left"/>
      <w:pPr>
        <w:tabs>
          <w:tab w:val="num" w:pos="720"/>
        </w:tabs>
        <w:ind w:left="720" w:hanging="360"/>
      </w:pPr>
      <w:rPr>
        <w:rFonts w:ascii="Times New Roman" w:hAnsi="Times New Roman" w:cs="Times New Roman" w:hint="default"/>
      </w:rPr>
    </w:lvl>
    <w:lvl w:ilvl="1" w:tplc="4AE4758C">
      <w:numFmt w:val="bullet"/>
      <w:lvlText w:val="–"/>
      <w:lvlJc w:val="left"/>
      <w:pPr>
        <w:tabs>
          <w:tab w:val="num" w:pos="1440"/>
        </w:tabs>
        <w:ind w:left="1440" w:hanging="360"/>
      </w:pPr>
      <w:rPr>
        <w:rFonts w:ascii="Times New Roman" w:hAnsi="Times New Roman" w:cs="Times New Roman" w:hint="default"/>
      </w:rPr>
    </w:lvl>
    <w:lvl w:ilvl="2" w:tplc="03D67F3E">
      <w:start w:val="1"/>
      <w:numFmt w:val="bullet"/>
      <w:lvlText w:val="•"/>
      <w:lvlJc w:val="left"/>
      <w:pPr>
        <w:tabs>
          <w:tab w:val="num" w:pos="2160"/>
        </w:tabs>
        <w:ind w:left="2160" w:hanging="360"/>
      </w:pPr>
      <w:rPr>
        <w:rFonts w:ascii="Times New Roman" w:hAnsi="Times New Roman" w:cs="Times New Roman" w:hint="default"/>
      </w:rPr>
    </w:lvl>
    <w:lvl w:ilvl="3" w:tplc="ECBC8914">
      <w:start w:val="1"/>
      <w:numFmt w:val="bullet"/>
      <w:lvlText w:val="•"/>
      <w:lvlJc w:val="left"/>
      <w:pPr>
        <w:tabs>
          <w:tab w:val="num" w:pos="2880"/>
        </w:tabs>
        <w:ind w:left="2880" w:hanging="360"/>
      </w:pPr>
      <w:rPr>
        <w:rFonts w:ascii="Times New Roman" w:hAnsi="Times New Roman" w:cs="Times New Roman" w:hint="default"/>
      </w:rPr>
    </w:lvl>
    <w:lvl w:ilvl="4" w:tplc="2F34372A">
      <w:start w:val="1"/>
      <w:numFmt w:val="bullet"/>
      <w:lvlText w:val="•"/>
      <w:lvlJc w:val="left"/>
      <w:pPr>
        <w:tabs>
          <w:tab w:val="num" w:pos="3600"/>
        </w:tabs>
        <w:ind w:left="3600" w:hanging="360"/>
      </w:pPr>
      <w:rPr>
        <w:rFonts w:ascii="Times New Roman" w:hAnsi="Times New Roman" w:cs="Times New Roman" w:hint="default"/>
      </w:rPr>
    </w:lvl>
    <w:lvl w:ilvl="5" w:tplc="C292EF4C">
      <w:start w:val="1"/>
      <w:numFmt w:val="bullet"/>
      <w:lvlText w:val="•"/>
      <w:lvlJc w:val="left"/>
      <w:pPr>
        <w:tabs>
          <w:tab w:val="num" w:pos="4320"/>
        </w:tabs>
        <w:ind w:left="4320" w:hanging="360"/>
      </w:pPr>
      <w:rPr>
        <w:rFonts w:ascii="Times New Roman" w:hAnsi="Times New Roman" w:cs="Times New Roman" w:hint="default"/>
      </w:rPr>
    </w:lvl>
    <w:lvl w:ilvl="6" w:tplc="F1060E3A">
      <w:start w:val="1"/>
      <w:numFmt w:val="bullet"/>
      <w:lvlText w:val="•"/>
      <w:lvlJc w:val="left"/>
      <w:pPr>
        <w:tabs>
          <w:tab w:val="num" w:pos="5040"/>
        </w:tabs>
        <w:ind w:left="5040" w:hanging="360"/>
      </w:pPr>
      <w:rPr>
        <w:rFonts w:ascii="Times New Roman" w:hAnsi="Times New Roman" w:cs="Times New Roman" w:hint="default"/>
      </w:rPr>
    </w:lvl>
    <w:lvl w:ilvl="7" w:tplc="1AC2D65A">
      <w:start w:val="1"/>
      <w:numFmt w:val="bullet"/>
      <w:lvlText w:val="•"/>
      <w:lvlJc w:val="left"/>
      <w:pPr>
        <w:tabs>
          <w:tab w:val="num" w:pos="5760"/>
        </w:tabs>
        <w:ind w:left="5760" w:hanging="360"/>
      </w:pPr>
      <w:rPr>
        <w:rFonts w:ascii="Times New Roman" w:hAnsi="Times New Roman" w:cs="Times New Roman" w:hint="default"/>
      </w:rPr>
    </w:lvl>
    <w:lvl w:ilvl="8" w:tplc="C88ACD7C">
      <w:start w:val="1"/>
      <w:numFmt w:val="bullet"/>
      <w:lvlText w:val="•"/>
      <w:lvlJc w:val="left"/>
      <w:pPr>
        <w:tabs>
          <w:tab w:val="num" w:pos="6480"/>
        </w:tabs>
        <w:ind w:left="6480" w:hanging="360"/>
      </w:pPr>
      <w:rPr>
        <w:rFonts w:ascii="Times New Roman" w:hAnsi="Times New Roman" w:cs="Times New Roman" w:hint="default"/>
      </w:rPr>
    </w:lvl>
  </w:abstractNum>
  <w:abstractNum w:abstractNumId="30" w15:restartNumberingAfterBreak="0">
    <w:nsid w:val="62D83D76"/>
    <w:multiLevelType w:val="hybridMultilevel"/>
    <w:tmpl w:val="57CEEE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D0E0F8E"/>
    <w:multiLevelType w:val="hybridMultilevel"/>
    <w:tmpl w:val="E4D8BC86"/>
    <w:lvl w:ilvl="0" w:tplc="04F69734">
      <w:start w:val="11"/>
      <w:numFmt w:val="bullet"/>
      <w:lvlText w:val="-"/>
      <w:lvlJc w:val="left"/>
      <w:pPr>
        <w:ind w:left="720" w:hanging="360"/>
      </w:pPr>
      <w:rPr>
        <w:rFonts w:ascii="Arial-BoldMT" w:eastAsia="SimSun" w:hAnsi="Arial-BoldM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956C21"/>
    <w:multiLevelType w:val="multilevel"/>
    <w:tmpl w:val="C1B4A4E6"/>
    <w:lvl w:ilvl="0">
      <w:start w:val="1"/>
      <w:numFmt w:val="decimal"/>
      <w:pStyle w:val="IEEEStdsLevel1Header"/>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pStyle w:val="IEEEStdsLevel2Header"/>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3" w15:restartNumberingAfterBreak="0">
    <w:nsid w:val="6FE16600"/>
    <w:multiLevelType w:val="hybridMultilevel"/>
    <w:tmpl w:val="B9BCF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0FF495D"/>
    <w:multiLevelType w:val="hybridMultilevel"/>
    <w:tmpl w:val="6FE40A92"/>
    <w:lvl w:ilvl="0" w:tplc="DC04340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6090DE6"/>
    <w:multiLevelType w:val="hybridMultilevel"/>
    <w:tmpl w:val="9A8A4A78"/>
    <w:lvl w:ilvl="0" w:tplc="D3A049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7A630D0A"/>
    <w:multiLevelType w:val="hybridMultilevel"/>
    <w:tmpl w:val="4ECC6E6C"/>
    <w:lvl w:ilvl="0" w:tplc="04F69734">
      <w:start w:val="11"/>
      <w:numFmt w:val="bullet"/>
      <w:lvlText w:val="-"/>
      <w:lvlJc w:val="left"/>
      <w:pPr>
        <w:ind w:left="720" w:hanging="360"/>
      </w:pPr>
      <w:rPr>
        <w:rFonts w:ascii="Arial-BoldMT" w:eastAsia="SimSun" w:hAnsi="Arial-BoldM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B99725C"/>
    <w:multiLevelType w:val="multilevel"/>
    <w:tmpl w:val="0BD08772"/>
    <w:lvl w:ilvl="0">
      <w:start w:val="29"/>
      <w:numFmt w:val="decimal"/>
      <w:lvlText w:val="%1"/>
      <w:lvlJc w:val="left"/>
      <w:pPr>
        <w:ind w:left="552" w:hanging="552"/>
      </w:pPr>
      <w:rPr>
        <w:rFonts w:hint="default"/>
      </w:rPr>
    </w:lvl>
    <w:lvl w:ilvl="1">
      <w:start w:val="3"/>
      <w:numFmt w:val="decimal"/>
      <w:lvlText w:val="%1.%2"/>
      <w:lvlJc w:val="left"/>
      <w:pPr>
        <w:ind w:left="912" w:hanging="552"/>
      </w:pPr>
      <w:rPr>
        <w:rFonts w:hint="default"/>
      </w:rPr>
    </w:lvl>
    <w:lvl w:ilvl="2">
      <w:start w:val="8"/>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8" w15:restartNumberingAfterBreak="0">
    <w:nsid w:val="7C1C1189"/>
    <w:multiLevelType w:val="hybridMultilevel"/>
    <w:tmpl w:val="2C565E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D1A1D4E"/>
    <w:multiLevelType w:val="hybridMultilevel"/>
    <w:tmpl w:val="C6C62188"/>
    <w:lvl w:ilvl="0" w:tplc="0816A194">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num w:numId="1">
    <w:abstractNumId w:val="24"/>
  </w:num>
  <w:num w:numId="2">
    <w:abstractNumId w:val="4"/>
  </w:num>
  <w:num w:numId="3">
    <w:abstractNumId w:val="28"/>
  </w:num>
  <w:num w:numId="4">
    <w:abstractNumId w:val="32"/>
  </w:num>
  <w:num w:numId="5">
    <w:abstractNumId w:val="11"/>
  </w:num>
  <w:num w:numId="6">
    <w:abstractNumId w:val="32"/>
  </w:num>
  <w:num w:numId="7">
    <w:abstractNumId w:val="32"/>
  </w:num>
  <w:num w:numId="8">
    <w:abstractNumId w:val="26"/>
  </w:num>
  <w:num w:numId="9">
    <w:abstractNumId w:val="37"/>
  </w:num>
  <w:num w:numId="10">
    <w:abstractNumId w:val="17"/>
  </w:num>
  <w:num w:numId="11">
    <w:abstractNumId w:val="32"/>
    <w:lvlOverride w:ilvl="0">
      <w:startOverride w:val="9"/>
    </w:lvlOverride>
    <w:lvlOverride w:ilvl="1">
      <w:startOverride w:val="4"/>
    </w:lvlOverride>
    <w:lvlOverride w:ilvl="2">
      <w:startOverride w:val="2"/>
    </w:lvlOverride>
    <w:lvlOverride w:ilvl="3">
      <w:startOverride w:val="25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5"/>
  </w:num>
  <w:num w:numId="15">
    <w:abstractNumId w:val="6"/>
  </w:num>
  <w:num w:numId="16">
    <w:abstractNumId w:val="23"/>
  </w:num>
  <w:num w:numId="17">
    <w:abstractNumId w:val="32"/>
  </w:num>
  <w:num w:numId="18">
    <w:abstractNumId w:val="19"/>
  </w:num>
  <w:num w:numId="19">
    <w:abstractNumId w:val="22"/>
  </w:num>
  <w:num w:numId="20">
    <w:abstractNumId w:val="18"/>
  </w:num>
  <w:num w:numId="21">
    <w:abstractNumId w:val="39"/>
  </w:num>
  <w:num w:numId="22">
    <w:abstractNumId w:val="0"/>
    <w:lvlOverride w:ilvl="0">
      <w:lvl w:ilvl="0">
        <w:numFmt w:val="bullet"/>
        <w:lvlText w:val="Table 9-41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3">
    <w:abstractNumId w:val="2"/>
  </w:num>
  <w:num w:numId="24">
    <w:abstractNumId w:val="33"/>
  </w:num>
  <w:num w:numId="25">
    <w:abstractNumId w:val="35"/>
  </w:num>
  <w:num w:numId="26">
    <w:abstractNumId w:val="29"/>
  </w:num>
  <w:num w:numId="27">
    <w:abstractNumId w:val="15"/>
  </w:num>
  <w:num w:numId="28">
    <w:abstractNumId w:val="32"/>
    <w:lvlOverride w:ilvl="0">
      <w:startOverride w:val="9"/>
    </w:lvlOverride>
    <w:lvlOverride w:ilvl="1">
      <w:startOverride w:val="3"/>
    </w:lvlOverride>
    <w:lvlOverride w:ilvl="2">
      <w:startOverride w:val="3"/>
    </w:lvlOverride>
    <w:lvlOverride w:ilvl="3">
      <w:startOverride w:val="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num>
  <w:num w:numId="30">
    <w:abstractNumId w:val="1"/>
  </w:num>
  <w:num w:numId="31">
    <w:abstractNumId w:val="32"/>
  </w:num>
  <w:num w:numId="32">
    <w:abstractNumId w:val="16"/>
  </w:num>
  <w:num w:numId="33">
    <w:abstractNumId w:val="7"/>
  </w:num>
  <w:num w:numId="34">
    <w:abstractNumId w:val="12"/>
  </w:num>
  <w:num w:numId="35">
    <w:abstractNumId w:val="10"/>
  </w:num>
  <w:num w:numId="36">
    <w:abstractNumId w:val="38"/>
  </w:num>
  <w:num w:numId="37">
    <w:abstractNumId w:val="30"/>
  </w:num>
  <w:num w:numId="38">
    <w:abstractNumId w:val="21"/>
  </w:num>
  <w:num w:numId="39">
    <w:abstractNumId w:val="36"/>
  </w:num>
  <w:num w:numId="40">
    <w:abstractNumId w:val="8"/>
  </w:num>
  <w:num w:numId="41">
    <w:abstractNumId w:val="31"/>
  </w:num>
  <w:num w:numId="42">
    <w:abstractNumId w:val="14"/>
  </w:num>
  <w:num w:numId="43">
    <w:abstractNumId w:val="9"/>
  </w:num>
  <w:num w:numId="44">
    <w:abstractNumId w:val="34"/>
  </w:num>
  <w:num w:numId="45">
    <w:abstractNumId w:val="25"/>
  </w:num>
  <w:num w:numId="46">
    <w:abstractNumId w:val="20"/>
  </w:num>
  <w:num w:numId="4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mirrorMargin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38C"/>
    <w:rsid w:val="00002F53"/>
    <w:rsid w:val="00003ED6"/>
    <w:rsid w:val="0000465D"/>
    <w:rsid w:val="000055BA"/>
    <w:rsid w:val="000075E6"/>
    <w:rsid w:val="000131B6"/>
    <w:rsid w:val="000152F9"/>
    <w:rsid w:val="0001761A"/>
    <w:rsid w:val="000177D3"/>
    <w:rsid w:val="00024588"/>
    <w:rsid w:val="000245B3"/>
    <w:rsid w:val="000279E9"/>
    <w:rsid w:val="00030709"/>
    <w:rsid w:val="00030A2B"/>
    <w:rsid w:val="00030CC6"/>
    <w:rsid w:val="00034747"/>
    <w:rsid w:val="000377E9"/>
    <w:rsid w:val="00045021"/>
    <w:rsid w:val="0004589F"/>
    <w:rsid w:val="00047423"/>
    <w:rsid w:val="00051E52"/>
    <w:rsid w:val="000541D4"/>
    <w:rsid w:val="00055ACF"/>
    <w:rsid w:val="000561F8"/>
    <w:rsid w:val="00057228"/>
    <w:rsid w:val="0006189C"/>
    <w:rsid w:val="00066A71"/>
    <w:rsid w:val="00070B50"/>
    <w:rsid w:val="00070C95"/>
    <w:rsid w:val="00071870"/>
    <w:rsid w:val="00071AC3"/>
    <w:rsid w:val="000762BA"/>
    <w:rsid w:val="000767E6"/>
    <w:rsid w:val="000771C3"/>
    <w:rsid w:val="00077C3D"/>
    <w:rsid w:val="00084E77"/>
    <w:rsid w:val="0008677D"/>
    <w:rsid w:val="000874BE"/>
    <w:rsid w:val="000904A4"/>
    <w:rsid w:val="000913FC"/>
    <w:rsid w:val="0009259F"/>
    <w:rsid w:val="000934C4"/>
    <w:rsid w:val="00094D95"/>
    <w:rsid w:val="000A3030"/>
    <w:rsid w:val="000C22AD"/>
    <w:rsid w:val="000C55C6"/>
    <w:rsid w:val="000D2043"/>
    <w:rsid w:val="000D4550"/>
    <w:rsid w:val="000D6DF7"/>
    <w:rsid w:val="000D7B1B"/>
    <w:rsid w:val="000E4006"/>
    <w:rsid w:val="000E4205"/>
    <w:rsid w:val="000E4E29"/>
    <w:rsid w:val="000E5787"/>
    <w:rsid w:val="000E5825"/>
    <w:rsid w:val="000E6595"/>
    <w:rsid w:val="000F058D"/>
    <w:rsid w:val="000F2407"/>
    <w:rsid w:val="000F32D0"/>
    <w:rsid w:val="000F48F3"/>
    <w:rsid w:val="000F6789"/>
    <w:rsid w:val="001029BF"/>
    <w:rsid w:val="00102FA5"/>
    <w:rsid w:val="00102FAE"/>
    <w:rsid w:val="00116260"/>
    <w:rsid w:val="00116C0B"/>
    <w:rsid w:val="001229FA"/>
    <w:rsid w:val="00124182"/>
    <w:rsid w:val="001248FF"/>
    <w:rsid w:val="001321FC"/>
    <w:rsid w:val="001324F5"/>
    <w:rsid w:val="00133379"/>
    <w:rsid w:val="00134B0D"/>
    <w:rsid w:val="00136542"/>
    <w:rsid w:val="001377FF"/>
    <w:rsid w:val="001400D2"/>
    <w:rsid w:val="0014014E"/>
    <w:rsid w:val="0014015D"/>
    <w:rsid w:val="0014392C"/>
    <w:rsid w:val="00157242"/>
    <w:rsid w:val="00157276"/>
    <w:rsid w:val="00160907"/>
    <w:rsid w:val="00161494"/>
    <w:rsid w:val="001618BB"/>
    <w:rsid w:val="001742DF"/>
    <w:rsid w:val="00175BC5"/>
    <w:rsid w:val="001761AA"/>
    <w:rsid w:val="001841E1"/>
    <w:rsid w:val="001850B4"/>
    <w:rsid w:val="00190B73"/>
    <w:rsid w:val="001B0E34"/>
    <w:rsid w:val="001B2C89"/>
    <w:rsid w:val="001B7ED6"/>
    <w:rsid w:val="001B7F25"/>
    <w:rsid w:val="001C327F"/>
    <w:rsid w:val="001C4631"/>
    <w:rsid w:val="001C58D9"/>
    <w:rsid w:val="001C6426"/>
    <w:rsid w:val="001D26FB"/>
    <w:rsid w:val="001D2ECE"/>
    <w:rsid w:val="001D4632"/>
    <w:rsid w:val="001D6073"/>
    <w:rsid w:val="001D6E2F"/>
    <w:rsid w:val="001D723B"/>
    <w:rsid w:val="001E40ED"/>
    <w:rsid w:val="001E43EC"/>
    <w:rsid w:val="001F1570"/>
    <w:rsid w:val="001F3DC5"/>
    <w:rsid w:val="001F6E53"/>
    <w:rsid w:val="00202F50"/>
    <w:rsid w:val="002105D8"/>
    <w:rsid w:val="002113E4"/>
    <w:rsid w:val="002166C1"/>
    <w:rsid w:val="00217583"/>
    <w:rsid w:val="0022167F"/>
    <w:rsid w:val="00222654"/>
    <w:rsid w:val="00222F05"/>
    <w:rsid w:val="0023047A"/>
    <w:rsid w:val="0023446B"/>
    <w:rsid w:val="00234E4A"/>
    <w:rsid w:val="00246D07"/>
    <w:rsid w:val="00251845"/>
    <w:rsid w:val="00251E2D"/>
    <w:rsid w:val="00251ED5"/>
    <w:rsid w:val="00255587"/>
    <w:rsid w:val="002555C0"/>
    <w:rsid w:val="00257319"/>
    <w:rsid w:val="00265CA7"/>
    <w:rsid w:val="00267075"/>
    <w:rsid w:val="002732F8"/>
    <w:rsid w:val="00273DBE"/>
    <w:rsid w:val="002768A6"/>
    <w:rsid w:val="0028098F"/>
    <w:rsid w:val="002810DB"/>
    <w:rsid w:val="00286FAB"/>
    <w:rsid w:val="0029020B"/>
    <w:rsid w:val="0029286F"/>
    <w:rsid w:val="002973BB"/>
    <w:rsid w:val="002A2139"/>
    <w:rsid w:val="002A38E6"/>
    <w:rsid w:val="002A4819"/>
    <w:rsid w:val="002A4D03"/>
    <w:rsid w:val="002B1D69"/>
    <w:rsid w:val="002B2C16"/>
    <w:rsid w:val="002B3D2C"/>
    <w:rsid w:val="002B41FF"/>
    <w:rsid w:val="002B5C52"/>
    <w:rsid w:val="002B78A5"/>
    <w:rsid w:val="002C1896"/>
    <w:rsid w:val="002C2521"/>
    <w:rsid w:val="002C4947"/>
    <w:rsid w:val="002C4983"/>
    <w:rsid w:val="002D20D6"/>
    <w:rsid w:val="002D44BE"/>
    <w:rsid w:val="002E0633"/>
    <w:rsid w:val="002E23EB"/>
    <w:rsid w:val="002E2E92"/>
    <w:rsid w:val="002E6DC1"/>
    <w:rsid w:val="002E7394"/>
    <w:rsid w:val="002F0B19"/>
    <w:rsid w:val="002F2172"/>
    <w:rsid w:val="002F4693"/>
    <w:rsid w:val="002F47FC"/>
    <w:rsid w:val="002F4E2A"/>
    <w:rsid w:val="002F7240"/>
    <w:rsid w:val="00301794"/>
    <w:rsid w:val="0030383B"/>
    <w:rsid w:val="003064BC"/>
    <w:rsid w:val="00311361"/>
    <w:rsid w:val="003157A3"/>
    <w:rsid w:val="003203A1"/>
    <w:rsid w:val="003249B5"/>
    <w:rsid w:val="00324D42"/>
    <w:rsid w:val="003250B5"/>
    <w:rsid w:val="003269C3"/>
    <w:rsid w:val="00331027"/>
    <w:rsid w:val="00331217"/>
    <w:rsid w:val="00333DA6"/>
    <w:rsid w:val="00343567"/>
    <w:rsid w:val="003436AA"/>
    <w:rsid w:val="003461C0"/>
    <w:rsid w:val="003502C9"/>
    <w:rsid w:val="00351FBB"/>
    <w:rsid w:val="003526C8"/>
    <w:rsid w:val="00360DC4"/>
    <w:rsid w:val="003648E2"/>
    <w:rsid w:val="00370520"/>
    <w:rsid w:val="003717AD"/>
    <w:rsid w:val="00374A31"/>
    <w:rsid w:val="00380AA3"/>
    <w:rsid w:val="00387069"/>
    <w:rsid w:val="003912DF"/>
    <w:rsid w:val="003947E0"/>
    <w:rsid w:val="0039621A"/>
    <w:rsid w:val="0039727B"/>
    <w:rsid w:val="003A3CC7"/>
    <w:rsid w:val="003A70F8"/>
    <w:rsid w:val="003B0655"/>
    <w:rsid w:val="003B2C15"/>
    <w:rsid w:val="003B5C0D"/>
    <w:rsid w:val="003B7411"/>
    <w:rsid w:val="003C0060"/>
    <w:rsid w:val="003C6A19"/>
    <w:rsid w:val="003D67D0"/>
    <w:rsid w:val="003D74CF"/>
    <w:rsid w:val="003D7F73"/>
    <w:rsid w:val="003E05AB"/>
    <w:rsid w:val="003E10B5"/>
    <w:rsid w:val="003E138C"/>
    <w:rsid w:val="003F1780"/>
    <w:rsid w:val="003F1D4B"/>
    <w:rsid w:val="003F2081"/>
    <w:rsid w:val="003F4A76"/>
    <w:rsid w:val="00404207"/>
    <w:rsid w:val="004074F3"/>
    <w:rsid w:val="00411741"/>
    <w:rsid w:val="00414111"/>
    <w:rsid w:val="0041567F"/>
    <w:rsid w:val="00421F8E"/>
    <w:rsid w:val="004253DF"/>
    <w:rsid w:val="00426037"/>
    <w:rsid w:val="00430F6F"/>
    <w:rsid w:val="00435190"/>
    <w:rsid w:val="00435BBF"/>
    <w:rsid w:val="00436305"/>
    <w:rsid w:val="004368EF"/>
    <w:rsid w:val="00440AAA"/>
    <w:rsid w:val="00442037"/>
    <w:rsid w:val="00447352"/>
    <w:rsid w:val="00447A91"/>
    <w:rsid w:val="00447E6A"/>
    <w:rsid w:val="00452BB4"/>
    <w:rsid w:val="00452E37"/>
    <w:rsid w:val="0045421D"/>
    <w:rsid w:val="00455702"/>
    <w:rsid w:val="004563CB"/>
    <w:rsid w:val="0046015D"/>
    <w:rsid w:val="004606AB"/>
    <w:rsid w:val="00461FA9"/>
    <w:rsid w:val="00463238"/>
    <w:rsid w:val="00463764"/>
    <w:rsid w:val="004746C3"/>
    <w:rsid w:val="00477D1F"/>
    <w:rsid w:val="00481BFA"/>
    <w:rsid w:val="004866B1"/>
    <w:rsid w:val="00486E4A"/>
    <w:rsid w:val="004875EE"/>
    <w:rsid w:val="004878BB"/>
    <w:rsid w:val="00490B79"/>
    <w:rsid w:val="00491D97"/>
    <w:rsid w:val="004A41E6"/>
    <w:rsid w:val="004A7AA7"/>
    <w:rsid w:val="004B064B"/>
    <w:rsid w:val="004B0C6F"/>
    <w:rsid w:val="004B1AF1"/>
    <w:rsid w:val="004B30C1"/>
    <w:rsid w:val="004B4DFF"/>
    <w:rsid w:val="004C06F3"/>
    <w:rsid w:val="004C13C7"/>
    <w:rsid w:val="004C2535"/>
    <w:rsid w:val="004C412D"/>
    <w:rsid w:val="004C6169"/>
    <w:rsid w:val="004C6FB1"/>
    <w:rsid w:val="004D01E3"/>
    <w:rsid w:val="004D127B"/>
    <w:rsid w:val="004D2409"/>
    <w:rsid w:val="004D3C36"/>
    <w:rsid w:val="004D3C38"/>
    <w:rsid w:val="004D761C"/>
    <w:rsid w:val="004E46C3"/>
    <w:rsid w:val="004E5069"/>
    <w:rsid w:val="004E545C"/>
    <w:rsid w:val="004E5690"/>
    <w:rsid w:val="004E7890"/>
    <w:rsid w:val="004F12FF"/>
    <w:rsid w:val="004F5F8A"/>
    <w:rsid w:val="0050271E"/>
    <w:rsid w:val="00505B4E"/>
    <w:rsid w:val="0050606D"/>
    <w:rsid w:val="00507251"/>
    <w:rsid w:val="00512DC2"/>
    <w:rsid w:val="00513156"/>
    <w:rsid w:val="00516895"/>
    <w:rsid w:val="00525A85"/>
    <w:rsid w:val="0052654A"/>
    <w:rsid w:val="00531105"/>
    <w:rsid w:val="00535D77"/>
    <w:rsid w:val="00540D53"/>
    <w:rsid w:val="00541A6E"/>
    <w:rsid w:val="00541C59"/>
    <w:rsid w:val="00542413"/>
    <w:rsid w:val="00543E4E"/>
    <w:rsid w:val="00544B79"/>
    <w:rsid w:val="00547C59"/>
    <w:rsid w:val="005536D3"/>
    <w:rsid w:val="005571C6"/>
    <w:rsid w:val="0056111E"/>
    <w:rsid w:val="00563EDE"/>
    <w:rsid w:val="00566BAB"/>
    <w:rsid w:val="00570C31"/>
    <w:rsid w:val="005716A0"/>
    <w:rsid w:val="0057208C"/>
    <w:rsid w:val="00574241"/>
    <w:rsid w:val="00575738"/>
    <w:rsid w:val="00584BC2"/>
    <w:rsid w:val="00584CCF"/>
    <w:rsid w:val="00585917"/>
    <w:rsid w:val="005939D6"/>
    <w:rsid w:val="00593C83"/>
    <w:rsid w:val="005948E3"/>
    <w:rsid w:val="00597460"/>
    <w:rsid w:val="005A2DA8"/>
    <w:rsid w:val="005A2F8C"/>
    <w:rsid w:val="005A3F38"/>
    <w:rsid w:val="005A5778"/>
    <w:rsid w:val="005B0FAF"/>
    <w:rsid w:val="005B1A03"/>
    <w:rsid w:val="005B338E"/>
    <w:rsid w:val="005C01F6"/>
    <w:rsid w:val="005C18D5"/>
    <w:rsid w:val="005C2205"/>
    <w:rsid w:val="005C3BF6"/>
    <w:rsid w:val="005C51B7"/>
    <w:rsid w:val="005D1E4E"/>
    <w:rsid w:val="005D2EE4"/>
    <w:rsid w:val="005D387A"/>
    <w:rsid w:val="005D4F3B"/>
    <w:rsid w:val="005E24B8"/>
    <w:rsid w:val="005E2A6C"/>
    <w:rsid w:val="005E2AEB"/>
    <w:rsid w:val="005E4F57"/>
    <w:rsid w:val="005E6682"/>
    <w:rsid w:val="005F1871"/>
    <w:rsid w:val="005F3840"/>
    <w:rsid w:val="005F759C"/>
    <w:rsid w:val="00602C7D"/>
    <w:rsid w:val="00604414"/>
    <w:rsid w:val="00604CCA"/>
    <w:rsid w:val="00606CF8"/>
    <w:rsid w:val="00611ED5"/>
    <w:rsid w:val="006143D6"/>
    <w:rsid w:val="006144D8"/>
    <w:rsid w:val="0062192D"/>
    <w:rsid w:val="00622E5D"/>
    <w:rsid w:val="0062440B"/>
    <w:rsid w:val="00624C2D"/>
    <w:rsid w:val="006301BA"/>
    <w:rsid w:val="0063199E"/>
    <w:rsid w:val="0063701C"/>
    <w:rsid w:val="00637841"/>
    <w:rsid w:val="006420E8"/>
    <w:rsid w:val="00647232"/>
    <w:rsid w:val="006473C2"/>
    <w:rsid w:val="00647585"/>
    <w:rsid w:val="00650671"/>
    <w:rsid w:val="00660680"/>
    <w:rsid w:val="0066126B"/>
    <w:rsid w:val="00661B6A"/>
    <w:rsid w:val="006653F3"/>
    <w:rsid w:val="00670B04"/>
    <w:rsid w:val="006716A6"/>
    <w:rsid w:val="0068039F"/>
    <w:rsid w:val="00684739"/>
    <w:rsid w:val="00686DAE"/>
    <w:rsid w:val="0069012E"/>
    <w:rsid w:val="00691792"/>
    <w:rsid w:val="00695A16"/>
    <w:rsid w:val="006A33D3"/>
    <w:rsid w:val="006A484D"/>
    <w:rsid w:val="006A72F8"/>
    <w:rsid w:val="006B317D"/>
    <w:rsid w:val="006B3249"/>
    <w:rsid w:val="006B749D"/>
    <w:rsid w:val="006B79ED"/>
    <w:rsid w:val="006C0727"/>
    <w:rsid w:val="006D0EAD"/>
    <w:rsid w:val="006D7B9F"/>
    <w:rsid w:val="006E0B61"/>
    <w:rsid w:val="006E145F"/>
    <w:rsid w:val="006E1A59"/>
    <w:rsid w:val="006E503C"/>
    <w:rsid w:val="006E524B"/>
    <w:rsid w:val="006E6926"/>
    <w:rsid w:val="006E6A84"/>
    <w:rsid w:val="006E781D"/>
    <w:rsid w:val="006F271C"/>
    <w:rsid w:val="006F544B"/>
    <w:rsid w:val="007002FA"/>
    <w:rsid w:val="0070068C"/>
    <w:rsid w:val="007027F1"/>
    <w:rsid w:val="00704FA8"/>
    <w:rsid w:val="00705C3E"/>
    <w:rsid w:val="00705EBC"/>
    <w:rsid w:val="007104FD"/>
    <w:rsid w:val="00711798"/>
    <w:rsid w:val="00711A58"/>
    <w:rsid w:val="00711F6F"/>
    <w:rsid w:val="00713C50"/>
    <w:rsid w:val="0071765F"/>
    <w:rsid w:val="00723851"/>
    <w:rsid w:val="007238AE"/>
    <w:rsid w:val="00724DBD"/>
    <w:rsid w:val="0073335E"/>
    <w:rsid w:val="007333A8"/>
    <w:rsid w:val="007426CA"/>
    <w:rsid w:val="00746907"/>
    <w:rsid w:val="00751180"/>
    <w:rsid w:val="0075553C"/>
    <w:rsid w:val="0075727A"/>
    <w:rsid w:val="00757D70"/>
    <w:rsid w:val="00770572"/>
    <w:rsid w:val="00770B05"/>
    <w:rsid w:val="00770EB3"/>
    <w:rsid w:val="00771622"/>
    <w:rsid w:val="00773908"/>
    <w:rsid w:val="00773AE7"/>
    <w:rsid w:val="00774947"/>
    <w:rsid w:val="007800BA"/>
    <w:rsid w:val="00783EC7"/>
    <w:rsid w:val="00784476"/>
    <w:rsid w:val="007867E8"/>
    <w:rsid w:val="0079072A"/>
    <w:rsid w:val="00792463"/>
    <w:rsid w:val="00792D27"/>
    <w:rsid w:val="00794560"/>
    <w:rsid w:val="00797432"/>
    <w:rsid w:val="00797841"/>
    <w:rsid w:val="00797C6C"/>
    <w:rsid w:val="007A0FC0"/>
    <w:rsid w:val="007A3A44"/>
    <w:rsid w:val="007A4346"/>
    <w:rsid w:val="007A504E"/>
    <w:rsid w:val="007A7587"/>
    <w:rsid w:val="007B1C54"/>
    <w:rsid w:val="007B1F80"/>
    <w:rsid w:val="007B29A7"/>
    <w:rsid w:val="007B7C5F"/>
    <w:rsid w:val="007C07DF"/>
    <w:rsid w:val="007C167B"/>
    <w:rsid w:val="007C1A42"/>
    <w:rsid w:val="007C6EE4"/>
    <w:rsid w:val="007D1618"/>
    <w:rsid w:val="007D4764"/>
    <w:rsid w:val="007D6A9F"/>
    <w:rsid w:val="007D7500"/>
    <w:rsid w:val="007E09AD"/>
    <w:rsid w:val="007E0E78"/>
    <w:rsid w:val="007E2A58"/>
    <w:rsid w:val="007F31F9"/>
    <w:rsid w:val="007F3B04"/>
    <w:rsid w:val="007F56F0"/>
    <w:rsid w:val="007F77CD"/>
    <w:rsid w:val="007F7B8F"/>
    <w:rsid w:val="00800180"/>
    <w:rsid w:val="00801385"/>
    <w:rsid w:val="00802072"/>
    <w:rsid w:val="008070D7"/>
    <w:rsid w:val="008117F7"/>
    <w:rsid w:val="0081351A"/>
    <w:rsid w:val="008153E4"/>
    <w:rsid w:val="00820D26"/>
    <w:rsid w:val="0082108B"/>
    <w:rsid w:val="008240CD"/>
    <w:rsid w:val="008250AF"/>
    <w:rsid w:val="0083301E"/>
    <w:rsid w:val="00833DAA"/>
    <w:rsid w:val="0083586C"/>
    <w:rsid w:val="00835A31"/>
    <w:rsid w:val="00836167"/>
    <w:rsid w:val="00841404"/>
    <w:rsid w:val="008526EB"/>
    <w:rsid w:val="00852CCA"/>
    <w:rsid w:val="0085629B"/>
    <w:rsid w:val="008606D7"/>
    <w:rsid w:val="00865A33"/>
    <w:rsid w:val="00872C1E"/>
    <w:rsid w:val="00874E50"/>
    <w:rsid w:val="00876885"/>
    <w:rsid w:val="00876EE1"/>
    <w:rsid w:val="00880709"/>
    <w:rsid w:val="008879CE"/>
    <w:rsid w:val="0089033A"/>
    <w:rsid w:val="008908D1"/>
    <w:rsid w:val="008961FC"/>
    <w:rsid w:val="0089794E"/>
    <w:rsid w:val="008A1006"/>
    <w:rsid w:val="008A4059"/>
    <w:rsid w:val="008A448D"/>
    <w:rsid w:val="008A470F"/>
    <w:rsid w:val="008A67B7"/>
    <w:rsid w:val="008B29FB"/>
    <w:rsid w:val="008B4109"/>
    <w:rsid w:val="008B46EB"/>
    <w:rsid w:val="008B4EFA"/>
    <w:rsid w:val="008B56CF"/>
    <w:rsid w:val="008B5CAA"/>
    <w:rsid w:val="008B608E"/>
    <w:rsid w:val="008B64B7"/>
    <w:rsid w:val="008B6651"/>
    <w:rsid w:val="008C7679"/>
    <w:rsid w:val="008D750C"/>
    <w:rsid w:val="008E0B0B"/>
    <w:rsid w:val="008E0C9E"/>
    <w:rsid w:val="008E2AA5"/>
    <w:rsid w:val="008E73FC"/>
    <w:rsid w:val="008F0662"/>
    <w:rsid w:val="008F3ECD"/>
    <w:rsid w:val="008F433C"/>
    <w:rsid w:val="008F4543"/>
    <w:rsid w:val="008F7105"/>
    <w:rsid w:val="008F7550"/>
    <w:rsid w:val="0090439B"/>
    <w:rsid w:val="009049C4"/>
    <w:rsid w:val="00905E97"/>
    <w:rsid w:val="009068D9"/>
    <w:rsid w:val="0091379F"/>
    <w:rsid w:val="00914F47"/>
    <w:rsid w:val="009158FA"/>
    <w:rsid w:val="0092229E"/>
    <w:rsid w:val="00923AEB"/>
    <w:rsid w:val="00930475"/>
    <w:rsid w:val="0093048C"/>
    <w:rsid w:val="009317AF"/>
    <w:rsid w:val="00932656"/>
    <w:rsid w:val="009330AC"/>
    <w:rsid w:val="00934103"/>
    <w:rsid w:val="00935043"/>
    <w:rsid w:val="00941969"/>
    <w:rsid w:val="00942144"/>
    <w:rsid w:val="00943B2F"/>
    <w:rsid w:val="00947039"/>
    <w:rsid w:val="00950A6B"/>
    <w:rsid w:val="009510B0"/>
    <w:rsid w:val="00953EFC"/>
    <w:rsid w:val="009579DA"/>
    <w:rsid w:val="00957F19"/>
    <w:rsid w:val="0096045C"/>
    <w:rsid w:val="00960ABE"/>
    <w:rsid w:val="00960EA6"/>
    <w:rsid w:val="00963D26"/>
    <w:rsid w:val="0096519C"/>
    <w:rsid w:val="009667E6"/>
    <w:rsid w:val="00971500"/>
    <w:rsid w:val="009753AD"/>
    <w:rsid w:val="0097570E"/>
    <w:rsid w:val="00976A1F"/>
    <w:rsid w:val="00983ED2"/>
    <w:rsid w:val="00984A4D"/>
    <w:rsid w:val="00995A4D"/>
    <w:rsid w:val="009970C5"/>
    <w:rsid w:val="009A311F"/>
    <w:rsid w:val="009A42BD"/>
    <w:rsid w:val="009B697C"/>
    <w:rsid w:val="009C1204"/>
    <w:rsid w:val="009C1A8B"/>
    <w:rsid w:val="009C2F9F"/>
    <w:rsid w:val="009C3028"/>
    <w:rsid w:val="009C460C"/>
    <w:rsid w:val="009C56D6"/>
    <w:rsid w:val="009D10D5"/>
    <w:rsid w:val="009D20F5"/>
    <w:rsid w:val="009D6147"/>
    <w:rsid w:val="009E0EAF"/>
    <w:rsid w:val="009E1F40"/>
    <w:rsid w:val="009E5E2A"/>
    <w:rsid w:val="009E7525"/>
    <w:rsid w:val="009F2078"/>
    <w:rsid w:val="009F2FBC"/>
    <w:rsid w:val="009F364F"/>
    <w:rsid w:val="009F37AC"/>
    <w:rsid w:val="009F61DC"/>
    <w:rsid w:val="009F7E57"/>
    <w:rsid w:val="009F7FA4"/>
    <w:rsid w:val="00A050D8"/>
    <w:rsid w:val="00A06CAD"/>
    <w:rsid w:val="00A07BAE"/>
    <w:rsid w:val="00A10608"/>
    <w:rsid w:val="00A11C7A"/>
    <w:rsid w:val="00A15E70"/>
    <w:rsid w:val="00A16597"/>
    <w:rsid w:val="00A20565"/>
    <w:rsid w:val="00A23406"/>
    <w:rsid w:val="00A26E4E"/>
    <w:rsid w:val="00A273A4"/>
    <w:rsid w:val="00A3178D"/>
    <w:rsid w:val="00A3215B"/>
    <w:rsid w:val="00A324DD"/>
    <w:rsid w:val="00A41833"/>
    <w:rsid w:val="00A4209F"/>
    <w:rsid w:val="00A428B3"/>
    <w:rsid w:val="00A435F5"/>
    <w:rsid w:val="00A4468F"/>
    <w:rsid w:val="00A465F2"/>
    <w:rsid w:val="00A53C40"/>
    <w:rsid w:val="00A54932"/>
    <w:rsid w:val="00A552E7"/>
    <w:rsid w:val="00A57095"/>
    <w:rsid w:val="00A57105"/>
    <w:rsid w:val="00A642DD"/>
    <w:rsid w:val="00A6793E"/>
    <w:rsid w:val="00A7120B"/>
    <w:rsid w:val="00A732BB"/>
    <w:rsid w:val="00A73945"/>
    <w:rsid w:val="00A7700B"/>
    <w:rsid w:val="00A92948"/>
    <w:rsid w:val="00A93C4F"/>
    <w:rsid w:val="00AA0535"/>
    <w:rsid w:val="00AA38F9"/>
    <w:rsid w:val="00AA427C"/>
    <w:rsid w:val="00AB09AF"/>
    <w:rsid w:val="00AB2910"/>
    <w:rsid w:val="00AB557A"/>
    <w:rsid w:val="00AB5F6F"/>
    <w:rsid w:val="00AB6A91"/>
    <w:rsid w:val="00AC120B"/>
    <w:rsid w:val="00AD14FE"/>
    <w:rsid w:val="00AD19EC"/>
    <w:rsid w:val="00AD1B07"/>
    <w:rsid w:val="00AD4322"/>
    <w:rsid w:val="00AD6C2A"/>
    <w:rsid w:val="00AE02EA"/>
    <w:rsid w:val="00AE1CF0"/>
    <w:rsid w:val="00AE1F32"/>
    <w:rsid w:val="00AE7715"/>
    <w:rsid w:val="00AF0005"/>
    <w:rsid w:val="00AF0CFF"/>
    <w:rsid w:val="00AF1C71"/>
    <w:rsid w:val="00AF63E8"/>
    <w:rsid w:val="00AF750B"/>
    <w:rsid w:val="00B04410"/>
    <w:rsid w:val="00B0733F"/>
    <w:rsid w:val="00B07C83"/>
    <w:rsid w:val="00B11290"/>
    <w:rsid w:val="00B25BF9"/>
    <w:rsid w:val="00B273AE"/>
    <w:rsid w:val="00B30927"/>
    <w:rsid w:val="00B32557"/>
    <w:rsid w:val="00B32E78"/>
    <w:rsid w:val="00B34216"/>
    <w:rsid w:val="00B35CEE"/>
    <w:rsid w:val="00B36B1B"/>
    <w:rsid w:val="00B37CD3"/>
    <w:rsid w:val="00B4067F"/>
    <w:rsid w:val="00B41A7E"/>
    <w:rsid w:val="00B4459F"/>
    <w:rsid w:val="00B4547E"/>
    <w:rsid w:val="00B51F82"/>
    <w:rsid w:val="00B54CDD"/>
    <w:rsid w:val="00B576A0"/>
    <w:rsid w:val="00B57CF3"/>
    <w:rsid w:val="00B621D3"/>
    <w:rsid w:val="00B660CC"/>
    <w:rsid w:val="00B67FA8"/>
    <w:rsid w:val="00B7218B"/>
    <w:rsid w:val="00B72411"/>
    <w:rsid w:val="00B7540B"/>
    <w:rsid w:val="00B7699A"/>
    <w:rsid w:val="00B84C96"/>
    <w:rsid w:val="00B865B9"/>
    <w:rsid w:val="00B87EE3"/>
    <w:rsid w:val="00B90DC7"/>
    <w:rsid w:val="00B9188F"/>
    <w:rsid w:val="00B919D8"/>
    <w:rsid w:val="00B93DC6"/>
    <w:rsid w:val="00B97002"/>
    <w:rsid w:val="00B978AF"/>
    <w:rsid w:val="00BA0EE7"/>
    <w:rsid w:val="00BA138E"/>
    <w:rsid w:val="00BA1950"/>
    <w:rsid w:val="00BA1C72"/>
    <w:rsid w:val="00BA3832"/>
    <w:rsid w:val="00BA455A"/>
    <w:rsid w:val="00BA4DB1"/>
    <w:rsid w:val="00BA501C"/>
    <w:rsid w:val="00BA5A69"/>
    <w:rsid w:val="00BB00B0"/>
    <w:rsid w:val="00BB2276"/>
    <w:rsid w:val="00BB276A"/>
    <w:rsid w:val="00BB2CBC"/>
    <w:rsid w:val="00BB3E7F"/>
    <w:rsid w:val="00BC2537"/>
    <w:rsid w:val="00BC4C11"/>
    <w:rsid w:val="00BC5326"/>
    <w:rsid w:val="00BC5C48"/>
    <w:rsid w:val="00BD24D4"/>
    <w:rsid w:val="00BD60C4"/>
    <w:rsid w:val="00BE0170"/>
    <w:rsid w:val="00BE365D"/>
    <w:rsid w:val="00BE5AEF"/>
    <w:rsid w:val="00BE68C2"/>
    <w:rsid w:val="00BF05BC"/>
    <w:rsid w:val="00BF18E7"/>
    <w:rsid w:val="00BF369A"/>
    <w:rsid w:val="00BF5F5D"/>
    <w:rsid w:val="00BF6DAC"/>
    <w:rsid w:val="00BF7063"/>
    <w:rsid w:val="00BF76F6"/>
    <w:rsid w:val="00C05AC8"/>
    <w:rsid w:val="00C05E7B"/>
    <w:rsid w:val="00C06AB4"/>
    <w:rsid w:val="00C11554"/>
    <w:rsid w:val="00C12B65"/>
    <w:rsid w:val="00C14A48"/>
    <w:rsid w:val="00C1615F"/>
    <w:rsid w:val="00C1789D"/>
    <w:rsid w:val="00C20893"/>
    <w:rsid w:val="00C30537"/>
    <w:rsid w:val="00C310A4"/>
    <w:rsid w:val="00C32174"/>
    <w:rsid w:val="00C3363E"/>
    <w:rsid w:val="00C3410F"/>
    <w:rsid w:val="00C342F1"/>
    <w:rsid w:val="00C35163"/>
    <w:rsid w:val="00C36BF9"/>
    <w:rsid w:val="00C37E40"/>
    <w:rsid w:val="00C4668D"/>
    <w:rsid w:val="00C4789E"/>
    <w:rsid w:val="00C52C3B"/>
    <w:rsid w:val="00C5515E"/>
    <w:rsid w:val="00C60E1A"/>
    <w:rsid w:val="00C61869"/>
    <w:rsid w:val="00C61DE6"/>
    <w:rsid w:val="00C638EF"/>
    <w:rsid w:val="00C666D4"/>
    <w:rsid w:val="00C66F49"/>
    <w:rsid w:val="00C66F62"/>
    <w:rsid w:val="00C80FF5"/>
    <w:rsid w:val="00C819A0"/>
    <w:rsid w:val="00C81E5F"/>
    <w:rsid w:val="00C86542"/>
    <w:rsid w:val="00C8758D"/>
    <w:rsid w:val="00C92E60"/>
    <w:rsid w:val="00CA09B2"/>
    <w:rsid w:val="00CA1C40"/>
    <w:rsid w:val="00CA4D57"/>
    <w:rsid w:val="00CA58D4"/>
    <w:rsid w:val="00CA6033"/>
    <w:rsid w:val="00CA6807"/>
    <w:rsid w:val="00CA7795"/>
    <w:rsid w:val="00CB0671"/>
    <w:rsid w:val="00CC2F2F"/>
    <w:rsid w:val="00CC36D5"/>
    <w:rsid w:val="00CC4F2A"/>
    <w:rsid w:val="00CC783B"/>
    <w:rsid w:val="00CD10E7"/>
    <w:rsid w:val="00CE16B6"/>
    <w:rsid w:val="00CF0131"/>
    <w:rsid w:val="00CF2E11"/>
    <w:rsid w:val="00CF2E83"/>
    <w:rsid w:val="00CF625C"/>
    <w:rsid w:val="00CF63BE"/>
    <w:rsid w:val="00CF7480"/>
    <w:rsid w:val="00CF778A"/>
    <w:rsid w:val="00D00F75"/>
    <w:rsid w:val="00D030CA"/>
    <w:rsid w:val="00D05311"/>
    <w:rsid w:val="00D12F1C"/>
    <w:rsid w:val="00D22962"/>
    <w:rsid w:val="00D30C53"/>
    <w:rsid w:val="00D312A4"/>
    <w:rsid w:val="00D341BE"/>
    <w:rsid w:val="00D345D0"/>
    <w:rsid w:val="00D35ED8"/>
    <w:rsid w:val="00D40CAD"/>
    <w:rsid w:val="00D430FD"/>
    <w:rsid w:val="00D52922"/>
    <w:rsid w:val="00D53FE7"/>
    <w:rsid w:val="00D60B59"/>
    <w:rsid w:val="00D61EE2"/>
    <w:rsid w:val="00D621EA"/>
    <w:rsid w:val="00D62AE5"/>
    <w:rsid w:val="00D7222F"/>
    <w:rsid w:val="00D73A51"/>
    <w:rsid w:val="00D73CF2"/>
    <w:rsid w:val="00D75597"/>
    <w:rsid w:val="00D759C5"/>
    <w:rsid w:val="00D75E32"/>
    <w:rsid w:val="00D84957"/>
    <w:rsid w:val="00D9521C"/>
    <w:rsid w:val="00D95D67"/>
    <w:rsid w:val="00D96E16"/>
    <w:rsid w:val="00D97AAE"/>
    <w:rsid w:val="00DA6CF6"/>
    <w:rsid w:val="00DB0401"/>
    <w:rsid w:val="00DB2BD4"/>
    <w:rsid w:val="00DB4B12"/>
    <w:rsid w:val="00DC0766"/>
    <w:rsid w:val="00DC1427"/>
    <w:rsid w:val="00DC2D07"/>
    <w:rsid w:val="00DC4ADC"/>
    <w:rsid w:val="00DC5A7B"/>
    <w:rsid w:val="00DC6817"/>
    <w:rsid w:val="00DC6E9C"/>
    <w:rsid w:val="00DC7A03"/>
    <w:rsid w:val="00DD16EE"/>
    <w:rsid w:val="00DD3091"/>
    <w:rsid w:val="00DD3DAC"/>
    <w:rsid w:val="00DD45D4"/>
    <w:rsid w:val="00DD6C62"/>
    <w:rsid w:val="00DE2F9A"/>
    <w:rsid w:val="00DE4159"/>
    <w:rsid w:val="00DE42B9"/>
    <w:rsid w:val="00DE5A4A"/>
    <w:rsid w:val="00DE721B"/>
    <w:rsid w:val="00DE72DF"/>
    <w:rsid w:val="00DE755F"/>
    <w:rsid w:val="00DF0DE7"/>
    <w:rsid w:val="00DF14CB"/>
    <w:rsid w:val="00DF2766"/>
    <w:rsid w:val="00DF5CE4"/>
    <w:rsid w:val="00DF6694"/>
    <w:rsid w:val="00E007D2"/>
    <w:rsid w:val="00E02A1E"/>
    <w:rsid w:val="00E0619E"/>
    <w:rsid w:val="00E06492"/>
    <w:rsid w:val="00E064D5"/>
    <w:rsid w:val="00E101E7"/>
    <w:rsid w:val="00E147DB"/>
    <w:rsid w:val="00E15CFA"/>
    <w:rsid w:val="00E2236C"/>
    <w:rsid w:val="00E23E04"/>
    <w:rsid w:val="00E243C8"/>
    <w:rsid w:val="00E249D1"/>
    <w:rsid w:val="00E26510"/>
    <w:rsid w:val="00E27565"/>
    <w:rsid w:val="00E27708"/>
    <w:rsid w:val="00E32A01"/>
    <w:rsid w:val="00E346EC"/>
    <w:rsid w:val="00E3745C"/>
    <w:rsid w:val="00E3777B"/>
    <w:rsid w:val="00E37799"/>
    <w:rsid w:val="00E37849"/>
    <w:rsid w:val="00E40FB0"/>
    <w:rsid w:val="00E47F81"/>
    <w:rsid w:val="00E608F3"/>
    <w:rsid w:val="00E63703"/>
    <w:rsid w:val="00E66B70"/>
    <w:rsid w:val="00E6779A"/>
    <w:rsid w:val="00E67A86"/>
    <w:rsid w:val="00E72285"/>
    <w:rsid w:val="00E74DB1"/>
    <w:rsid w:val="00E759E7"/>
    <w:rsid w:val="00E80289"/>
    <w:rsid w:val="00E8141D"/>
    <w:rsid w:val="00E84C5D"/>
    <w:rsid w:val="00E864D0"/>
    <w:rsid w:val="00E86CA1"/>
    <w:rsid w:val="00E87722"/>
    <w:rsid w:val="00E93750"/>
    <w:rsid w:val="00E944D5"/>
    <w:rsid w:val="00E96CE2"/>
    <w:rsid w:val="00EA1993"/>
    <w:rsid w:val="00EA1A6D"/>
    <w:rsid w:val="00EA4596"/>
    <w:rsid w:val="00EA5301"/>
    <w:rsid w:val="00EA73CD"/>
    <w:rsid w:val="00EB02D3"/>
    <w:rsid w:val="00EB27F6"/>
    <w:rsid w:val="00EB30C2"/>
    <w:rsid w:val="00EC184F"/>
    <w:rsid w:val="00EC44C9"/>
    <w:rsid w:val="00EC7463"/>
    <w:rsid w:val="00EC77D6"/>
    <w:rsid w:val="00ED36ED"/>
    <w:rsid w:val="00ED79D0"/>
    <w:rsid w:val="00EE00FF"/>
    <w:rsid w:val="00EE06FB"/>
    <w:rsid w:val="00EE4D8F"/>
    <w:rsid w:val="00EF1C4E"/>
    <w:rsid w:val="00EF3B30"/>
    <w:rsid w:val="00EF6C6C"/>
    <w:rsid w:val="00F015F3"/>
    <w:rsid w:val="00F05A4A"/>
    <w:rsid w:val="00F06212"/>
    <w:rsid w:val="00F1185C"/>
    <w:rsid w:val="00F118DE"/>
    <w:rsid w:val="00F11D36"/>
    <w:rsid w:val="00F1216A"/>
    <w:rsid w:val="00F13394"/>
    <w:rsid w:val="00F15DDA"/>
    <w:rsid w:val="00F23E79"/>
    <w:rsid w:val="00F24BF6"/>
    <w:rsid w:val="00F271DE"/>
    <w:rsid w:val="00F32A8C"/>
    <w:rsid w:val="00F34DEF"/>
    <w:rsid w:val="00F35D27"/>
    <w:rsid w:val="00F36CA8"/>
    <w:rsid w:val="00F41C2F"/>
    <w:rsid w:val="00F42039"/>
    <w:rsid w:val="00F4512B"/>
    <w:rsid w:val="00F46E9C"/>
    <w:rsid w:val="00F476B3"/>
    <w:rsid w:val="00F51CF8"/>
    <w:rsid w:val="00F51F18"/>
    <w:rsid w:val="00F52680"/>
    <w:rsid w:val="00F57DBA"/>
    <w:rsid w:val="00F61E78"/>
    <w:rsid w:val="00F621FD"/>
    <w:rsid w:val="00F6518E"/>
    <w:rsid w:val="00F66546"/>
    <w:rsid w:val="00F72529"/>
    <w:rsid w:val="00F72A02"/>
    <w:rsid w:val="00F76A4A"/>
    <w:rsid w:val="00F77620"/>
    <w:rsid w:val="00F7792D"/>
    <w:rsid w:val="00F8224A"/>
    <w:rsid w:val="00F85189"/>
    <w:rsid w:val="00F85466"/>
    <w:rsid w:val="00F8767D"/>
    <w:rsid w:val="00F90302"/>
    <w:rsid w:val="00F914B9"/>
    <w:rsid w:val="00F93584"/>
    <w:rsid w:val="00F953B6"/>
    <w:rsid w:val="00FA28A6"/>
    <w:rsid w:val="00FA29A9"/>
    <w:rsid w:val="00FA3961"/>
    <w:rsid w:val="00FA58D3"/>
    <w:rsid w:val="00FA69B7"/>
    <w:rsid w:val="00FA6BD0"/>
    <w:rsid w:val="00FA6D24"/>
    <w:rsid w:val="00FA7898"/>
    <w:rsid w:val="00FB1EF1"/>
    <w:rsid w:val="00FB2040"/>
    <w:rsid w:val="00FB3475"/>
    <w:rsid w:val="00FB4057"/>
    <w:rsid w:val="00FB57A6"/>
    <w:rsid w:val="00FB6C56"/>
    <w:rsid w:val="00FC24B5"/>
    <w:rsid w:val="00FC5252"/>
    <w:rsid w:val="00FC6804"/>
    <w:rsid w:val="00FC7A1D"/>
    <w:rsid w:val="00FD26FB"/>
    <w:rsid w:val="00FD4665"/>
    <w:rsid w:val="00FE5A47"/>
    <w:rsid w:val="00FE6E1B"/>
    <w:rsid w:val="00FF052F"/>
    <w:rsid w:val="00FF0D0E"/>
    <w:rsid w:val="00FF0E25"/>
    <w:rsid w:val="00FF7147"/>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DA0DD1"/>
  <w15:chartTrackingRefBased/>
  <w15:docId w15:val="{4CAB96BC-1B6A-4C16-8CEE-A9285FB40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F8767D"/>
    <w:pPr>
      <w:ind w:left="720"/>
      <w:contextualSpacing/>
    </w:pPr>
  </w:style>
  <w:style w:type="paragraph" w:customStyle="1" w:styleId="IEEEStdsParagraph">
    <w:name w:val="IEEEStds Paragraph"/>
    <w:link w:val="IEEEStdsParagraphChar"/>
    <w:rsid w:val="00157242"/>
    <w:pPr>
      <w:spacing w:after="240"/>
      <w:jc w:val="both"/>
    </w:pPr>
    <w:rPr>
      <w:lang w:eastAsia="ja-JP"/>
    </w:rPr>
  </w:style>
  <w:style w:type="character" w:customStyle="1" w:styleId="IEEEStdsParagraphChar">
    <w:name w:val="IEEEStds Paragraph Char"/>
    <w:link w:val="IEEEStdsParagraph"/>
    <w:rsid w:val="00157242"/>
    <w:rPr>
      <w:lang w:eastAsia="ja-JP"/>
    </w:rPr>
  </w:style>
  <w:style w:type="paragraph" w:customStyle="1" w:styleId="IEEEStdsRegularFigureCaption">
    <w:name w:val="IEEEStds Regular Figure Caption"/>
    <w:basedOn w:val="IEEEStdsParagraph"/>
    <w:next w:val="IEEEStdsParagraph"/>
    <w:rsid w:val="00157242"/>
    <w:pPr>
      <w:keepLines/>
      <w:numPr>
        <w:numId w:val="3"/>
      </w:numPr>
      <w:tabs>
        <w:tab w:val="clear" w:pos="1008"/>
        <w:tab w:val="num" w:pos="360"/>
        <w:tab w:val="left" w:pos="403"/>
        <w:tab w:val="left" w:pos="475"/>
        <w:tab w:val="left" w:pos="547"/>
      </w:tabs>
      <w:suppressAutoHyphens/>
      <w:spacing w:before="120" w:after="120"/>
      <w:ind w:firstLine="0"/>
      <w:jc w:val="center"/>
    </w:pPr>
    <w:rPr>
      <w:rFonts w:ascii="Arial" w:hAnsi="Arial"/>
      <w:b/>
    </w:rPr>
  </w:style>
  <w:style w:type="paragraph" w:customStyle="1" w:styleId="IEEEStdsUnorderedList">
    <w:name w:val="IEEEStds Unordered List"/>
    <w:rsid w:val="00157242"/>
    <w:pPr>
      <w:numPr>
        <w:numId w:val="2"/>
      </w:numPr>
      <w:tabs>
        <w:tab w:val="left" w:pos="1080"/>
        <w:tab w:val="left" w:pos="1512"/>
        <w:tab w:val="left" w:pos="1958"/>
        <w:tab w:val="left" w:pos="2405"/>
      </w:tabs>
      <w:spacing w:before="60" w:after="60"/>
      <w:jc w:val="both"/>
    </w:pPr>
    <w:rPr>
      <w:noProof/>
      <w:lang w:eastAsia="ja-JP"/>
    </w:rPr>
  </w:style>
  <w:style w:type="paragraph" w:customStyle="1" w:styleId="IEEEStdsLevel1Header">
    <w:name w:val="IEEEStds Level 1 Header"/>
    <w:basedOn w:val="IEEEStdsParagraph"/>
    <w:next w:val="IEEEStdsParagraph"/>
    <w:rsid w:val="00157242"/>
    <w:pPr>
      <w:keepNext/>
      <w:keepLines/>
      <w:numPr>
        <w:numId w:val="4"/>
      </w:numPr>
      <w:suppressAutoHyphens/>
      <w:spacing w:before="360"/>
      <w:jc w:val="left"/>
      <w:outlineLvl w:val="0"/>
    </w:pPr>
    <w:rPr>
      <w:rFonts w:ascii="Arial" w:hAnsi="Arial"/>
      <w:b/>
      <w:sz w:val="24"/>
    </w:rPr>
  </w:style>
  <w:style w:type="paragraph" w:customStyle="1" w:styleId="IEEEStdsLevel4Header">
    <w:name w:val="IEEEStds Level 4 Header"/>
    <w:basedOn w:val="IEEEStdsLevel3Header"/>
    <w:next w:val="IEEEStdsParagraph"/>
    <w:rsid w:val="00157242"/>
    <w:pPr>
      <w:numPr>
        <w:ilvl w:val="3"/>
      </w:numPr>
      <w:outlineLvl w:val="3"/>
    </w:pPr>
  </w:style>
  <w:style w:type="paragraph" w:customStyle="1" w:styleId="IEEEStdsLevel3Header">
    <w:name w:val="IEEEStds Level 3 Header"/>
    <w:basedOn w:val="IEEEStdsLevel2Header"/>
    <w:next w:val="IEEEStdsParagraph"/>
    <w:rsid w:val="00157242"/>
    <w:pPr>
      <w:numPr>
        <w:ilvl w:val="2"/>
      </w:numPr>
      <w:spacing w:before="240"/>
      <w:outlineLvl w:val="2"/>
    </w:pPr>
    <w:rPr>
      <w:sz w:val="20"/>
    </w:rPr>
  </w:style>
  <w:style w:type="paragraph" w:customStyle="1" w:styleId="IEEEStdsLevel2Header">
    <w:name w:val="IEEEStds Level 2 Header"/>
    <w:basedOn w:val="IEEEStdsLevel1Header"/>
    <w:next w:val="IEEEStdsParagraph"/>
    <w:rsid w:val="00157242"/>
    <w:pPr>
      <w:numPr>
        <w:ilvl w:val="1"/>
      </w:numPr>
      <w:outlineLvl w:val="1"/>
    </w:pPr>
    <w:rPr>
      <w:sz w:val="22"/>
    </w:rPr>
  </w:style>
  <w:style w:type="paragraph" w:customStyle="1" w:styleId="IEEEStdsLevel5Header">
    <w:name w:val="IEEEStds Level 5 Header"/>
    <w:basedOn w:val="IEEEStdsLevel4Header"/>
    <w:next w:val="IEEEStdsParagraph"/>
    <w:rsid w:val="00157242"/>
    <w:pPr>
      <w:numPr>
        <w:ilvl w:val="4"/>
      </w:numPr>
      <w:outlineLvl w:val="4"/>
    </w:pPr>
  </w:style>
  <w:style w:type="paragraph" w:customStyle="1" w:styleId="IEEEStdsLevel6Header">
    <w:name w:val="IEEEStds Level 6 Header"/>
    <w:basedOn w:val="IEEEStdsLevel5Header"/>
    <w:next w:val="IEEEStdsParagraph"/>
    <w:rsid w:val="00157242"/>
    <w:pPr>
      <w:numPr>
        <w:ilvl w:val="5"/>
      </w:numPr>
      <w:outlineLvl w:val="5"/>
    </w:pPr>
  </w:style>
  <w:style w:type="paragraph" w:customStyle="1" w:styleId="IEEEStdsLevel7Header">
    <w:name w:val="IEEEStds Level 7 Header"/>
    <w:basedOn w:val="IEEEStdsLevel6Header"/>
    <w:next w:val="IEEEStdsParagraph"/>
    <w:rsid w:val="00157242"/>
    <w:pPr>
      <w:numPr>
        <w:ilvl w:val="6"/>
      </w:numPr>
      <w:outlineLvl w:val="6"/>
    </w:pPr>
  </w:style>
  <w:style w:type="paragraph" w:customStyle="1" w:styleId="IEEEStdsLevel8Header">
    <w:name w:val="IEEEStds Level 8 Header"/>
    <w:basedOn w:val="IEEEStdsLevel7Header"/>
    <w:next w:val="IEEEStdsParagraph"/>
    <w:rsid w:val="00157242"/>
    <w:pPr>
      <w:numPr>
        <w:ilvl w:val="7"/>
      </w:numPr>
      <w:outlineLvl w:val="7"/>
    </w:pPr>
  </w:style>
  <w:style w:type="paragraph" w:customStyle="1" w:styleId="IEEEStdsLevel9Header">
    <w:name w:val="IEEEStds Level 9 Header"/>
    <w:basedOn w:val="IEEEStdsLevel8Header"/>
    <w:next w:val="IEEEStdsParagraph"/>
    <w:rsid w:val="00157242"/>
    <w:pPr>
      <w:numPr>
        <w:ilvl w:val="8"/>
      </w:numPr>
      <w:outlineLvl w:val="8"/>
    </w:pPr>
  </w:style>
  <w:style w:type="paragraph" w:customStyle="1" w:styleId="IEEEStdsRegularTableCaption">
    <w:name w:val="IEEEStds Regular Table Caption"/>
    <w:basedOn w:val="IEEEStdsParagraph"/>
    <w:next w:val="IEEEStdsParagraph"/>
    <w:rsid w:val="00DE2F9A"/>
    <w:pPr>
      <w:keepNext/>
      <w:keepLines/>
      <w:numPr>
        <w:numId w:val="5"/>
      </w:numPr>
      <w:tabs>
        <w:tab w:val="clear" w:pos="1080"/>
        <w:tab w:val="left" w:pos="360"/>
        <w:tab w:val="left" w:pos="432"/>
        <w:tab w:val="left" w:pos="504"/>
      </w:tabs>
      <w:suppressAutoHyphens/>
      <w:spacing w:before="120" w:after="120"/>
      <w:jc w:val="center"/>
    </w:pPr>
    <w:rPr>
      <w:rFonts w:ascii="Arial" w:hAnsi="Arial"/>
      <w:b/>
    </w:rPr>
  </w:style>
  <w:style w:type="character" w:styleId="CommentReference">
    <w:name w:val="annotation reference"/>
    <w:basedOn w:val="DefaultParagraphFont"/>
    <w:rsid w:val="000561F8"/>
    <w:rPr>
      <w:sz w:val="16"/>
      <w:szCs w:val="16"/>
    </w:rPr>
  </w:style>
  <w:style w:type="paragraph" w:styleId="CommentText">
    <w:name w:val="annotation text"/>
    <w:basedOn w:val="Normal"/>
    <w:link w:val="CommentTextChar"/>
    <w:rsid w:val="000561F8"/>
    <w:rPr>
      <w:sz w:val="20"/>
    </w:rPr>
  </w:style>
  <w:style w:type="character" w:customStyle="1" w:styleId="CommentTextChar">
    <w:name w:val="Comment Text Char"/>
    <w:basedOn w:val="DefaultParagraphFont"/>
    <w:link w:val="CommentText"/>
    <w:rsid w:val="000561F8"/>
    <w:rPr>
      <w:lang w:val="en-GB" w:eastAsia="en-US"/>
    </w:rPr>
  </w:style>
  <w:style w:type="paragraph" w:styleId="CommentSubject">
    <w:name w:val="annotation subject"/>
    <w:basedOn w:val="CommentText"/>
    <w:next w:val="CommentText"/>
    <w:link w:val="CommentSubjectChar"/>
    <w:rsid w:val="000561F8"/>
    <w:rPr>
      <w:b/>
      <w:bCs/>
    </w:rPr>
  </w:style>
  <w:style w:type="character" w:customStyle="1" w:styleId="CommentSubjectChar">
    <w:name w:val="Comment Subject Char"/>
    <w:basedOn w:val="CommentTextChar"/>
    <w:link w:val="CommentSubject"/>
    <w:rsid w:val="000561F8"/>
    <w:rPr>
      <w:b/>
      <w:bCs/>
      <w:lang w:val="en-GB" w:eastAsia="en-US"/>
    </w:rPr>
  </w:style>
  <w:style w:type="paragraph" w:styleId="Revision">
    <w:name w:val="Revision"/>
    <w:hidden/>
    <w:uiPriority w:val="99"/>
    <w:semiHidden/>
    <w:rsid w:val="000561F8"/>
    <w:rPr>
      <w:sz w:val="22"/>
      <w:lang w:val="en-GB" w:eastAsia="en-US"/>
    </w:rPr>
  </w:style>
  <w:style w:type="paragraph" w:styleId="BalloonText">
    <w:name w:val="Balloon Text"/>
    <w:basedOn w:val="Normal"/>
    <w:link w:val="BalloonTextChar"/>
    <w:rsid w:val="000561F8"/>
    <w:rPr>
      <w:rFonts w:ascii="Segoe UI" w:hAnsi="Segoe UI" w:cs="Segoe UI"/>
      <w:sz w:val="18"/>
      <w:szCs w:val="18"/>
    </w:rPr>
  </w:style>
  <w:style w:type="character" w:customStyle="1" w:styleId="BalloonTextChar">
    <w:name w:val="Balloon Text Char"/>
    <w:basedOn w:val="DefaultParagraphFont"/>
    <w:link w:val="BalloonText"/>
    <w:rsid w:val="000561F8"/>
    <w:rPr>
      <w:rFonts w:ascii="Segoe UI" w:hAnsi="Segoe UI" w:cs="Segoe UI"/>
      <w:sz w:val="18"/>
      <w:szCs w:val="18"/>
      <w:lang w:val="en-GB" w:eastAsia="en-US"/>
    </w:rPr>
  </w:style>
  <w:style w:type="paragraph" w:customStyle="1" w:styleId="IEEEStdsMultipleNotes">
    <w:name w:val="IEEEStds Multiple Notes"/>
    <w:basedOn w:val="Normal"/>
    <w:rsid w:val="00A93C4F"/>
    <w:pPr>
      <w:keepLines/>
      <w:numPr>
        <w:numId w:val="8"/>
      </w:numPr>
      <w:tabs>
        <w:tab w:val="left" w:pos="799"/>
        <w:tab w:val="left" w:pos="864"/>
        <w:tab w:val="left" w:pos="936"/>
      </w:tabs>
      <w:spacing w:before="120" w:after="120"/>
      <w:jc w:val="both"/>
    </w:pPr>
    <w:rPr>
      <w:sz w:val="18"/>
      <w:lang w:val="en-US" w:eastAsia="ja-JP"/>
    </w:rPr>
  </w:style>
  <w:style w:type="paragraph" w:customStyle="1" w:styleId="IEEEStdsTableColumnHead">
    <w:name w:val="IEEEStds Table Column Head"/>
    <w:basedOn w:val="IEEEStdsParagraph"/>
    <w:rsid w:val="00A93C4F"/>
    <w:pPr>
      <w:keepNext/>
      <w:keepLines/>
      <w:spacing w:after="0"/>
      <w:jc w:val="center"/>
    </w:pPr>
    <w:rPr>
      <w:b/>
      <w:sz w:val="18"/>
    </w:rPr>
  </w:style>
  <w:style w:type="paragraph" w:customStyle="1" w:styleId="IEEEStdsTableData-Left">
    <w:name w:val="IEEEStds Table Data - Left"/>
    <w:basedOn w:val="IEEEStdsParagraph"/>
    <w:rsid w:val="00A93C4F"/>
    <w:pPr>
      <w:keepNext/>
      <w:keepLines/>
      <w:spacing w:after="0"/>
      <w:jc w:val="left"/>
    </w:pPr>
    <w:rPr>
      <w:sz w:val="18"/>
    </w:rPr>
  </w:style>
  <w:style w:type="paragraph" w:customStyle="1" w:styleId="IEEEStdsTableData-Center">
    <w:name w:val="IEEEStds Table Data - Center"/>
    <w:basedOn w:val="IEEEStdsParagraph"/>
    <w:rsid w:val="000767E6"/>
    <w:pPr>
      <w:keepNext/>
      <w:keepLines/>
      <w:spacing w:after="0"/>
      <w:jc w:val="center"/>
    </w:pPr>
    <w:rPr>
      <w:sz w:val="18"/>
    </w:rPr>
  </w:style>
  <w:style w:type="paragraph" w:customStyle="1" w:styleId="IEEEStdsNumberedListLevel1">
    <w:name w:val="IEEEStds Numbered List Level 1"/>
    <w:rsid w:val="000767E6"/>
    <w:pPr>
      <w:numPr>
        <w:numId w:val="10"/>
      </w:numPr>
      <w:spacing w:before="60" w:after="60"/>
      <w:jc w:val="both"/>
      <w:outlineLvl w:val="0"/>
    </w:pPr>
    <w:rPr>
      <w:lang w:eastAsia="ja-JP"/>
    </w:rPr>
  </w:style>
  <w:style w:type="paragraph" w:customStyle="1" w:styleId="IEEEStdsNumberedListLevel2">
    <w:name w:val="IEEEStds Numbered List Level 2"/>
    <w:basedOn w:val="IEEEStdsNumberedListLevel1"/>
    <w:rsid w:val="000767E6"/>
    <w:pPr>
      <w:numPr>
        <w:ilvl w:val="1"/>
      </w:numPr>
      <w:outlineLvl w:val="1"/>
    </w:pPr>
  </w:style>
  <w:style w:type="paragraph" w:customStyle="1" w:styleId="IEEEStdsNumberedListLevel3">
    <w:name w:val="IEEEStds Numbered List Level 3"/>
    <w:basedOn w:val="IEEEStdsNumberedListLevel2"/>
    <w:rsid w:val="000767E6"/>
    <w:pPr>
      <w:numPr>
        <w:ilvl w:val="2"/>
      </w:numPr>
      <w:tabs>
        <w:tab w:val="left" w:pos="1512"/>
      </w:tabs>
      <w:outlineLvl w:val="2"/>
    </w:pPr>
  </w:style>
  <w:style w:type="paragraph" w:customStyle="1" w:styleId="IEEEStdsNumberedListLevel4">
    <w:name w:val="IEEEStds Numbered List Level 4"/>
    <w:basedOn w:val="IEEEStdsNumberedListLevel3"/>
    <w:rsid w:val="000767E6"/>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0767E6"/>
    <w:pPr>
      <w:numPr>
        <w:ilvl w:val="4"/>
      </w:numPr>
      <w:tabs>
        <w:tab w:val="clear" w:pos="1958"/>
        <w:tab w:val="left" w:pos="2405"/>
      </w:tabs>
      <w:outlineLvl w:val="4"/>
    </w:pPr>
  </w:style>
  <w:style w:type="character" w:customStyle="1" w:styleId="fontstyle01">
    <w:name w:val="fontstyle01"/>
    <w:basedOn w:val="DefaultParagraphFont"/>
    <w:rsid w:val="00BC5C48"/>
    <w:rPr>
      <w:rFonts w:ascii="Times New Roman" w:hAnsi="Times New Roman" w:cs="Times New Roman" w:hint="default"/>
      <w:b w:val="0"/>
      <w:bCs w:val="0"/>
      <w:i w:val="0"/>
      <w:iCs w:val="0"/>
      <w:color w:val="000000"/>
      <w:sz w:val="20"/>
      <w:szCs w:val="20"/>
    </w:rPr>
  </w:style>
  <w:style w:type="character" w:styleId="PlaceholderText">
    <w:name w:val="Placeholder Text"/>
    <w:basedOn w:val="DefaultParagraphFont"/>
    <w:uiPriority w:val="99"/>
    <w:semiHidden/>
    <w:rsid w:val="00077C3D"/>
    <w:rPr>
      <w:color w:val="808080"/>
    </w:rPr>
  </w:style>
  <w:style w:type="table" w:styleId="TableGrid">
    <w:name w:val="Table Grid"/>
    <w:basedOn w:val="TableNormal"/>
    <w:rsid w:val="008879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4">
    <w:name w:val="H4"/>
    <w:aliases w:val="1.1.1.1"/>
    <w:next w:val="Normal"/>
    <w:uiPriority w:val="99"/>
    <w:rsid w:val="007A0FC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customStyle="1" w:styleId="Body">
    <w:name w:val="Body"/>
    <w:rsid w:val="00547C59"/>
    <w:pPr>
      <w:widowControl w:val="0"/>
      <w:autoSpaceDE w:val="0"/>
      <w:autoSpaceDN w:val="0"/>
      <w:adjustRightInd w:val="0"/>
      <w:spacing w:before="480" w:line="240" w:lineRule="atLeast"/>
      <w:jc w:val="both"/>
    </w:pPr>
    <w:rPr>
      <w:rFonts w:eastAsiaTheme="minorEastAsia"/>
      <w:color w:val="000000"/>
      <w:w w:val="1"/>
    </w:rPr>
  </w:style>
  <w:style w:type="paragraph" w:customStyle="1" w:styleId="CellBody">
    <w:name w:val="CellBody"/>
    <w:uiPriority w:val="99"/>
    <w:rsid w:val="00547C59"/>
    <w:pPr>
      <w:widowControl w:val="0"/>
      <w:suppressAutoHyphens/>
      <w:autoSpaceDE w:val="0"/>
      <w:autoSpaceDN w:val="0"/>
      <w:adjustRightInd w:val="0"/>
      <w:spacing w:line="200" w:lineRule="atLeast"/>
    </w:pPr>
    <w:rPr>
      <w:rFonts w:eastAsiaTheme="minorEastAsia"/>
      <w:color w:val="000000"/>
      <w:w w:val="1"/>
      <w:sz w:val="18"/>
      <w:szCs w:val="18"/>
    </w:rPr>
  </w:style>
  <w:style w:type="paragraph" w:customStyle="1" w:styleId="CellHeading">
    <w:name w:val="CellHeading"/>
    <w:uiPriority w:val="99"/>
    <w:rsid w:val="00547C59"/>
    <w:pPr>
      <w:widowControl w:val="0"/>
      <w:suppressAutoHyphens/>
      <w:autoSpaceDE w:val="0"/>
      <w:autoSpaceDN w:val="0"/>
      <w:adjustRightInd w:val="0"/>
      <w:spacing w:line="200" w:lineRule="atLeast"/>
      <w:jc w:val="center"/>
    </w:pPr>
    <w:rPr>
      <w:rFonts w:eastAsiaTheme="minorEastAsia"/>
      <w:b/>
      <w:bCs/>
      <w:color w:val="000000"/>
      <w:w w:val="1"/>
      <w:sz w:val="18"/>
      <w:szCs w:val="18"/>
    </w:rPr>
  </w:style>
  <w:style w:type="paragraph" w:customStyle="1" w:styleId="TableTitle">
    <w:name w:val="TableTitle"/>
    <w:next w:val="Normal"/>
    <w:uiPriority w:val="99"/>
    <w:rsid w:val="00547C59"/>
    <w:pPr>
      <w:widowControl w:val="0"/>
      <w:autoSpaceDE w:val="0"/>
      <w:autoSpaceDN w:val="0"/>
      <w:adjustRightInd w:val="0"/>
      <w:spacing w:line="240" w:lineRule="atLeast"/>
      <w:jc w:val="center"/>
    </w:pPr>
    <w:rPr>
      <w:rFonts w:ascii="Arial" w:eastAsiaTheme="minorEastAsia" w:hAnsi="Arial" w:cs="Arial"/>
      <w:b/>
      <w:bCs/>
      <w:color w:val="000000"/>
      <w:w w:val="1"/>
    </w:rPr>
  </w:style>
  <w:style w:type="character" w:customStyle="1" w:styleId="fontstyle21">
    <w:name w:val="fontstyle21"/>
    <w:basedOn w:val="DefaultParagraphFont"/>
    <w:rsid w:val="003436AA"/>
    <w:rPr>
      <w:rFonts w:ascii="TimesNewRomanPSMT" w:eastAsia="TimesNewRomanPSMT" w:hAnsi="TimesNewRomanPSMT" w:hint="eastAsia"/>
      <w:b w:val="0"/>
      <w:bCs w:val="0"/>
      <w:i w:val="0"/>
      <w:iCs w:val="0"/>
      <w:color w:val="000000"/>
    </w:rPr>
  </w:style>
  <w:style w:type="paragraph" w:styleId="NormalWeb">
    <w:name w:val="Normal (Web)"/>
    <w:basedOn w:val="Normal"/>
    <w:uiPriority w:val="99"/>
    <w:unhideWhenUsed/>
    <w:rsid w:val="00430F6F"/>
    <w:pPr>
      <w:spacing w:before="100" w:beforeAutospacing="1" w:after="100" w:afterAutospacing="1"/>
    </w:pPr>
    <w:rPr>
      <w:rFonts w:ascii="SimSun" w:hAnsi="SimSun" w:cs="SimSun"/>
      <w:sz w:val="24"/>
      <w:szCs w:val="24"/>
      <w:lang w:val="en-US" w:eastAsia="zh-CN"/>
    </w:rPr>
  </w:style>
  <w:style w:type="paragraph" w:customStyle="1" w:styleId="Default">
    <w:name w:val="Default"/>
    <w:rsid w:val="00584CCF"/>
    <w:pPr>
      <w:widowControl w:val="0"/>
      <w:autoSpaceDE w:val="0"/>
      <w:autoSpaceDN w:val="0"/>
      <w:adjustRightInd w:val="0"/>
    </w:pPr>
    <w:rPr>
      <w:color w:val="000000"/>
      <w:sz w:val="24"/>
      <w:szCs w:val="24"/>
    </w:rPr>
  </w:style>
  <w:style w:type="table" w:styleId="TableGridLight">
    <w:name w:val="Grid Table Light"/>
    <w:basedOn w:val="TableNormal"/>
    <w:uiPriority w:val="40"/>
    <w:rsid w:val="007F3B0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956211">
      <w:bodyDiv w:val="1"/>
      <w:marLeft w:val="0"/>
      <w:marRight w:val="0"/>
      <w:marTop w:val="0"/>
      <w:marBottom w:val="0"/>
      <w:divBdr>
        <w:top w:val="none" w:sz="0" w:space="0" w:color="auto"/>
        <w:left w:val="none" w:sz="0" w:space="0" w:color="auto"/>
        <w:bottom w:val="none" w:sz="0" w:space="0" w:color="auto"/>
        <w:right w:val="none" w:sz="0" w:space="0" w:color="auto"/>
      </w:divBdr>
    </w:div>
    <w:div w:id="44834625">
      <w:bodyDiv w:val="1"/>
      <w:marLeft w:val="0"/>
      <w:marRight w:val="0"/>
      <w:marTop w:val="0"/>
      <w:marBottom w:val="0"/>
      <w:divBdr>
        <w:top w:val="none" w:sz="0" w:space="0" w:color="auto"/>
        <w:left w:val="none" w:sz="0" w:space="0" w:color="auto"/>
        <w:bottom w:val="none" w:sz="0" w:space="0" w:color="auto"/>
        <w:right w:val="none" w:sz="0" w:space="0" w:color="auto"/>
      </w:divBdr>
    </w:div>
    <w:div w:id="45492786">
      <w:bodyDiv w:val="1"/>
      <w:marLeft w:val="0"/>
      <w:marRight w:val="0"/>
      <w:marTop w:val="0"/>
      <w:marBottom w:val="0"/>
      <w:divBdr>
        <w:top w:val="none" w:sz="0" w:space="0" w:color="auto"/>
        <w:left w:val="none" w:sz="0" w:space="0" w:color="auto"/>
        <w:bottom w:val="none" w:sz="0" w:space="0" w:color="auto"/>
        <w:right w:val="none" w:sz="0" w:space="0" w:color="auto"/>
      </w:divBdr>
    </w:div>
    <w:div w:id="54670385">
      <w:bodyDiv w:val="1"/>
      <w:marLeft w:val="0"/>
      <w:marRight w:val="0"/>
      <w:marTop w:val="0"/>
      <w:marBottom w:val="0"/>
      <w:divBdr>
        <w:top w:val="none" w:sz="0" w:space="0" w:color="auto"/>
        <w:left w:val="none" w:sz="0" w:space="0" w:color="auto"/>
        <w:bottom w:val="none" w:sz="0" w:space="0" w:color="auto"/>
        <w:right w:val="none" w:sz="0" w:space="0" w:color="auto"/>
      </w:divBdr>
    </w:div>
    <w:div w:id="144245148">
      <w:bodyDiv w:val="1"/>
      <w:marLeft w:val="0"/>
      <w:marRight w:val="0"/>
      <w:marTop w:val="0"/>
      <w:marBottom w:val="0"/>
      <w:divBdr>
        <w:top w:val="none" w:sz="0" w:space="0" w:color="auto"/>
        <w:left w:val="none" w:sz="0" w:space="0" w:color="auto"/>
        <w:bottom w:val="none" w:sz="0" w:space="0" w:color="auto"/>
        <w:right w:val="none" w:sz="0" w:space="0" w:color="auto"/>
      </w:divBdr>
    </w:div>
    <w:div w:id="319623367">
      <w:bodyDiv w:val="1"/>
      <w:marLeft w:val="0"/>
      <w:marRight w:val="0"/>
      <w:marTop w:val="0"/>
      <w:marBottom w:val="0"/>
      <w:divBdr>
        <w:top w:val="none" w:sz="0" w:space="0" w:color="auto"/>
        <w:left w:val="none" w:sz="0" w:space="0" w:color="auto"/>
        <w:bottom w:val="none" w:sz="0" w:space="0" w:color="auto"/>
        <w:right w:val="none" w:sz="0" w:space="0" w:color="auto"/>
      </w:divBdr>
    </w:div>
    <w:div w:id="334235532">
      <w:bodyDiv w:val="1"/>
      <w:marLeft w:val="0"/>
      <w:marRight w:val="0"/>
      <w:marTop w:val="0"/>
      <w:marBottom w:val="0"/>
      <w:divBdr>
        <w:top w:val="none" w:sz="0" w:space="0" w:color="auto"/>
        <w:left w:val="none" w:sz="0" w:space="0" w:color="auto"/>
        <w:bottom w:val="none" w:sz="0" w:space="0" w:color="auto"/>
        <w:right w:val="none" w:sz="0" w:space="0" w:color="auto"/>
      </w:divBdr>
    </w:div>
    <w:div w:id="350498085">
      <w:bodyDiv w:val="1"/>
      <w:marLeft w:val="0"/>
      <w:marRight w:val="0"/>
      <w:marTop w:val="0"/>
      <w:marBottom w:val="0"/>
      <w:divBdr>
        <w:top w:val="none" w:sz="0" w:space="0" w:color="auto"/>
        <w:left w:val="none" w:sz="0" w:space="0" w:color="auto"/>
        <w:bottom w:val="none" w:sz="0" w:space="0" w:color="auto"/>
        <w:right w:val="none" w:sz="0" w:space="0" w:color="auto"/>
      </w:divBdr>
    </w:div>
    <w:div w:id="363287130">
      <w:bodyDiv w:val="1"/>
      <w:marLeft w:val="0"/>
      <w:marRight w:val="0"/>
      <w:marTop w:val="0"/>
      <w:marBottom w:val="0"/>
      <w:divBdr>
        <w:top w:val="none" w:sz="0" w:space="0" w:color="auto"/>
        <w:left w:val="none" w:sz="0" w:space="0" w:color="auto"/>
        <w:bottom w:val="none" w:sz="0" w:space="0" w:color="auto"/>
        <w:right w:val="none" w:sz="0" w:space="0" w:color="auto"/>
      </w:divBdr>
    </w:div>
    <w:div w:id="373844529">
      <w:bodyDiv w:val="1"/>
      <w:marLeft w:val="0"/>
      <w:marRight w:val="0"/>
      <w:marTop w:val="0"/>
      <w:marBottom w:val="0"/>
      <w:divBdr>
        <w:top w:val="none" w:sz="0" w:space="0" w:color="auto"/>
        <w:left w:val="none" w:sz="0" w:space="0" w:color="auto"/>
        <w:bottom w:val="none" w:sz="0" w:space="0" w:color="auto"/>
        <w:right w:val="none" w:sz="0" w:space="0" w:color="auto"/>
      </w:divBdr>
    </w:div>
    <w:div w:id="387612590">
      <w:bodyDiv w:val="1"/>
      <w:marLeft w:val="0"/>
      <w:marRight w:val="0"/>
      <w:marTop w:val="0"/>
      <w:marBottom w:val="0"/>
      <w:divBdr>
        <w:top w:val="none" w:sz="0" w:space="0" w:color="auto"/>
        <w:left w:val="none" w:sz="0" w:space="0" w:color="auto"/>
        <w:bottom w:val="none" w:sz="0" w:space="0" w:color="auto"/>
        <w:right w:val="none" w:sz="0" w:space="0" w:color="auto"/>
      </w:divBdr>
    </w:div>
    <w:div w:id="523788201">
      <w:bodyDiv w:val="1"/>
      <w:marLeft w:val="0"/>
      <w:marRight w:val="0"/>
      <w:marTop w:val="0"/>
      <w:marBottom w:val="0"/>
      <w:divBdr>
        <w:top w:val="none" w:sz="0" w:space="0" w:color="auto"/>
        <w:left w:val="none" w:sz="0" w:space="0" w:color="auto"/>
        <w:bottom w:val="none" w:sz="0" w:space="0" w:color="auto"/>
        <w:right w:val="none" w:sz="0" w:space="0" w:color="auto"/>
      </w:divBdr>
    </w:div>
    <w:div w:id="554508710">
      <w:bodyDiv w:val="1"/>
      <w:marLeft w:val="0"/>
      <w:marRight w:val="0"/>
      <w:marTop w:val="0"/>
      <w:marBottom w:val="0"/>
      <w:divBdr>
        <w:top w:val="none" w:sz="0" w:space="0" w:color="auto"/>
        <w:left w:val="none" w:sz="0" w:space="0" w:color="auto"/>
        <w:bottom w:val="none" w:sz="0" w:space="0" w:color="auto"/>
        <w:right w:val="none" w:sz="0" w:space="0" w:color="auto"/>
      </w:divBdr>
    </w:div>
    <w:div w:id="735854968">
      <w:bodyDiv w:val="1"/>
      <w:marLeft w:val="0"/>
      <w:marRight w:val="0"/>
      <w:marTop w:val="0"/>
      <w:marBottom w:val="0"/>
      <w:divBdr>
        <w:top w:val="none" w:sz="0" w:space="0" w:color="auto"/>
        <w:left w:val="none" w:sz="0" w:space="0" w:color="auto"/>
        <w:bottom w:val="none" w:sz="0" w:space="0" w:color="auto"/>
        <w:right w:val="none" w:sz="0" w:space="0" w:color="auto"/>
      </w:divBdr>
    </w:div>
    <w:div w:id="806820966">
      <w:bodyDiv w:val="1"/>
      <w:marLeft w:val="0"/>
      <w:marRight w:val="0"/>
      <w:marTop w:val="0"/>
      <w:marBottom w:val="0"/>
      <w:divBdr>
        <w:top w:val="none" w:sz="0" w:space="0" w:color="auto"/>
        <w:left w:val="none" w:sz="0" w:space="0" w:color="auto"/>
        <w:bottom w:val="none" w:sz="0" w:space="0" w:color="auto"/>
        <w:right w:val="none" w:sz="0" w:space="0" w:color="auto"/>
      </w:divBdr>
    </w:div>
    <w:div w:id="820006229">
      <w:bodyDiv w:val="1"/>
      <w:marLeft w:val="0"/>
      <w:marRight w:val="0"/>
      <w:marTop w:val="0"/>
      <w:marBottom w:val="0"/>
      <w:divBdr>
        <w:top w:val="none" w:sz="0" w:space="0" w:color="auto"/>
        <w:left w:val="none" w:sz="0" w:space="0" w:color="auto"/>
        <w:bottom w:val="none" w:sz="0" w:space="0" w:color="auto"/>
        <w:right w:val="none" w:sz="0" w:space="0" w:color="auto"/>
      </w:divBdr>
    </w:div>
    <w:div w:id="833692276">
      <w:bodyDiv w:val="1"/>
      <w:marLeft w:val="0"/>
      <w:marRight w:val="0"/>
      <w:marTop w:val="0"/>
      <w:marBottom w:val="0"/>
      <w:divBdr>
        <w:top w:val="none" w:sz="0" w:space="0" w:color="auto"/>
        <w:left w:val="none" w:sz="0" w:space="0" w:color="auto"/>
        <w:bottom w:val="none" w:sz="0" w:space="0" w:color="auto"/>
        <w:right w:val="none" w:sz="0" w:space="0" w:color="auto"/>
      </w:divBdr>
    </w:div>
    <w:div w:id="835920832">
      <w:bodyDiv w:val="1"/>
      <w:marLeft w:val="0"/>
      <w:marRight w:val="0"/>
      <w:marTop w:val="0"/>
      <w:marBottom w:val="0"/>
      <w:divBdr>
        <w:top w:val="none" w:sz="0" w:space="0" w:color="auto"/>
        <w:left w:val="none" w:sz="0" w:space="0" w:color="auto"/>
        <w:bottom w:val="none" w:sz="0" w:space="0" w:color="auto"/>
        <w:right w:val="none" w:sz="0" w:space="0" w:color="auto"/>
      </w:divBdr>
      <w:divsChild>
        <w:div w:id="220942872">
          <w:marLeft w:val="547"/>
          <w:marRight w:val="0"/>
          <w:marTop w:val="0"/>
          <w:marBottom w:val="0"/>
          <w:divBdr>
            <w:top w:val="none" w:sz="0" w:space="0" w:color="auto"/>
            <w:left w:val="none" w:sz="0" w:space="0" w:color="auto"/>
            <w:bottom w:val="none" w:sz="0" w:space="0" w:color="auto"/>
            <w:right w:val="none" w:sz="0" w:space="0" w:color="auto"/>
          </w:divBdr>
        </w:div>
        <w:div w:id="1204051639">
          <w:marLeft w:val="547"/>
          <w:marRight w:val="0"/>
          <w:marTop w:val="0"/>
          <w:marBottom w:val="0"/>
          <w:divBdr>
            <w:top w:val="none" w:sz="0" w:space="0" w:color="auto"/>
            <w:left w:val="none" w:sz="0" w:space="0" w:color="auto"/>
            <w:bottom w:val="none" w:sz="0" w:space="0" w:color="auto"/>
            <w:right w:val="none" w:sz="0" w:space="0" w:color="auto"/>
          </w:divBdr>
        </w:div>
      </w:divsChild>
    </w:div>
    <w:div w:id="869100215">
      <w:bodyDiv w:val="1"/>
      <w:marLeft w:val="0"/>
      <w:marRight w:val="0"/>
      <w:marTop w:val="0"/>
      <w:marBottom w:val="0"/>
      <w:divBdr>
        <w:top w:val="none" w:sz="0" w:space="0" w:color="auto"/>
        <w:left w:val="none" w:sz="0" w:space="0" w:color="auto"/>
        <w:bottom w:val="none" w:sz="0" w:space="0" w:color="auto"/>
        <w:right w:val="none" w:sz="0" w:space="0" w:color="auto"/>
      </w:divBdr>
    </w:div>
    <w:div w:id="893197977">
      <w:bodyDiv w:val="1"/>
      <w:marLeft w:val="0"/>
      <w:marRight w:val="0"/>
      <w:marTop w:val="0"/>
      <w:marBottom w:val="0"/>
      <w:divBdr>
        <w:top w:val="none" w:sz="0" w:space="0" w:color="auto"/>
        <w:left w:val="none" w:sz="0" w:space="0" w:color="auto"/>
        <w:bottom w:val="none" w:sz="0" w:space="0" w:color="auto"/>
        <w:right w:val="none" w:sz="0" w:space="0" w:color="auto"/>
      </w:divBdr>
    </w:div>
    <w:div w:id="913515885">
      <w:bodyDiv w:val="1"/>
      <w:marLeft w:val="0"/>
      <w:marRight w:val="0"/>
      <w:marTop w:val="0"/>
      <w:marBottom w:val="0"/>
      <w:divBdr>
        <w:top w:val="none" w:sz="0" w:space="0" w:color="auto"/>
        <w:left w:val="none" w:sz="0" w:space="0" w:color="auto"/>
        <w:bottom w:val="none" w:sz="0" w:space="0" w:color="auto"/>
        <w:right w:val="none" w:sz="0" w:space="0" w:color="auto"/>
      </w:divBdr>
    </w:div>
    <w:div w:id="913859881">
      <w:bodyDiv w:val="1"/>
      <w:marLeft w:val="0"/>
      <w:marRight w:val="0"/>
      <w:marTop w:val="0"/>
      <w:marBottom w:val="0"/>
      <w:divBdr>
        <w:top w:val="none" w:sz="0" w:space="0" w:color="auto"/>
        <w:left w:val="none" w:sz="0" w:space="0" w:color="auto"/>
        <w:bottom w:val="none" w:sz="0" w:space="0" w:color="auto"/>
        <w:right w:val="none" w:sz="0" w:space="0" w:color="auto"/>
      </w:divBdr>
    </w:div>
    <w:div w:id="941642089">
      <w:bodyDiv w:val="1"/>
      <w:marLeft w:val="0"/>
      <w:marRight w:val="0"/>
      <w:marTop w:val="0"/>
      <w:marBottom w:val="0"/>
      <w:divBdr>
        <w:top w:val="none" w:sz="0" w:space="0" w:color="auto"/>
        <w:left w:val="none" w:sz="0" w:space="0" w:color="auto"/>
        <w:bottom w:val="none" w:sz="0" w:space="0" w:color="auto"/>
        <w:right w:val="none" w:sz="0" w:space="0" w:color="auto"/>
      </w:divBdr>
    </w:div>
    <w:div w:id="949320096">
      <w:bodyDiv w:val="1"/>
      <w:marLeft w:val="0"/>
      <w:marRight w:val="0"/>
      <w:marTop w:val="0"/>
      <w:marBottom w:val="0"/>
      <w:divBdr>
        <w:top w:val="none" w:sz="0" w:space="0" w:color="auto"/>
        <w:left w:val="none" w:sz="0" w:space="0" w:color="auto"/>
        <w:bottom w:val="none" w:sz="0" w:space="0" w:color="auto"/>
        <w:right w:val="none" w:sz="0" w:space="0" w:color="auto"/>
      </w:divBdr>
    </w:div>
    <w:div w:id="989213311">
      <w:bodyDiv w:val="1"/>
      <w:marLeft w:val="0"/>
      <w:marRight w:val="0"/>
      <w:marTop w:val="0"/>
      <w:marBottom w:val="0"/>
      <w:divBdr>
        <w:top w:val="none" w:sz="0" w:space="0" w:color="auto"/>
        <w:left w:val="none" w:sz="0" w:space="0" w:color="auto"/>
        <w:bottom w:val="none" w:sz="0" w:space="0" w:color="auto"/>
        <w:right w:val="none" w:sz="0" w:space="0" w:color="auto"/>
      </w:divBdr>
    </w:div>
    <w:div w:id="1030254893">
      <w:bodyDiv w:val="1"/>
      <w:marLeft w:val="0"/>
      <w:marRight w:val="0"/>
      <w:marTop w:val="0"/>
      <w:marBottom w:val="0"/>
      <w:divBdr>
        <w:top w:val="none" w:sz="0" w:space="0" w:color="auto"/>
        <w:left w:val="none" w:sz="0" w:space="0" w:color="auto"/>
        <w:bottom w:val="none" w:sz="0" w:space="0" w:color="auto"/>
        <w:right w:val="none" w:sz="0" w:space="0" w:color="auto"/>
      </w:divBdr>
    </w:div>
    <w:div w:id="1034161103">
      <w:bodyDiv w:val="1"/>
      <w:marLeft w:val="0"/>
      <w:marRight w:val="0"/>
      <w:marTop w:val="0"/>
      <w:marBottom w:val="0"/>
      <w:divBdr>
        <w:top w:val="none" w:sz="0" w:space="0" w:color="auto"/>
        <w:left w:val="none" w:sz="0" w:space="0" w:color="auto"/>
        <w:bottom w:val="none" w:sz="0" w:space="0" w:color="auto"/>
        <w:right w:val="none" w:sz="0" w:space="0" w:color="auto"/>
      </w:divBdr>
    </w:div>
    <w:div w:id="1053041489">
      <w:bodyDiv w:val="1"/>
      <w:marLeft w:val="0"/>
      <w:marRight w:val="0"/>
      <w:marTop w:val="0"/>
      <w:marBottom w:val="0"/>
      <w:divBdr>
        <w:top w:val="none" w:sz="0" w:space="0" w:color="auto"/>
        <w:left w:val="none" w:sz="0" w:space="0" w:color="auto"/>
        <w:bottom w:val="none" w:sz="0" w:space="0" w:color="auto"/>
        <w:right w:val="none" w:sz="0" w:space="0" w:color="auto"/>
      </w:divBdr>
    </w:div>
    <w:div w:id="1088036202">
      <w:bodyDiv w:val="1"/>
      <w:marLeft w:val="0"/>
      <w:marRight w:val="0"/>
      <w:marTop w:val="0"/>
      <w:marBottom w:val="0"/>
      <w:divBdr>
        <w:top w:val="none" w:sz="0" w:space="0" w:color="auto"/>
        <w:left w:val="none" w:sz="0" w:space="0" w:color="auto"/>
        <w:bottom w:val="none" w:sz="0" w:space="0" w:color="auto"/>
        <w:right w:val="none" w:sz="0" w:space="0" w:color="auto"/>
      </w:divBdr>
    </w:div>
    <w:div w:id="1101604126">
      <w:bodyDiv w:val="1"/>
      <w:marLeft w:val="0"/>
      <w:marRight w:val="0"/>
      <w:marTop w:val="0"/>
      <w:marBottom w:val="0"/>
      <w:divBdr>
        <w:top w:val="none" w:sz="0" w:space="0" w:color="auto"/>
        <w:left w:val="none" w:sz="0" w:space="0" w:color="auto"/>
        <w:bottom w:val="none" w:sz="0" w:space="0" w:color="auto"/>
        <w:right w:val="none" w:sz="0" w:space="0" w:color="auto"/>
      </w:divBdr>
    </w:div>
    <w:div w:id="1148591296">
      <w:bodyDiv w:val="1"/>
      <w:marLeft w:val="0"/>
      <w:marRight w:val="0"/>
      <w:marTop w:val="0"/>
      <w:marBottom w:val="0"/>
      <w:divBdr>
        <w:top w:val="none" w:sz="0" w:space="0" w:color="auto"/>
        <w:left w:val="none" w:sz="0" w:space="0" w:color="auto"/>
        <w:bottom w:val="none" w:sz="0" w:space="0" w:color="auto"/>
        <w:right w:val="none" w:sz="0" w:space="0" w:color="auto"/>
      </w:divBdr>
    </w:div>
    <w:div w:id="1197810466">
      <w:bodyDiv w:val="1"/>
      <w:marLeft w:val="0"/>
      <w:marRight w:val="0"/>
      <w:marTop w:val="0"/>
      <w:marBottom w:val="0"/>
      <w:divBdr>
        <w:top w:val="none" w:sz="0" w:space="0" w:color="auto"/>
        <w:left w:val="none" w:sz="0" w:space="0" w:color="auto"/>
        <w:bottom w:val="none" w:sz="0" w:space="0" w:color="auto"/>
        <w:right w:val="none" w:sz="0" w:space="0" w:color="auto"/>
      </w:divBdr>
    </w:div>
    <w:div w:id="1211334450">
      <w:bodyDiv w:val="1"/>
      <w:marLeft w:val="0"/>
      <w:marRight w:val="0"/>
      <w:marTop w:val="0"/>
      <w:marBottom w:val="0"/>
      <w:divBdr>
        <w:top w:val="none" w:sz="0" w:space="0" w:color="auto"/>
        <w:left w:val="none" w:sz="0" w:space="0" w:color="auto"/>
        <w:bottom w:val="none" w:sz="0" w:space="0" w:color="auto"/>
        <w:right w:val="none" w:sz="0" w:space="0" w:color="auto"/>
      </w:divBdr>
    </w:div>
    <w:div w:id="1264727035">
      <w:bodyDiv w:val="1"/>
      <w:marLeft w:val="0"/>
      <w:marRight w:val="0"/>
      <w:marTop w:val="0"/>
      <w:marBottom w:val="0"/>
      <w:divBdr>
        <w:top w:val="none" w:sz="0" w:space="0" w:color="auto"/>
        <w:left w:val="none" w:sz="0" w:space="0" w:color="auto"/>
        <w:bottom w:val="none" w:sz="0" w:space="0" w:color="auto"/>
        <w:right w:val="none" w:sz="0" w:space="0" w:color="auto"/>
      </w:divBdr>
    </w:div>
    <w:div w:id="1326780336">
      <w:bodyDiv w:val="1"/>
      <w:marLeft w:val="0"/>
      <w:marRight w:val="0"/>
      <w:marTop w:val="0"/>
      <w:marBottom w:val="0"/>
      <w:divBdr>
        <w:top w:val="none" w:sz="0" w:space="0" w:color="auto"/>
        <w:left w:val="none" w:sz="0" w:space="0" w:color="auto"/>
        <w:bottom w:val="none" w:sz="0" w:space="0" w:color="auto"/>
        <w:right w:val="none" w:sz="0" w:space="0" w:color="auto"/>
      </w:divBdr>
    </w:div>
    <w:div w:id="1334068357">
      <w:bodyDiv w:val="1"/>
      <w:marLeft w:val="0"/>
      <w:marRight w:val="0"/>
      <w:marTop w:val="0"/>
      <w:marBottom w:val="0"/>
      <w:divBdr>
        <w:top w:val="none" w:sz="0" w:space="0" w:color="auto"/>
        <w:left w:val="none" w:sz="0" w:space="0" w:color="auto"/>
        <w:bottom w:val="none" w:sz="0" w:space="0" w:color="auto"/>
        <w:right w:val="none" w:sz="0" w:space="0" w:color="auto"/>
      </w:divBdr>
    </w:div>
    <w:div w:id="1363481546">
      <w:bodyDiv w:val="1"/>
      <w:marLeft w:val="0"/>
      <w:marRight w:val="0"/>
      <w:marTop w:val="0"/>
      <w:marBottom w:val="0"/>
      <w:divBdr>
        <w:top w:val="none" w:sz="0" w:space="0" w:color="auto"/>
        <w:left w:val="none" w:sz="0" w:space="0" w:color="auto"/>
        <w:bottom w:val="none" w:sz="0" w:space="0" w:color="auto"/>
        <w:right w:val="none" w:sz="0" w:space="0" w:color="auto"/>
      </w:divBdr>
    </w:div>
    <w:div w:id="1433938481">
      <w:bodyDiv w:val="1"/>
      <w:marLeft w:val="0"/>
      <w:marRight w:val="0"/>
      <w:marTop w:val="0"/>
      <w:marBottom w:val="0"/>
      <w:divBdr>
        <w:top w:val="none" w:sz="0" w:space="0" w:color="auto"/>
        <w:left w:val="none" w:sz="0" w:space="0" w:color="auto"/>
        <w:bottom w:val="none" w:sz="0" w:space="0" w:color="auto"/>
        <w:right w:val="none" w:sz="0" w:space="0" w:color="auto"/>
      </w:divBdr>
    </w:div>
    <w:div w:id="1436749967">
      <w:bodyDiv w:val="1"/>
      <w:marLeft w:val="0"/>
      <w:marRight w:val="0"/>
      <w:marTop w:val="0"/>
      <w:marBottom w:val="0"/>
      <w:divBdr>
        <w:top w:val="none" w:sz="0" w:space="0" w:color="auto"/>
        <w:left w:val="none" w:sz="0" w:space="0" w:color="auto"/>
        <w:bottom w:val="none" w:sz="0" w:space="0" w:color="auto"/>
        <w:right w:val="none" w:sz="0" w:space="0" w:color="auto"/>
      </w:divBdr>
    </w:div>
    <w:div w:id="1442342110">
      <w:bodyDiv w:val="1"/>
      <w:marLeft w:val="0"/>
      <w:marRight w:val="0"/>
      <w:marTop w:val="0"/>
      <w:marBottom w:val="0"/>
      <w:divBdr>
        <w:top w:val="none" w:sz="0" w:space="0" w:color="auto"/>
        <w:left w:val="none" w:sz="0" w:space="0" w:color="auto"/>
        <w:bottom w:val="none" w:sz="0" w:space="0" w:color="auto"/>
        <w:right w:val="none" w:sz="0" w:space="0" w:color="auto"/>
      </w:divBdr>
    </w:div>
    <w:div w:id="1470709418">
      <w:bodyDiv w:val="1"/>
      <w:marLeft w:val="0"/>
      <w:marRight w:val="0"/>
      <w:marTop w:val="0"/>
      <w:marBottom w:val="0"/>
      <w:divBdr>
        <w:top w:val="none" w:sz="0" w:space="0" w:color="auto"/>
        <w:left w:val="none" w:sz="0" w:space="0" w:color="auto"/>
        <w:bottom w:val="none" w:sz="0" w:space="0" w:color="auto"/>
        <w:right w:val="none" w:sz="0" w:space="0" w:color="auto"/>
      </w:divBdr>
    </w:div>
    <w:div w:id="1491482471">
      <w:bodyDiv w:val="1"/>
      <w:marLeft w:val="0"/>
      <w:marRight w:val="0"/>
      <w:marTop w:val="0"/>
      <w:marBottom w:val="0"/>
      <w:divBdr>
        <w:top w:val="none" w:sz="0" w:space="0" w:color="auto"/>
        <w:left w:val="none" w:sz="0" w:space="0" w:color="auto"/>
        <w:bottom w:val="none" w:sz="0" w:space="0" w:color="auto"/>
        <w:right w:val="none" w:sz="0" w:space="0" w:color="auto"/>
      </w:divBdr>
    </w:div>
    <w:div w:id="1513110936">
      <w:bodyDiv w:val="1"/>
      <w:marLeft w:val="0"/>
      <w:marRight w:val="0"/>
      <w:marTop w:val="0"/>
      <w:marBottom w:val="0"/>
      <w:divBdr>
        <w:top w:val="none" w:sz="0" w:space="0" w:color="auto"/>
        <w:left w:val="none" w:sz="0" w:space="0" w:color="auto"/>
        <w:bottom w:val="none" w:sz="0" w:space="0" w:color="auto"/>
        <w:right w:val="none" w:sz="0" w:space="0" w:color="auto"/>
      </w:divBdr>
    </w:div>
    <w:div w:id="1522890863">
      <w:bodyDiv w:val="1"/>
      <w:marLeft w:val="0"/>
      <w:marRight w:val="0"/>
      <w:marTop w:val="0"/>
      <w:marBottom w:val="0"/>
      <w:divBdr>
        <w:top w:val="none" w:sz="0" w:space="0" w:color="auto"/>
        <w:left w:val="none" w:sz="0" w:space="0" w:color="auto"/>
        <w:bottom w:val="none" w:sz="0" w:space="0" w:color="auto"/>
        <w:right w:val="none" w:sz="0" w:space="0" w:color="auto"/>
      </w:divBdr>
    </w:div>
    <w:div w:id="1574386640">
      <w:bodyDiv w:val="1"/>
      <w:marLeft w:val="0"/>
      <w:marRight w:val="0"/>
      <w:marTop w:val="0"/>
      <w:marBottom w:val="0"/>
      <w:divBdr>
        <w:top w:val="none" w:sz="0" w:space="0" w:color="auto"/>
        <w:left w:val="none" w:sz="0" w:space="0" w:color="auto"/>
        <w:bottom w:val="none" w:sz="0" w:space="0" w:color="auto"/>
        <w:right w:val="none" w:sz="0" w:space="0" w:color="auto"/>
      </w:divBdr>
    </w:div>
    <w:div w:id="1581862644">
      <w:bodyDiv w:val="1"/>
      <w:marLeft w:val="0"/>
      <w:marRight w:val="0"/>
      <w:marTop w:val="0"/>
      <w:marBottom w:val="0"/>
      <w:divBdr>
        <w:top w:val="none" w:sz="0" w:space="0" w:color="auto"/>
        <w:left w:val="none" w:sz="0" w:space="0" w:color="auto"/>
        <w:bottom w:val="none" w:sz="0" w:space="0" w:color="auto"/>
        <w:right w:val="none" w:sz="0" w:space="0" w:color="auto"/>
      </w:divBdr>
    </w:div>
    <w:div w:id="1627350173">
      <w:bodyDiv w:val="1"/>
      <w:marLeft w:val="0"/>
      <w:marRight w:val="0"/>
      <w:marTop w:val="0"/>
      <w:marBottom w:val="0"/>
      <w:divBdr>
        <w:top w:val="none" w:sz="0" w:space="0" w:color="auto"/>
        <w:left w:val="none" w:sz="0" w:space="0" w:color="auto"/>
        <w:bottom w:val="none" w:sz="0" w:space="0" w:color="auto"/>
        <w:right w:val="none" w:sz="0" w:space="0" w:color="auto"/>
      </w:divBdr>
    </w:div>
    <w:div w:id="1629698312">
      <w:bodyDiv w:val="1"/>
      <w:marLeft w:val="0"/>
      <w:marRight w:val="0"/>
      <w:marTop w:val="0"/>
      <w:marBottom w:val="0"/>
      <w:divBdr>
        <w:top w:val="none" w:sz="0" w:space="0" w:color="auto"/>
        <w:left w:val="none" w:sz="0" w:space="0" w:color="auto"/>
        <w:bottom w:val="none" w:sz="0" w:space="0" w:color="auto"/>
        <w:right w:val="none" w:sz="0" w:space="0" w:color="auto"/>
      </w:divBdr>
    </w:div>
    <w:div w:id="1672248900">
      <w:bodyDiv w:val="1"/>
      <w:marLeft w:val="0"/>
      <w:marRight w:val="0"/>
      <w:marTop w:val="0"/>
      <w:marBottom w:val="0"/>
      <w:divBdr>
        <w:top w:val="none" w:sz="0" w:space="0" w:color="auto"/>
        <w:left w:val="none" w:sz="0" w:space="0" w:color="auto"/>
        <w:bottom w:val="none" w:sz="0" w:space="0" w:color="auto"/>
        <w:right w:val="none" w:sz="0" w:space="0" w:color="auto"/>
      </w:divBdr>
    </w:div>
    <w:div w:id="1688408411">
      <w:bodyDiv w:val="1"/>
      <w:marLeft w:val="0"/>
      <w:marRight w:val="0"/>
      <w:marTop w:val="0"/>
      <w:marBottom w:val="0"/>
      <w:divBdr>
        <w:top w:val="none" w:sz="0" w:space="0" w:color="auto"/>
        <w:left w:val="none" w:sz="0" w:space="0" w:color="auto"/>
        <w:bottom w:val="none" w:sz="0" w:space="0" w:color="auto"/>
        <w:right w:val="none" w:sz="0" w:space="0" w:color="auto"/>
      </w:divBdr>
    </w:div>
    <w:div w:id="1688797756">
      <w:bodyDiv w:val="1"/>
      <w:marLeft w:val="0"/>
      <w:marRight w:val="0"/>
      <w:marTop w:val="0"/>
      <w:marBottom w:val="0"/>
      <w:divBdr>
        <w:top w:val="none" w:sz="0" w:space="0" w:color="auto"/>
        <w:left w:val="none" w:sz="0" w:space="0" w:color="auto"/>
        <w:bottom w:val="none" w:sz="0" w:space="0" w:color="auto"/>
        <w:right w:val="none" w:sz="0" w:space="0" w:color="auto"/>
      </w:divBdr>
    </w:div>
    <w:div w:id="1699963897">
      <w:bodyDiv w:val="1"/>
      <w:marLeft w:val="0"/>
      <w:marRight w:val="0"/>
      <w:marTop w:val="0"/>
      <w:marBottom w:val="0"/>
      <w:divBdr>
        <w:top w:val="none" w:sz="0" w:space="0" w:color="auto"/>
        <w:left w:val="none" w:sz="0" w:space="0" w:color="auto"/>
        <w:bottom w:val="none" w:sz="0" w:space="0" w:color="auto"/>
        <w:right w:val="none" w:sz="0" w:space="0" w:color="auto"/>
      </w:divBdr>
    </w:div>
    <w:div w:id="1707561105">
      <w:bodyDiv w:val="1"/>
      <w:marLeft w:val="0"/>
      <w:marRight w:val="0"/>
      <w:marTop w:val="0"/>
      <w:marBottom w:val="0"/>
      <w:divBdr>
        <w:top w:val="none" w:sz="0" w:space="0" w:color="auto"/>
        <w:left w:val="none" w:sz="0" w:space="0" w:color="auto"/>
        <w:bottom w:val="none" w:sz="0" w:space="0" w:color="auto"/>
        <w:right w:val="none" w:sz="0" w:space="0" w:color="auto"/>
      </w:divBdr>
    </w:div>
    <w:div w:id="1759523499">
      <w:bodyDiv w:val="1"/>
      <w:marLeft w:val="0"/>
      <w:marRight w:val="0"/>
      <w:marTop w:val="0"/>
      <w:marBottom w:val="0"/>
      <w:divBdr>
        <w:top w:val="none" w:sz="0" w:space="0" w:color="auto"/>
        <w:left w:val="none" w:sz="0" w:space="0" w:color="auto"/>
        <w:bottom w:val="none" w:sz="0" w:space="0" w:color="auto"/>
        <w:right w:val="none" w:sz="0" w:space="0" w:color="auto"/>
      </w:divBdr>
    </w:div>
    <w:div w:id="1780761526">
      <w:bodyDiv w:val="1"/>
      <w:marLeft w:val="0"/>
      <w:marRight w:val="0"/>
      <w:marTop w:val="0"/>
      <w:marBottom w:val="0"/>
      <w:divBdr>
        <w:top w:val="none" w:sz="0" w:space="0" w:color="auto"/>
        <w:left w:val="none" w:sz="0" w:space="0" w:color="auto"/>
        <w:bottom w:val="none" w:sz="0" w:space="0" w:color="auto"/>
        <w:right w:val="none" w:sz="0" w:space="0" w:color="auto"/>
      </w:divBdr>
    </w:div>
    <w:div w:id="1894657645">
      <w:bodyDiv w:val="1"/>
      <w:marLeft w:val="0"/>
      <w:marRight w:val="0"/>
      <w:marTop w:val="0"/>
      <w:marBottom w:val="0"/>
      <w:divBdr>
        <w:top w:val="none" w:sz="0" w:space="0" w:color="auto"/>
        <w:left w:val="none" w:sz="0" w:space="0" w:color="auto"/>
        <w:bottom w:val="none" w:sz="0" w:space="0" w:color="auto"/>
        <w:right w:val="none" w:sz="0" w:space="0" w:color="auto"/>
      </w:divBdr>
    </w:div>
    <w:div w:id="1934706647">
      <w:bodyDiv w:val="1"/>
      <w:marLeft w:val="0"/>
      <w:marRight w:val="0"/>
      <w:marTop w:val="0"/>
      <w:marBottom w:val="0"/>
      <w:divBdr>
        <w:top w:val="none" w:sz="0" w:space="0" w:color="auto"/>
        <w:left w:val="none" w:sz="0" w:space="0" w:color="auto"/>
        <w:bottom w:val="none" w:sz="0" w:space="0" w:color="auto"/>
        <w:right w:val="none" w:sz="0" w:space="0" w:color="auto"/>
      </w:divBdr>
    </w:div>
    <w:div w:id="1936815625">
      <w:bodyDiv w:val="1"/>
      <w:marLeft w:val="0"/>
      <w:marRight w:val="0"/>
      <w:marTop w:val="0"/>
      <w:marBottom w:val="0"/>
      <w:divBdr>
        <w:top w:val="none" w:sz="0" w:space="0" w:color="auto"/>
        <w:left w:val="none" w:sz="0" w:space="0" w:color="auto"/>
        <w:bottom w:val="none" w:sz="0" w:space="0" w:color="auto"/>
        <w:right w:val="none" w:sz="0" w:space="0" w:color="auto"/>
      </w:divBdr>
    </w:div>
    <w:div w:id="1962686037">
      <w:bodyDiv w:val="1"/>
      <w:marLeft w:val="0"/>
      <w:marRight w:val="0"/>
      <w:marTop w:val="0"/>
      <w:marBottom w:val="0"/>
      <w:divBdr>
        <w:top w:val="none" w:sz="0" w:space="0" w:color="auto"/>
        <w:left w:val="none" w:sz="0" w:space="0" w:color="auto"/>
        <w:bottom w:val="none" w:sz="0" w:space="0" w:color="auto"/>
        <w:right w:val="none" w:sz="0" w:space="0" w:color="auto"/>
      </w:divBdr>
    </w:div>
    <w:div w:id="1978878300">
      <w:bodyDiv w:val="1"/>
      <w:marLeft w:val="0"/>
      <w:marRight w:val="0"/>
      <w:marTop w:val="0"/>
      <w:marBottom w:val="0"/>
      <w:divBdr>
        <w:top w:val="none" w:sz="0" w:space="0" w:color="auto"/>
        <w:left w:val="none" w:sz="0" w:space="0" w:color="auto"/>
        <w:bottom w:val="none" w:sz="0" w:space="0" w:color="auto"/>
        <w:right w:val="none" w:sz="0" w:space="0" w:color="auto"/>
      </w:divBdr>
    </w:div>
    <w:div w:id="1998268913">
      <w:bodyDiv w:val="1"/>
      <w:marLeft w:val="0"/>
      <w:marRight w:val="0"/>
      <w:marTop w:val="0"/>
      <w:marBottom w:val="0"/>
      <w:divBdr>
        <w:top w:val="none" w:sz="0" w:space="0" w:color="auto"/>
        <w:left w:val="none" w:sz="0" w:space="0" w:color="auto"/>
        <w:bottom w:val="none" w:sz="0" w:space="0" w:color="auto"/>
        <w:right w:val="none" w:sz="0" w:space="0" w:color="auto"/>
      </w:divBdr>
    </w:div>
    <w:div w:id="2017921730">
      <w:bodyDiv w:val="1"/>
      <w:marLeft w:val="0"/>
      <w:marRight w:val="0"/>
      <w:marTop w:val="0"/>
      <w:marBottom w:val="0"/>
      <w:divBdr>
        <w:top w:val="none" w:sz="0" w:space="0" w:color="auto"/>
        <w:left w:val="none" w:sz="0" w:space="0" w:color="auto"/>
        <w:bottom w:val="none" w:sz="0" w:space="0" w:color="auto"/>
        <w:right w:val="none" w:sz="0" w:space="0" w:color="auto"/>
      </w:divBdr>
    </w:div>
    <w:div w:id="2034067896">
      <w:bodyDiv w:val="1"/>
      <w:marLeft w:val="0"/>
      <w:marRight w:val="0"/>
      <w:marTop w:val="0"/>
      <w:marBottom w:val="0"/>
      <w:divBdr>
        <w:top w:val="none" w:sz="0" w:space="0" w:color="auto"/>
        <w:left w:val="none" w:sz="0" w:space="0" w:color="auto"/>
        <w:bottom w:val="none" w:sz="0" w:space="0" w:color="auto"/>
        <w:right w:val="none" w:sz="0" w:space="0" w:color="auto"/>
      </w:divBdr>
    </w:div>
    <w:div w:id="2047563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uyang\Documents\Specs\11aySFDtext\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260082-85E4-40D3-8199-7F106D275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778</TotalTime>
  <Pages>5</Pages>
  <Words>1171</Words>
  <Characters>6678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doc.: IEEE 802.11-18/1580r0</vt:lpstr>
    </vt:vector>
  </TitlesOfParts>
  <Company>Some Company</Company>
  <LinksUpToDate>false</LinksUpToDate>
  <CharactersWithSpaces>7834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802.11-18/1580r0</dc:title>
  <dc:subject>Submission</dc:subject>
  <dc:creator>carlos.cordeiro@intel.com</dc:creator>
  <cp:keywords>September 2018</cp:keywords>
  <dc:description/>
  <cp:lastModifiedBy>Cordeiro, Carlos</cp:lastModifiedBy>
  <cp:revision>42</cp:revision>
  <cp:lastPrinted>2018-04-09T08:34:00Z</cp:lastPrinted>
  <dcterms:created xsi:type="dcterms:W3CDTF">2018-08-19T03:09:00Z</dcterms:created>
  <dcterms:modified xsi:type="dcterms:W3CDTF">2018-09-10T00:14:00Z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blob>PE5TQ1BIPgAAAEMARgAwADMAQQAwADgARQAxADgAQgA0AEUARgA2AEUAOAAxADcAQQBEADgAMAA0
ADcARAA5AEUAOAAxADEAMwA2AEUARAA1AEYARQAzADgARAAzADEAQQA1AEYAMABFADMAMgBCADgA
NQA0ADAAOAAxADIANwBBAEMARQA2ADIAAAA=</vt:blob>
  </property>
  <property fmtid="{D5CDD505-2E9C-101B-9397-08002B2CF9AE}" pid="2" name="TitusGUID">
    <vt:lpwstr>e5e2e5e4-2dab-4a41-9c0b-0e50ceb2f6ec</vt:lpwstr>
  </property>
  <property fmtid="{D5CDD505-2E9C-101B-9397-08002B2CF9AE}" pid="3" name="CTP_BU">
    <vt:lpwstr>WIRELESS CNV SOLUTIONS GROUP</vt:lpwstr>
  </property>
  <property fmtid="{D5CDD505-2E9C-101B-9397-08002B2CF9AE}" pid="4" name="CTP_TimeStamp">
    <vt:lpwstr>2018-03-21 13:23:20Z</vt:lpwstr>
  </property>
  <property fmtid="{D5CDD505-2E9C-101B-9397-08002B2CF9AE}" pid="5" name="CTPClassification">
    <vt:lpwstr>CTP_IC</vt:lpwstr>
  </property>
  <property fmtid="{D5CDD505-2E9C-101B-9397-08002B2CF9AE}" pid="6" name="_NewReviewCycle">
    <vt:lpwstr/>
  </property>
  <property fmtid="{D5CDD505-2E9C-101B-9397-08002B2CF9AE}" pid="7" name="NSCPROP_SA">
    <vt:lpwstr>C:\Users\mrison\AppData\Local\Temp\11-18-0889-01-000m-resolution-to-some-dmg-related-cids.docx</vt:lpwstr>
  </property>
</Properties>
</file>