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5E14" w:rsidP="00B72126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>for IMT-2020 EMBB Indoor Hotspot and Dense Urban</w:t>
            </w:r>
            <w:r w:rsidR="00181568">
              <w:t xml:space="preserve"> </w:t>
            </w:r>
            <w:r>
              <w:t>Test Environments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2018-09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74D3B">
        <w:trPr>
          <w:jc w:val="center"/>
        </w:trPr>
        <w:tc>
          <w:tcPr>
            <w:tcW w:w="2358" w:type="dxa"/>
            <w:vAlign w:val="center"/>
          </w:tcPr>
          <w:p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:rsidTr="00474D3B">
        <w:trPr>
          <w:jc w:val="center"/>
        </w:trPr>
        <w:tc>
          <w:tcPr>
            <w:tcW w:w="2358" w:type="dxa"/>
            <w:vAlign w:val="center"/>
          </w:tcPr>
          <w:p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:rsidTr="00474D3B">
        <w:trPr>
          <w:jc w:val="center"/>
        </w:trPr>
        <w:tc>
          <w:tcPr>
            <w:tcW w:w="2358" w:type="dxa"/>
            <w:vAlign w:val="center"/>
          </w:tcPr>
          <w:p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C1ABCCC">
                <wp:simplePos x="0" y="0"/>
                <wp:positionH relativeFrom="column">
                  <wp:posOffset>-60767</wp:posOffset>
                </wp:positionH>
                <wp:positionV relativeFrom="paragraph">
                  <wp:posOffset>203547</wp:posOffset>
                </wp:positionV>
                <wp:extent cx="5943600" cy="151049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D6694" w:rsidRDefault="006D6694">
                            <w:pPr>
                              <w:jc w:val="both"/>
                            </w:pPr>
                            <w:r>
                              <w:t xml:space="preserve">This document presents the self-evaluation of 802.11ax vis-à-vis the IMT-2020 minimum requirements for the Indoor Hotspot and Dense Urban test environments of the </w:t>
                            </w:r>
                            <w:proofErr w:type="spellStart"/>
                            <w:r>
                              <w:t>eMBB</w:t>
                            </w:r>
                            <w:proofErr w:type="spellEnd"/>
                            <w:r>
                              <w:t xml:space="preserve">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[1]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0c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" o:allowincell="f" stroked="f">
                <v:textbox>
                  <w:txbxContent>
                    <w:p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D6694" w:rsidRDefault="006D6694">
                      <w:pPr>
                        <w:jc w:val="both"/>
                      </w:pPr>
                      <w:r>
                        <w:t xml:space="preserve">This document presents the self-evaluation of 802.11ax vis-à-vis the IMT-2020 minimum requirements for the Indoor Hotspot and Dense Urban test environments of the </w:t>
                      </w:r>
                      <w:proofErr w:type="spellStart"/>
                      <w:r>
                        <w:t>eMBB</w:t>
                      </w:r>
                      <w:proofErr w:type="spellEnd"/>
                      <w:r>
                        <w:t xml:space="preserve">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[1]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EF0" w:rsidRDefault="00CA09B2">
      <w:r>
        <w:br w:type="page"/>
      </w:r>
    </w:p>
    <w:p w:rsidR="00D11EF0" w:rsidRDefault="00D11EF0"/>
    <w:p w:rsidR="00F05708" w:rsidRDefault="00F05708" w:rsidP="00FA20CC">
      <w:pPr>
        <w:pStyle w:val="Heading1"/>
      </w:pPr>
      <w:r>
        <w:t>Introduction</w:t>
      </w:r>
    </w:p>
    <w:p w:rsidR="003F381F" w:rsidRDefault="000A6CBE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90333F">
        <w:rPr>
          <w:rFonts w:ascii="Times" w:eastAsia="Batang" w:hAnsi="Times"/>
          <w:lang w:eastAsia="x-none"/>
        </w:rPr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[2]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90333F">
        <w:rPr>
          <w:rFonts w:ascii="Times" w:eastAsia="Batang" w:hAnsi="Times"/>
          <w:lang w:eastAsia="x-none"/>
        </w:rPr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[1]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proofErr w:type="spellStart"/>
      <w:proofErr w:type="gramStart"/>
      <w:r w:rsidR="009A0104">
        <w:rPr>
          <w:rFonts w:ascii="Times" w:eastAsia="Batang" w:hAnsi="Times"/>
          <w:lang w:eastAsia="x-none"/>
        </w:rPr>
        <w:t>eMBB</w:t>
      </w:r>
      <w:proofErr w:type="spellEnd"/>
      <w:proofErr w:type="gramEnd"/>
      <w:r w:rsidR="009A0104">
        <w:rPr>
          <w:rFonts w:ascii="Times" w:eastAsia="Batang" w:hAnsi="Times"/>
          <w:lang w:eastAsia="x-none"/>
        </w:rPr>
        <w:t xml:space="preserve"> (Enhanced Mobile Broadband</w:t>
      </w:r>
      <w:r w:rsidR="0090333F">
        <w:rPr>
          <w:rFonts w:ascii="Times" w:eastAsia="Batang" w:hAnsi="Times"/>
          <w:lang w:eastAsia="x-none"/>
        </w:rPr>
        <w:t xml:space="preserve">) is </w:t>
      </w:r>
      <w:r w:rsidR="0090333F">
        <w:rPr>
          <w:rFonts w:ascii="Times" w:eastAsia="Batang" w:hAnsi="Times"/>
          <w:lang w:eastAsia="x-none"/>
        </w:rPr>
        <w:t>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</w:t>
      </w:r>
      <w:r w:rsidR="0090333F">
        <w:rPr>
          <w:rFonts w:ascii="Times" w:eastAsia="Batang" w:hAnsi="Times"/>
          <w:lang w:eastAsia="x-none"/>
        </w:rPr>
        <w:t>usage scenario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>Indoor Hotspot and Dense Urban</w:t>
      </w:r>
      <w:r w:rsidR="003D79FE">
        <w:rPr>
          <w:rFonts w:ascii="Times" w:eastAsia="Batang" w:hAnsi="Times"/>
          <w:lang w:eastAsia="x-none"/>
        </w:rPr>
        <w:t xml:space="preserve"> are two test environments of </w:t>
      </w:r>
      <w:proofErr w:type="spellStart"/>
      <w:r w:rsidR="003D79FE">
        <w:rPr>
          <w:rFonts w:ascii="Times" w:eastAsia="Batang" w:hAnsi="Times"/>
          <w:lang w:eastAsia="x-none"/>
        </w:rPr>
        <w:t>eMBB</w:t>
      </w:r>
      <w:proofErr w:type="spellEnd"/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These test environments have the following characteristics:</w:t>
      </w:r>
    </w:p>
    <w:p w:rsidR="003F381F" w:rsidRPr="00FF7D7C" w:rsidRDefault="0090333F" w:rsidP="008B11DF">
      <w:pPr>
        <w:pStyle w:val="ListParagraph"/>
        <w:numPr>
          <w:ilvl w:val="0"/>
          <w:numId w:val="23"/>
        </w:numPr>
        <w:spacing w:before="240"/>
        <w:jc w:val="both"/>
        <w:rPr>
          <w:rFonts w:ascii="Times" w:eastAsia="Batang" w:hAnsi="Times"/>
          <w:lang w:eastAsia="x-none"/>
        </w:rPr>
      </w:pPr>
      <w:r w:rsidRPr="00FF7D7C">
        <w:rPr>
          <w:rFonts w:ascii="Times" w:eastAsia="Batang" w:hAnsi="Times"/>
          <w:lang w:eastAsia="x-none"/>
        </w:rPr>
        <w:t xml:space="preserve">Indoor Hotspot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  <w:r w:rsidR="003F381F" w:rsidRPr="00FF7D7C">
        <w:rPr>
          <w:rFonts w:ascii="Times" w:eastAsia="Batang" w:hAnsi="Times"/>
          <w:lang w:eastAsia="x-none"/>
        </w:rPr>
        <w:t>Legacy 802.11</w:t>
      </w:r>
      <w:r w:rsidR="00BE2CF2">
        <w:rPr>
          <w:rFonts w:ascii="Times" w:eastAsia="Batang" w:hAnsi="Times"/>
          <w:lang w:eastAsia="x-none"/>
        </w:rPr>
        <w:t xml:space="preserve"> (i.e. 802.11ac and earlier) is</w:t>
      </w:r>
      <w:r w:rsidR="003F381F" w:rsidRPr="00FF7D7C">
        <w:rPr>
          <w:rFonts w:ascii="Times" w:eastAsia="Batang" w:hAnsi="Times"/>
          <w:lang w:eastAsia="x-none"/>
        </w:rPr>
        <w:t xml:space="preserve"> almost always deployed in this environment.</w:t>
      </w:r>
    </w:p>
    <w:p w:rsidR="00E02156" w:rsidRPr="00E02156" w:rsidRDefault="003F381F" w:rsidP="008B11DF">
      <w:pPr>
        <w:pStyle w:val="ListParagraph"/>
        <w:numPr>
          <w:ilvl w:val="0"/>
          <w:numId w:val="23"/>
        </w:numPr>
        <w:spacing w:before="240"/>
        <w:jc w:val="both"/>
        <w:rPr>
          <w:rFonts w:ascii="Times" w:eastAsia="Batang" w:hAnsi="Times"/>
          <w:lang w:eastAsia="x-none"/>
        </w:rPr>
      </w:pPr>
      <w:r w:rsidRPr="00FF7D7C">
        <w:rPr>
          <w:rFonts w:ascii="Times" w:eastAsia="Batang" w:hAnsi="Times"/>
          <w:lang w:eastAsia="x-none"/>
        </w:rPr>
        <w:t xml:space="preserve">Dense Urban emulates an urban environment with high density of users that are either pedestrian or vehicular </w:t>
      </w:r>
      <w:r w:rsidR="00C81F04">
        <w:rPr>
          <w:rFonts w:ascii="Times" w:eastAsia="Batang" w:hAnsi="Times"/>
          <w:lang w:eastAsia="x-none"/>
        </w:rPr>
        <w:t xml:space="preserve">at slow </w:t>
      </w:r>
      <w:r w:rsidRPr="00FF7D7C">
        <w:rPr>
          <w:rFonts w:ascii="Times" w:eastAsia="Batang" w:hAnsi="Times"/>
          <w:lang w:eastAsia="x-none"/>
        </w:rPr>
        <w:t xml:space="preserve">speeds. </w:t>
      </w:r>
      <w:r w:rsidR="00FF7D7C" w:rsidRPr="00FF7D7C">
        <w:rPr>
          <w:rFonts w:ascii="Times" w:eastAsia="Batang" w:hAnsi="Times"/>
          <w:lang w:eastAsia="x-none"/>
        </w:rPr>
        <w:t xml:space="preserve">This is an </w:t>
      </w:r>
      <w:proofErr w:type="spellStart"/>
      <w:r w:rsidR="00FF7D7C" w:rsidRPr="00FF7D7C">
        <w:rPr>
          <w:rFonts w:ascii="Times" w:eastAsia="Batang" w:hAnsi="Times"/>
          <w:lang w:eastAsia="x-none"/>
        </w:rPr>
        <w:t>environement</w:t>
      </w:r>
      <w:proofErr w:type="spellEnd"/>
      <w:r w:rsidR="00FF7D7C" w:rsidRPr="00FF7D7C">
        <w:rPr>
          <w:rFonts w:ascii="Times" w:eastAsia="Batang" w:hAnsi="Times"/>
          <w:lang w:eastAsia="x-none"/>
        </w:rPr>
        <w:t xml:space="preserve"> where 802.11ax has been designed to operate in addition to Indoor Hotspot.</w:t>
      </w:r>
    </w:p>
    <w:p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above test environments</w:t>
      </w:r>
      <w:r w:rsidRPr="00C81F04">
        <w:rPr>
          <w:rFonts w:ascii="Times" w:eastAsia="Batang" w:hAnsi="Times"/>
          <w:lang w:eastAsia="x-none"/>
        </w:rPr>
        <w:t>.</w:t>
      </w:r>
    </w:p>
    <w:p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[1]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and Dense Urban </w:t>
      </w:r>
      <w:r>
        <w:rPr>
          <w:rFonts w:ascii="Times" w:eastAsia="Batang" w:hAnsi="Times"/>
          <w:lang w:eastAsia="x-none"/>
        </w:rPr>
        <w:t>test env</w:t>
      </w:r>
      <w:r w:rsidR="00C81F04">
        <w:rPr>
          <w:rFonts w:ascii="Times" w:eastAsia="Batang" w:hAnsi="Times"/>
          <w:lang w:eastAsia="x-none"/>
        </w:rPr>
        <w:t>ironments:</w:t>
      </w:r>
    </w:p>
    <w:p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[3]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 xml:space="preserve">the </w:t>
      </w:r>
      <w:proofErr w:type="spellStart"/>
      <w:r w:rsidR="00BE2CF2">
        <w:rPr>
          <w:rFonts w:ascii="Times" w:eastAsia="Batang" w:hAnsi="Times"/>
          <w:lang w:eastAsia="x-none"/>
        </w:rPr>
        <w:t>eMBB</w:t>
      </w:r>
      <w:proofErr w:type="spellEnd"/>
      <w:r w:rsidR="00BE2CF2">
        <w:rPr>
          <w:rFonts w:ascii="Times" w:eastAsia="Batang" w:hAnsi="Times"/>
          <w:lang w:eastAsia="x-none"/>
        </w:rPr>
        <w:t xml:space="preserve">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  <w:r w:rsidR="00717D39">
        <w:rPr>
          <w:rFonts w:ascii="Times" w:eastAsia="Batang" w:hAnsi="Times"/>
          <w:lang w:eastAsia="x-none"/>
        </w:rPr>
        <w:t xml:space="preserve">These documents also evaluate 802.11ax performance for the </w:t>
      </w:r>
      <w:proofErr w:type="spellStart"/>
      <w:r w:rsidR="00717D39">
        <w:rPr>
          <w:rFonts w:ascii="Times" w:eastAsia="Batang" w:hAnsi="Times"/>
          <w:lang w:eastAsia="x-none"/>
        </w:rPr>
        <w:t>eMBB</w:t>
      </w:r>
      <w:proofErr w:type="spellEnd"/>
      <w:r w:rsidR="00717D39">
        <w:rPr>
          <w:rFonts w:ascii="Times" w:eastAsia="Batang" w:hAnsi="Times"/>
          <w:lang w:eastAsia="x-none"/>
        </w:rPr>
        <w:t xml:space="preserve"> Dense Urba</w:t>
      </w:r>
      <w:r w:rsidR="00BE2CF2">
        <w:rPr>
          <w:rFonts w:ascii="Times" w:eastAsia="Batang" w:hAnsi="Times"/>
          <w:lang w:eastAsia="x-none"/>
        </w:rPr>
        <w:t>n environment</w:t>
      </w:r>
      <w:r w:rsidR="006B28C0">
        <w:rPr>
          <w:rFonts w:ascii="Times" w:eastAsia="Batang" w:hAnsi="Times"/>
          <w:lang w:eastAsia="x-none"/>
        </w:rPr>
        <w:t>.</w:t>
      </w:r>
      <w:r w:rsidR="00150A60">
        <w:rPr>
          <w:rFonts w:ascii="Times" w:eastAsia="Batang" w:hAnsi="Times"/>
          <w:lang w:eastAsia="x-none"/>
        </w:rPr>
        <w:t xml:space="preserve"> </w:t>
      </w:r>
      <w:r w:rsidR="005943F3">
        <w:rPr>
          <w:rFonts w:ascii="Times" w:eastAsia="Batang" w:hAnsi="Times"/>
          <w:lang w:eastAsia="x-none"/>
        </w:rPr>
        <w:t>T</w:t>
      </w:r>
      <w:r w:rsidR="00150A60">
        <w:rPr>
          <w:rFonts w:ascii="Times" w:eastAsia="Batang" w:hAnsi="Times"/>
          <w:lang w:eastAsia="x-none"/>
        </w:rPr>
        <w:t xml:space="preserve">he </w:t>
      </w:r>
      <w:r w:rsidR="005943F3">
        <w:rPr>
          <w:rFonts w:ascii="Times" w:eastAsia="Batang" w:hAnsi="Times"/>
          <w:lang w:eastAsia="x-none"/>
        </w:rPr>
        <w:t>De</w:t>
      </w:r>
      <w:r w:rsidR="00150A60">
        <w:rPr>
          <w:rFonts w:ascii="Times" w:eastAsia="Batang" w:hAnsi="Times"/>
          <w:lang w:eastAsia="x-none"/>
        </w:rPr>
        <w:t>nse Urban estimates for the metrics specified in point 2) above have been obtained via analytic estimates and not via the simu</w:t>
      </w:r>
      <w:r w:rsidR="00323A0E">
        <w:rPr>
          <w:rFonts w:ascii="Times" w:eastAsia="Batang" w:hAnsi="Times"/>
          <w:lang w:eastAsia="x-none"/>
        </w:rPr>
        <w:t>lation methodology specified in</w:t>
      </w:r>
      <w:r w:rsidR="006B28C0">
        <w:rPr>
          <w:rFonts w:ascii="Times" w:eastAsia="Batang" w:hAnsi="Times"/>
          <w:lang w:eastAsia="x-none"/>
        </w:rPr>
        <w:t xml:space="preserve"> </w:t>
      </w:r>
      <w:r w:rsidR="00BE2CF2">
        <w:rPr>
          <w:rFonts w:ascii="Times" w:eastAsia="Batang" w:hAnsi="Times"/>
          <w:lang w:eastAsia="x-none"/>
        </w:rPr>
        <w:fldChar w:fldCharType="begin"/>
      </w:r>
      <w:r w:rsidR="00BE2CF2">
        <w:rPr>
          <w:rFonts w:ascii="Times" w:eastAsia="Batang" w:hAnsi="Times"/>
          <w:lang w:eastAsia="x-none"/>
        </w:rPr>
        <w:instrText xml:space="preserve"> REF _Ref523765661 \r \h </w:instrText>
      </w:r>
      <w:r w:rsidR="00BE2CF2">
        <w:rPr>
          <w:rFonts w:ascii="Times" w:eastAsia="Batang" w:hAnsi="Times"/>
          <w:lang w:eastAsia="x-none"/>
        </w:rPr>
      </w:r>
      <w:r w:rsidR="00BE2CF2">
        <w:rPr>
          <w:rFonts w:ascii="Times" w:eastAsia="Batang" w:hAnsi="Times"/>
          <w:lang w:eastAsia="x-none"/>
        </w:rPr>
        <w:fldChar w:fldCharType="separate"/>
      </w:r>
      <w:r w:rsidR="00BE2CF2">
        <w:rPr>
          <w:rFonts w:ascii="Times" w:eastAsia="Batang" w:hAnsi="Times"/>
          <w:lang w:eastAsia="x-none"/>
        </w:rPr>
        <w:t>[2]</w:t>
      </w:r>
      <w:r w:rsidR="00BE2CF2">
        <w:rPr>
          <w:rFonts w:ascii="Times" w:eastAsia="Batang" w:hAnsi="Times"/>
          <w:lang w:eastAsia="x-none"/>
        </w:rPr>
        <w:fldChar w:fldCharType="end"/>
      </w:r>
      <w:r w:rsidR="00BE2CF2">
        <w:rPr>
          <w:rFonts w:ascii="Times" w:eastAsia="Batang" w:hAnsi="Times"/>
          <w:lang w:eastAsia="x-none"/>
        </w:rPr>
        <w:t>.</w:t>
      </w:r>
      <w:r w:rsidR="006B28C0">
        <w:rPr>
          <w:rFonts w:ascii="Times" w:eastAsia="Batang" w:hAnsi="Times"/>
          <w:lang w:eastAsia="x-none"/>
        </w:rPr>
        <w:t xml:space="preserve"> </w:t>
      </w:r>
      <w:r w:rsidR="00323A0E">
        <w:t>Efforts are underway to simulate</w:t>
      </w:r>
      <w:r w:rsidR="005943F3">
        <w:t xml:space="preserve"> these metrics; </w:t>
      </w:r>
      <w:r w:rsidR="00323A0E">
        <w:t>the simulations are expected to provide results</w:t>
      </w:r>
      <w:r w:rsidR="005943F3">
        <w:t xml:space="preserve"> similar to the analytic estimates</w:t>
      </w:r>
      <w:r w:rsidR="00323A0E">
        <w:t>.</w:t>
      </w:r>
    </w:p>
    <w:p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:rsidR="00717D39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 in its currently standardized form.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as allowed by the ITU-R configuration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</w:p>
    <w:p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701461" w:rsidRPr="005F1D84">
        <w:rPr>
          <w:rFonts w:ascii="Times" w:eastAsia="Batang" w:hAnsi="Times"/>
          <w:lang w:eastAsia="x-none"/>
        </w:rPr>
        <w:t>[6]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 xml:space="preserve">presented in this document with respect to the results presented in 3GPP for </w:t>
      </w:r>
      <w:proofErr w:type="spellStart"/>
      <w:r w:rsidR="005213CE" w:rsidRPr="005F1D84">
        <w:rPr>
          <w:rFonts w:ascii="Times" w:eastAsia="Batang" w:hAnsi="Times"/>
          <w:lang w:eastAsia="x-none"/>
        </w:rPr>
        <w:t>self evaluation</w:t>
      </w:r>
      <w:proofErr w:type="spellEnd"/>
      <w:r w:rsidR="005213CE" w:rsidRPr="005F1D84">
        <w:rPr>
          <w:rFonts w:ascii="Times" w:eastAsia="Batang" w:hAnsi="Times"/>
          <w:lang w:eastAsia="x-none"/>
        </w:rPr>
        <w:t xml:space="preserve"> of LTE and NR</w:t>
      </w:r>
      <w:r w:rsidRPr="005F1D84">
        <w:rPr>
          <w:rFonts w:ascii="Times" w:eastAsia="Batang" w:hAnsi="Times"/>
          <w:lang w:eastAsia="x-none"/>
        </w:rPr>
        <w:t>.</w:t>
      </w:r>
    </w:p>
    <w:p w:rsidR="00CD5740" w:rsidRDefault="00CD5740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:rsidR="005943F3" w:rsidRDefault="005943F3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ITU-R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[1]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specifies certain other performance metrics too that are applicable for </w:t>
      </w:r>
      <w:proofErr w:type="spellStart"/>
      <w:r>
        <w:rPr>
          <w:rFonts w:ascii="Times" w:eastAsia="Batang" w:hAnsi="Times"/>
          <w:lang w:eastAsia="x-none"/>
        </w:rPr>
        <w:t>eMBB</w:t>
      </w:r>
      <w:proofErr w:type="spellEnd"/>
      <w:r w:rsidR="00524C59">
        <w:rPr>
          <w:rFonts w:ascii="Times" w:eastAsia="Batang" w:hAnsi="Times"/>
          <w:lang w:eastAsia="x-none"/>
        </w:rPr>
        <w:t>;</w:t>
      </w:r>
      <w:r>
        <w:rPr>
          <w:rFonts w:ascii="Times" w:eastAsia="Batang" w:hAnsi="Times"/>
          <w:lang w:eastAsia="x-none"/>
        </w:rPr>
        <w:t xml:space="preserve"> not all of which are related to the PHY/MAC technology potential of a RAT. These are the User and Control Plane Latency, Energy Efficiency and Mobility Interruption Time. </w:t>
      </w:r>
    </w:p>
    <w:p w:rsidR="005943F3" w:rsidRDefault="005943F3" w:rsidP="00524C59">
      <w:pPr>
        <w:pStyle w:val="ListParagraph"/>
        <w:numPr>
          <w:ilvl w:val="0"/>
          <w:numId w:val="38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802.11ax is expected to easily satisfy the User Plane latency requirement of 4ms </w:t>
      </w:r>
      <w:r w:rsidR="00524C59">
        <w:rPr>
          <w:rFonts w:ascii="Times" w:eastAsia="Batang" w:hAnsi="Times"/>
          <w:lang w:eastAsia="x-none"/>
        </w:rPr>
        <w:t>in the given test configuration of an</w:t>
      </w:r>
      <w:r>
        <w:rPr>
          <w:rFonts w:ascii="Times" w:eastAsia="Batang" w:hAnsi="Times"/>
          <w:lang w:eastAsia="x-none"/>
        </w:rPr>
        <w:t xml:space="preserve"> unloaded network</w:t>
      </w:r>
      <w:r w:rsidR="00524C59">
        <w:rPr>
          <w:rFonts w:ascii="Times" w:eastAsia="Batang" w:hAnsi="Times"/>
          <w:lang w:eastAsia="x-none"/>
        </w:rPr>
        <w:t xml:space="preserve"> (section 4.7.1 of </w:t>
      </w:r>
      <w:r w:rsidR="00524C59">
        <w:rPr>
          <w:rFonts w:ascii="Times" w:eastAsia="Batang" w:hAnsi="Times"/>
          <w:lang w:eastAsia="x-none"/>
        </w:rPr>
        <w:fldChar w:fldCharType="begin"/>
      </w:r>
      <w:r w:rsidR="00524C59">
        <w:rPr>
          <w:rFonts w:ascii="Times" w:eastAsia="Batang" w:hAnsi="Times"/>
          <w:lang w:eastAsia="x-none"/>
        </w:rPr>
        <w:instrText xml:space="preserve"> REF _Ref523765654 \r \h </w:instrText>
      </w:r>
      <w:r w:rsidR="00524C59">
        <w:rPr>
          <w:rFonts w:ascii="Times" w:eastAsia="Batang" w:hAnsi="Times"/>
          <w:lang w:eastAsia="x-none"/>
        </w:rPr>
      </w:r>
      <w:r w:rsidR="00524C59">
        <w:rPr>
          <w:rFonts w:ascii="Times" w:eastAsia="Batang" w:hAnsi="Times"/>
          <w:lang w:eastAsia="x-none"/>
        </w:rPr>
        <w:fldChar w:fldCharType="separate"/>
      </w:r>
      <w:r w:rsidR="00524C59">
        <w:rPr>
          <w:rFonts w:ascii="Times" w:eastAsia="Batang" w:hAnsi="Times"/>
          <w:lang w:eastAsia="x-none"/>
        </w:rPr>
        <w:t>[1]</w:t>
      </w:r>
      <w:r w:rsidR="00524C59">
        <w:rPr>
          <w:rFonts w:ascii="Times" w:eastAsia="Batang" w:hAnsi="Times"/>
          <w:lang w:eastAsia="x-none"/>
        </w:rPr>
        <w:fldChar w:fldCharType="end"/>
      </w:r>
      <w:r w:rsidR="00524C59">
        <w:rPr>
          <w:rFonts w:ascii="Times" w:eastAsia="Batang" w:hAnsi="Times"/>
          <w:lang w:eastAsia="x-none"/>
        </w:rPr>
        <w:t>)</w:t>
      </w:r>
      <w:r>
        <w:rPr>
          <w:rFonts w:ascii="Times" w:eastAsia="Batang" w:hAnsi="Times"/>
          <w:lang w:eastAsia="x-none"/>
        </w:rPr>
        <w:t xml:space="preserve">. It is also expected to satisfy the Control Plane </w:t>
      </w:r>
      <w:proofErr w:type="spellStart"/>
      <w:r>
        <w:rPr>
          <w:rFonts w:ascii="Times" w:eastAsia="Batang" w:hAnsi="Times"/>
          <w:lang w:eastAsia="x-none"/>
        </w:rPr>
        <w:t>latecy</w:t>
      </w:r>
      <w:proofErr w:type="spellEnd"/>
      <w:r>
        <w:rPr>
          <w:rFonts w:ascii="Times" w:eastAsia="Batang" w:hAnsi="Times"/>
          <w:lang w:eastAsia="x-none"/>
        </w:rPr>
        <w:t xml:space="preserve"> of 20ms. </w:t>
      </w:r>
    </w:p>
    <w:p w:rsidR="005943F3" w:rsidRPr="005F1D84" w:rsidRDefault="001C1B74" w:rsidP="00524C59">
      <w:pPr>
        <w:pStyle w:val="ListParagraph"/>
        <w:numPr>
          <w:ilvl w:val="0"/>
          <w:numId w:val="38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Mobility Interruption Time and Energy Efficiency are under evaluation.</w:t>
      </w:r>
    </w:p>
    <w:p w:rsidR="00F05708" w:rsidRDefault="00F05708" w:rsidP="008B11DF"/>
    <w:p w:rsidR="00E02156" w:rsidRDefault="00E02156" w:rsidP="008B11DF">
      <w:r>
        <w:rPr>
          <w:rFonts w:ascii="Times" w:eastAsia="Batang" w:hAnsi="Times"/>
          <w:lang w:eastAsia="x-none"/>
        </w:rPr>
        <w:t>The following sections contain a summary of evaluation results.</w:t>
      </w:r>
    </w:p>
    <w:p w:rsidR="00476483" w:rsidRDefault="00476483" w:rsidP="008B11DF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Indoor Hotspot</w:t>
      </w:r>
    </w:p>
    <w:p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0"/>
        <w:gridCol w:w="2548"/>
        <w:gridCol w:w="2003"/>
        <w:gridCol w:w="1936"/>
        <w:gridCol w:w="2687"/>
      </w:tblGrid>
      <w:tr w:rsidR="00A41E35" w:rsidRPr="00094D63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 w:rsidRPr="006F7385">
              <w:rPr>
                <w:rFonts w:eastAsia="SimSun"/>
                <w:sz w:val="20"/>
              </w:rPr>
              <w:t xml:space="preserve">Evaluation </w:t>
            </w:r>
            <w:r w:rsidRPr="006F7385">
              <w:rPr>
                <w:sz w:val="20"/>
                <w:lang w:eastAsia="zh-CN"/>
              </w:rPr>
              <w:t>M</w:t>
            </w:r>
            <w:r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20/10 Gbps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Indoor </w:t>
            </w:r>
            <w:proofErr w:type="spellStart"/>
            <w:r>
              <w:rPr>
                <w:rFonts w:cs="Arial"/>
                <w:sz w:val="20"/>
                <w:lang w:eastAsia="ko-KR"/>
              </w:rPr>
              <w:t>Hotspot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 = 9/6.75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9.82/13.7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Required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DL </w:t>
            </w:r>
            <w:proofErr w:type="spellStart"/>
            <w:r>
              <w:rPr>
                <w:rFonts w:cs="Arial"/>
                <w:sz w:val="20"/>
                <w:lang w:eastAsia="ko-KR"/>
              </w:rPr>
              <w:t>bandwidth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= 170 MHz </w:t>
            </w:r>
            <w:proofErr w:type="spellStart"/>
            <w:r>
              <w:rPr>
                <w:rFonts w:cs="Arial"/>
                <w:sz w:val="20"/>
                <w:lang w:eastAsia="ko-KR"/>
              </w:rPr>
              <w:t>with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3 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>/site. [Note 4]</w:t>
            </w:r>
          </w:p>
        </w:tc>
      </w:tr>
      <w:tr w:rsidR="00A41E35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UL: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</w:tbl>
    <w:p w:rsidR="002C352E" w:rsidRDefault="002C352E" w:rsidP="00F05708"/>
    <w:p w:rsidR="00476483" w:rsidRDefault="00476483" w:rsidP="008C38C7"/>
    <w:p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:rsidR="006F710B" w:rsidRPr="00C93A1F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 xml:space="preserve">Area Traffic Capacity of 10 </w:t>
      </w:r>
      <w:proofErr w:type="spellStart"/>
      <w:r w:rsidRPr="00C93A1F">
        <w:rPr>
          <w:rFonts w:ascii="Times" w:eastAsia="Batang" w:hAnsi="Times"/>
          <w:lang w:eastAsia="x-none"/>
        </w:rPr>
        <w:t>Mbits</w:t>
      </w:r>
      <w:proofErr w:type="spellEnd"/>
      <w:r w:rsidRPr="00C93A1F">
        <w:rPr>
          <w:rFonts w:ascii="Times" w:eastAsia="Batang" w:hAnsi="Times"/>
          <w:lang w:eastAsia="x-none"/>
        </w:rPr>
        <w:t>/</w:t>
      </w:r>
      <w:proofErr w:type="gramStart"/>
      <w:r w:rsidRPr="00C93A1F">
        <w:rPr>
          <w:rFonts w:ascii="Times" w:eastAsia="Batang" w:hAnsi="Times"/>
          <w:lang w:eastAsia="x-none"/>
        </w:rPr>
        <w:t>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 </w:t>
      </w:r>
      <w:r>
        <w:rPr>
          <w:rFonts w:ascii="Times" w:eastAsia="Batang" w:hAnsi="Times"/>
          <w:lang w:eastAsia="x-none"/>
        </w:rPr>
        <w:t>are</w:t>
      </w:r>
      <w:proofErr w:type="gramEnd"/>
      <w:r>
        <w:rPr>
          <w:rFonts w:ascii="Times" w:eastAsia="Batang" w:hAnsi="Times"/>
          <w:lang w:eastAsia="x-none"/>
        </w:rPr>
        <w:t xml:space="preserve">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:rsidR="00476483" w:rsidRDefault="00476483" w:rsidP="00476483">
      <w:pPr>
        <w:pStyle w:val="Heading1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Dense Urban</w:t>
      </w:r>
    </w:p>
    <w:p w:rsidR="002D13BE" w:rsidRDefault="002D13BE" w:rsidP="002D13BE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21"/>
        <w:gridCol w:w="2557"/>
        <w:gridCol w:w="1846"/>
        <w:gridCol w:w="1941"/>
        <w:gridCol w:w="2699"/>
      </w:tblGrid>
      <w:tr w:rsidR="002D13BE" w:rsidRPr="00094D63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head"/>
              <w:jc w:val="left"/>
              <w:rPr>
                <w:rFonts w:eastAsia="SimSun"/>
                <w:sz w:val="20"/>
              </w:rPr>
            </w:pPr>
            <w:r w:rsidRPr="006F7385">
              <w:rPr>
                <w:rFonts w:eastAsia="SimSun"/>
                <w:sz w:val="20"/>
              </w:rPr>
              <w:t xml:space="preserve">Evaluation </w:t>
            </w:r>
            <w:r w:rsidRPr="006F7385">
              <w:rPr>
                <w:sz w:val="20"/>
                <w:lang w:eastAsia="zh-CN"/>
              </w:rPr>
              <w:t>M</w:t>
            </w:r>
            <w:r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2D13BE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20/10 Gbps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 w:rsidR="005C4457"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2D13BE" w:rsidTr="00A41E35">
        <w:trPr>
          <w:trHeight w:val="79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2D13BE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:rsidR="002D13BE" w:rsidRPr="006F7385" w:rsidRDefault="002D13BE" w:rsidP="006D6694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1B4D9A" w:rsidP="002D13B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="002D13BE">
              <w:rPr>
                <w:rFonts w:cs="Arial"/>
                <w:sz w:val="20"/>
                <w:lang w:eastAsia="ko-KR"/>
              </w:rPr>
              <w:t xml:space="preserve">100/50 </w:t>
            </w:r>
            <w:r w:rsidR="002D13BE" w:rsidRPr="002D13BE">
              <w:rPr>
                <w:rFonts w:cs="Arial"/>
                <w:sz w:val="20"/>
                <w:lang w:eastAsia="ko-KR"/>
              </w:rPr>
              <w:t>Mbit/s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1B4D9A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195.2/73.6 Mbps [Note 3]</w:t>
            </w:r>
          </w:p>
        </w:tc>
      </w:tr>
      <w:tr w:rsidR="002D13BE" w:rsidTr="00A41E35">
        <w:trPr>
          <w:trHeight w:val="84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395695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Theme="minorEastAsia" w:cs="Arial"/>
                <w:sz w:val="20"/>
                <w:lang w:eastAsia="ko-KR"/>
              </w:rPr>
              <w:t>DL/UL: 0.225/0.</w:t>
            </w:r>
            <w:r w:rsidR="002D13BE" w:rsidRPr="00A2758A">
              <w:rPr>
                <w:rFonts w:eastAsiaTheme="minorEastAsia" w:cs="Arial"/>
                <w:sz w:val="20"/>
                <w:lang w:eastAsia="ko-KR"/>
              </w:rPr>
              <w:t>1</w:t>
            </w:r>
            <w:r>
              <w:rPr>
                <w:rFonts w:eastAsiaTheme="minorEastAsia" w:cs="Arial"/>
                <w:sz w:val="20"/>
                <w:lang w:eastAsia="ko-KR"/>
              </w:rPr>
              <w:t>5</w:t>
            </w:r>
            <w:r w:rsidR="002D13BE" w:rsidRPr="00A2758A">
              <w:rPr>
                <w:rFonts w:eastAsiaTheme="minorEastAsia" w:cs="Arial"/>
                <w:sz w:val="20"/>
                <w:lang w:eastAsia="ko-KR"/>
              </w:rPr>
              <w:t xml:space="preserve">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395695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1.22</w:t>
            </w:r>
            <w:r w:rsidR="002D13BE">
              <w:rPr>
                <w:rFonts w:cs="Arial"/>
                <w:sz w:val="20"/>
                <w:lang w:eastAsia="ko-KR"/>
              </w:rPr>
              <w:t>/</w:t>
            </w:r>
            <w:r>
              <w:rPr>
                <w:rFonts w:cs="Arial"/>
                <w:sz w:val="20"/>
                <w:lang w:eastAsia="ko-KR"/>
              </w:rPr>
              <w:t>0.46</w:t>
            </w:r>
            <w:r w:rsidR="002D13BE" w:rsidRPr="00395C64">
              <w:rPr>
                <w:rFonts w:cs="Arial"/>
                <w:sz w:val="20"/>
                <w:lang w:eastAsia="ko-KR"/>
              </w:rPr>
              <w:t xml:space="preserve"> bits/s/Hz</w:t>
            </w:r>
            <w:r w:rsidR="001B4D9A">
              <w:rPr>
                <w:rFonts w:cs="Arial"/>
                <w:sz w:val="20"/>
                <w:lang w:eastAsia="ko-KR"/>
              </w:rPr>
              <w:t xml:space="preserve"> [Note 4</w:t>
            </w:r>
            <w:r w:rsidR="002D13BE">
              <w:rPr>
                <w:rFonts w:cs="Arial"/>
                <w:sz w:val="20"/>
                <w:lang w:eastAsia="ko-KR"/>
              </w:rPr>
              <w:t>]</w:t>
            </w:r>
          </w:p>
        </w:tc>
      </w:tr>
      <w:tr w:rsidR="002D13BE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395695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DL/UL = 7.8/5.4</w:t>
            </w:r>
            <w:r w:rsidR="002D13BE" w:rsidRPr="009A2A3B">
              <w:rPr>
                <w:rFonts w:eastAsia="SimSun"/>
                <w:sz w:val="20"/>
              </w:rPr>
              <w:t xml:space="preserve"> bits/s/Hz/</w:t>
            </w:r>
            <w:proofErr w:type="spellStart"/>
            <w:r w:rsidR="002D13BE"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 w:rsidR="00395695">
              <w:rPr>
                <w:rFonts w:cs="Arial"/>
                <w:sz w:val="20"/>
                <w:lang w:eastAsia="ko-KR"/>
              </w:rPr>
              <w:t xml:space="preserve"> 11.34/5</w:t>
            </w:r>
            <w:r>
              <w:rPr>
                <w:rFonts w:cs="Arial"/>
                <w:sz w:val="20"/>
                <w:lang w:eastAsia="ko-KR"/>
              </w:rPr>
              <w:t>.</w:t>
            </w:r>
            <w:r w:rsidR="00395695">
              <w:rPr>
                <w:rFonts w:cs="Arial"/>
                <w:sz w:val="20"/>
                <w:lang w:eastAsia="ko-KR"/>
              </w:rPr>
              <w:t>3</w:t>
            </w:r>
            <w:r>
              <w:rPr>
                <w:rFonts w:cs="Arial"/>
                <w:sz w:val="20"/>
                <w:lang w:eastAsia="ko-KR"/>
              </w:rPr>
              <w:t>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</w:p>
        </w:tc>
      </w:tr>
      <w:tr w:rsidR="002D13BE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7B3B6D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</w:t>
            </w:r>
            <w:r w:rsidR="00FF45AB">
              <w:rPr>
                <w:rFonts w:cs="Arial"/>
                <w:sz w:val="20"/>
                <w:lang w:eastAsia="ko-KR"/>
              </w:rPr>
              <w:t xml:space="preserve">Dense </w:t>
            </w:r>
            <w:proofErr w:type="spellStart"/>
            <w:r w:rsidR="00FF45AB">
              <w:rPr>
                <w:rFonts w:cs="Arial"/>
                <w:sz w:val="20"/>
                <w:lang w:eastAsia="ko-KR"/>
              </w:rPr>
              <w:t>Urban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515C3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2D13BE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3BE" w:rsidRPr="006F7385" w:rsidRDefault="002B5031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</w:t>
            </w:r>
            <w:r w:rsidR="00FF45AB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="00FF45AB">
              <w:rPr>
                <w:rFonts w:cs="Arial"/>
                <w:sz w:val="20"/>
                <w:lang w:eastAsia="ko-KR"/>
              </w:rPr>
              <w:t>evaluated</w:t>
            </w:r>
            <w:proofErr w:type="spellEnd"/>
          </w:p>
        </w:tc>
      </w:tr>
      <w:tr w:rsidR="00006F9C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Pr="006F7385" w:rsidRDefault="00006F9C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Pr="006F7385" w:rsidRDefault="00006F9C" w:rsidP="006D6694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6D6694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9C" w:rsidRDefault="00006F9C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</w:tbl>
    <w:p w:rsidR="00814C91" w:rsidRDefault="00814C91" w:rsidP="008C38C7"/>
    <w:p w:rsidR="00814C91" w:rsidRPr="002C352E" w:rsidRDefault="000A5289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 three carrier</w:t>
      </w:r>
      <w:r w:rsidR="00814C91">
        <w:rPr>
          <w:rFonts w:ascii="Times" w:eastAsia="Batang" w:hAnsi="Times"/>
          <w:lang w:eastAsia="x-none"/>
        </w:rPr>
        <w:t xml:space="preserve"> configuration: 8x8 HE160 + 8x8 HE160</w:t>
      </w:r>
      <w:r w:rsidR="00814C91" w:rsidRPr="002C352E">
        <w:rPr>
          <w:rFonts w:ascii="Times" w:eastAsia="Batang" w:hAnsi="Times"/>
          <w:lang w:eastAsia="x-none"/>
        </w:rPr>
        <w:t xml:space="preserve"> </w:t>
      </w:r>
      <w:r w:rsidR="00814C91">
        <w:rPr>
          <w:rFonts w:ascii="Times" w:eastAsia="Batang" w:hAnsi="Times"/>
          <w:lang w:eastAsia="x-none"/>
        </w:rPr>
        <w:t xml:space="preserve">+ 8x8 HE40. </w:t>
      </w:r>
    </w:p>
    <w:p w:rsidR="002B5031" w:rsidRDefault="00814C9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an 8x8 configuration</w:t>
      </w:r>
      <w:r w:rsidRPr="002C352E">
        <w:rPr>
          <w:rFonts w:ascii="Times" w:eastAsia="Batang" w:hAnsi="Times"/>
          <w:lang w:eastAsia="x-none"/>
        </w:rPr>
        <w:t>.</w:t>
      </w:r>
    </w:p>
    <w:p w:rsidR="00814C91" w:rsidRPr="002C352E" w:rsidRDefault="002B503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160MHz transmission bandwidth only. It is possible for 802.</w:t>
      </w:r>
      <w:r w:rsidR="000A5289">
        <w:rPr>
          <w:rFonts w:ascii="Times" w:eastAsia="Batang" w:hAnsi="Times"/>
          <w:lang w:eastAsia="x-none"/>
        </w:rPr>
        <w:t>11ax to support a higher three carrier</w:t>
      </w:r>
      <w:r>
        <w:rPr>
          <w:rFonts w:ascii="Times" w:eastAsia="Batang" w:hAnsi="Times"/>
          <w:lang w:eastAsia="x-none"/>
        </w:rPr>
        <w:t xml:space="preserve"> transmission bandwidth of </w:t>
      </w:r>
      <w:r w:rsidR="00332DE1">
        <w:rPr>
          <w:rFonts w:ascii="Times" w:eastAsia="Batang" w:hAnsi="Times"/>
          <w:lang w:eastAsia="x-none"/>
        </w:rPr>
        <w:t>(</w:t>
      </w:r>
      <w:r>
        <w:rPr>
          <w:rFonts w:ascii="Times" w:eastAsia="Batang" w:hAnsi="Times"/>
          <w:lang w:eastAsia="x-none"/>
        </w:rPr>
        <w:t>160+160+40</w:t>
      </w:r>
      <w:r w:rsidR="00332DE1">
        <w:rPr>
          <w:rFonts w:ascii="Times" w:eastAsia="Batang" w:hAnsi="Times"/>
          <w:lang w:eastAsia="x-none"/>
        </w:rPr>
        <w:t xml:space="preserve">) </w:t>
      </w:r>
      <w:proofErr w:type="spellStart"/>
      <w:r w:rsidR="00332DE1">
        <w:rPr>
          <w:rFonts w:ascii="Times" w:eastAsia="Batang" w:hAnsi="Times"/>
          <w:lang w:eastAsia="x-none"/>
        </w:rPr>
        <w:t>MHz</w:t>
      </w:r>
      <w:r>
        <w:rPr>
          <w:rFonts w:ascii="Times" w:eastAsia="Batang" w:hAnsi="Times"/>
          <w:lang w:eastAsia="x-none"/>
        </w:rPr>
        <w:t>.</w:t>
      </w:r>
      <w:proofErr w:type="spellEnd"/>
      <w:r w:rsidR="00814C91" w:rsidRPr="002C352E">
        <w:rPr>
          <w:rFonts w:ascii="Times" w:eastAsia="Batang" w:hAnsi="Times"/>
          <w:lang w:eastAsia="x-none"/>
        </w:rPr>
        <w:t xml:space="preserve">  </w:t>
      </w:r>
    </w:p>
    <w:p w:rsidR="00814C91" w:rsidRPr="006523E7" w:rsidRDefault="00814C9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This is an estimated value. It assumes the following antenna configuration: AP: 128Tx/Rx, Client</w:t>
      </w:r>
      <w:r w:rsidRPr="00814C91">
        <w:rPr>
          <w:rFonts w:ascii="Times" w:eastAsia="Batang" w:hAnsi="Times"/>
          <w:lang w:eastAsia="x-none"/>
        </w:rPr>
        <w:t>: 4Tx/Rx</w:t>
      </w:r>
      <w:r w:rsidR="002B5031">
        <w:rPr>
          <w:rFonts w:ascii="Times" w:eastAsia="Batang" w:hAnsi="Times"/>
          <w:lang w:eastAsia="x-none"/>
        </w:rPr>
        <w:t xml:space="preserve">. </w:t>
      </w:r>
    </w:p>
    <w:p w:rsidR="00814C91" w:rsidRPr="002D13BE" w:rsidRDefault="00814C91" w:rsidP="002D13BE"/>
    <w:p w:rsidR="003B4DE9" w:rsidRDefault="00784782" w:rsidP="008B11DF">
      <w:pPr>
        <w:pStyle w:val="Heading1"/>
      </w:pPr>
      <w:r>
        <w:t xml:space="preserve">Conclusion and </w:t>
      </w:r>
      <w:r w:rsidR="00AE4FF4">
        <w:t>Notes</w:t>
      </w:r>
    </w:p>
    <w:p w:rsidR="00784782" w:rsidRDefault="00784782" w:rsidP="008B11DF"/>
    <w:p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 xml:space="preserve">802.11ax </w:t>
      </w:r>
      <w:r w:rsidRPr="00784782">
        <w:t xml:space="preserve">in its currently standardized form 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</w:t>
      </w:r>
      <w:proofErr w:type="spellStart"/>
      <w:r>
        <w:t>eMBB</w:t>
      </w:r>
      <w:proofErr w:type="spellEnd"/>
      <w:r>
        <w:t xml:space="preserve"> </w:t>
      </w:r>
      <w:r w:rsidRPr="00784782">
        <w:t>Indoor Hotspot</w:t>
      </w:r>
      <w:r>
        <w:t xml:space="preserve"> test environment.</w:t>
      </w:r>
    </w:p>
    <w:p w:rsidR="00784782" w:rsidRDefault="00784782" w:rsidP="008B11DF"/>
    <w:p w:rsidR="00784782" w:rsidRDefault="00784782" w:rsidP="008B11DF">
      <w:r w:rsidRPr="00F913D0">
        <w:rPr>
          <w:b/>
        </w:rPr>
        <w:t>Conclusion 2</w:t>
      </w:r>
      <w:r>
        <w:t xml:space="preserve">: </w:t>
      </w:r>
      <w:r w:rsidRPr="00784782">
        <w:t xml:space="preserve">802.11ax </w:t>
      </w:r>
      <w:r>
        <w:t>is expected to satisfy</w:t>
      </w:r>
      <w:r w:rsidRPr="00784782">
        <w:t xml:space="preserve"> the IMT-2020 requirem</w:t>
      </w:r>
      <w:r>
        <w:t xml:space="preserve">ents for the </w:t>
      </w:r>
      <w:proofErr w:type="spellStart"/>
      <w:r>
        <w:t>eMBB</w:t>
      </w:r>
      <w:proofErr w:type="spellEnd"/>
      <w:r>
        <w:t xml:space="preserve"> Dense Urban</w:t>
      </w:r>
      <w:r w:rsidRPr="00784782">
        <w:t xml:space="preserve"> test environment</w:t>
      </w:r>
      <w:r>
        <w:t xml:space="preserve">. Efforts are underway to simulate the </w:t>
      </w:r>
      <w:r w:rsidRPr="00784782">
        <w:t>5th percentile user spectral efficiency</w:t>
      </w:r>
      <w:r>
        <w:t xml:space="preserve">, </w:t>
      </w:r>
      <w:r w:rsidRPr="00784782">
        <w:t>Average spectral efficiency</w:t>
      </w:r>
      <w:r>
        <w:t xml:space="preserve"> and Mobility metrics.</w:t>
      </w:r>
      <w:r w:rsidR="00783E21">
        <w:t xml:space="preserve"> The simulations are expected to provide results in line with the analytic estimates.</w:t>
      </w:r>
    </w:p>
    <w:p w:rsidR="00784782" w:rsidRDefault="00784782" w:rsidP="008B11DF">
      <w:pPr>
        <w:ind w:left="360"/>
      </w:pPr>
    </w:p>
    <w:p w:rsidR="006523E7" w:rsidRDefault="006523E7" w:rsidP="008B11DF">
      <w:pPr>
        <w:ind w:left="360"/>
      </w:pPr>
    </w:p>
    <w:p w:rsidR="006523E7" w:rsidRDefault="00784782" w:rsidP="008B11DF">
      <w:r w:rsidRPr="00F913D0">
        <w:rPr>
          <w:b/>
        </w:rPr>
        <w:t>Note 1</w:t>
      </w:r>
      <w:r>
        <w:t xml:space="preserve">: </w:t>
      </w:r>
      <w:r w:rsidR="006523E7">
        <w:t>Indoor Hotspot:</w:t>
      </w:r>
    </w:p>
    <w:p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</w:t>
      </w:r>
      <w:proofErr w:type="spellStart"/>
      <w:r>
        <w:t>eMBB</w:t>
      </w:r>
      <w:proofErr w:type="spellEnd"/>
      <w:r>
        <w:t xml:space="preserve">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:rsidR="00784782" w:rsidRDefault="00784782" w:rsidP="008B11DF"/>
    <w:p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:rsidR="00AE4FF4" w:rsidRDefault="00AE4FF4" w:rsidP="008B11DF"/>
    <w:p w:rsidR="00480D24" w:rsidRDefault="00480D24" w:rsidP="008B11DF">
      <w:r w:rsidRPr="00F913D0">
        <w:rPr>
          <w:b/>
        </w:rPr>
        <w:t>Note 2</w:t>
      </w:r>
      <w:r>
        <w:t>: Dense Urban</w:t>
      </w:r>
    </w:p>
    <w:p w:rsidR="0063243B" w:rsidRDefault="0063243B" w:rsidP="008B11DF">
      <w:pPr>
        <w:pStyle w:val="ListParagraph"/>
        <w:numPr>
          <w:ilvl w:val="0"/>
          <w:numId w:val="36"/>
        </w:numPr>
      </w:pPr>
      <w:r>
        <w:t xml:space="preserve">The estimates for </w:t>
      </w:r>
      <w:r w:rsidRPr="0063243B">
        <w:t>5</w:t>
      </w:r>
      <w:r w:rsidRPr="004273B7">
        <w:rPr>
          <w:vertAlign w:val="superscript"/>
        </w:rPr>
        <w:t>th</w:t>
      </w:r>
      <w:r w:rsidRPr="0063243B">
        <w:t xml:space="preserve"> percentile user spectral efficiency and Average spectral efficiency do not assume any </w:t>
      </w:r>
      <w:r>
        <w:t xml:space="preserve">diversity gain at the transmitter or receiver. </w:t>
      </w:r>
      <w:r w:rsidRPr="0063243B">
        <w:t xml:space="preserve">So, </w:t>
      </w:r>
      <w:r>
        <w:t xml:space="preserve">the estimated values for these metrics </w:t>
      </w:r>
      <w:r w:rsidRPr="0063243B">
        <w:t>are more conservative than wh</w:t>
      </w:r>
      <w:r>
        <w:t>at ca</w:t>
      </w:r>
      <w:r w:rsidR="00835D17">
        <w:t xml:space="preserve">n be supported in the </w:t>
      </w:r>
      <w:r>
        <w:t>simulation configuration</w:t>
      </w:r>
      <w:r w:rsidR="004273B7">
        <w:t xml:space="preserve"> specified by ITU-R</w:t>
      </w:r>
      <w:r w:rsidR="00835D17">
        <w:t xml:space="preserve"> </w:t>
      </w:r>
      <w:r w:rsidR="00835D17">
        <w:fldChar w:fldCharType="begin"/>
      </w:r>
      <w:r w:rsidR="00835D17">
        <w:instrText xml:space="preserve"> REF _Ref523765661 \r \h </w:instrText>
      </w:r>
      <w:r w:rsidR="00835D17">
        <w:fldChar w:fldCharType="separate"/>
      </w:r>
      <w:r w:rsidR="00835D17">
        <w:t>[2]</w:t>
      </w:r>
      <w:r w:rsidR="00835D17">
        <w:fldChar w:fldCharType="end"/>
      </w:r>
      <w:r>
        <w:t>.</w:t>
      </w:r>
    </w:p>
    <w:p w:rsidR="0063243B" w:rsidRDefault="00D65AB1" w:rsidP="008B11DF">
      <w:pPr>
        <w:pStyle w:val="ListParagraph"/>
        <w:numPr>
          <w:ilvl w:val="0"/>
          <w:numId w:val="36"/>
        </w:numPr>
      </w:pPr>
      <w:r>
        <w:t xml:space="preserve">The improved performance expected from the additional features and procedures listed in </w:t>
      </w:r>
      <w:r w:rsidR="0063243B">
        <w:t xml:space="preserve">Points </w:t>
      </w:r>
      <w:r w:rsidR="00025BA7">
        <w:t>1</w:t>
      </w:r>
      <w:r>
        <w:t xml:space="preserve">, 2, and 4 </w:t>
      </w:r>
      <w:r w:rsidR="00025BA7">
        <w:t xml:space="preserve">to 9 </w:t>
      </w:r>
      <w:r w:rsidR="0063243B">
        <w:t xml:space="preserve">in </w:t>
      </w:r>
      <w:proofErr w:type="gramStart"/>
      <w:r w:rsidR="0063243B">
        <w:t>Note</w:t>
      </w:r>
      <w:proofErr w:type="gramEnd"/>
      <w:r w:rsidR="0063243B">
        <w:t xml:space="preserve"> 1b, are </w:t>
      </w:r>
      <w:r>
        <w:t xml:space="preserve">also expected </w:t>
      </w:r>
      <w:r w:rsidR="0063243B">
        <w:t>for the Dense Urban evaluations.</w:t>
      </w:r>
    </w:p>
    <w:p w:rsidR="0063243B" w:rsidRDefault="0063243B" w:rsidP="008B11DF"/>
    <w:p w:rsidR="00CA09B2" w:rsidRDefault="00D806A8" w:rsidP="008B11DF">
      <w:pPr>
        <w:pStyle w:val="Heading1"/>
      </w:pPr>
      <w:r w:rsidRPr="00D24FEA">
        <w:t>References</w:t>
      </w:r>
    </w:p>
    <w:p w:rsidR="0090333F" w:rsidRPr="0090333F" w:rsidRDefault="0090333F" w:rsidP="008B11DF"/>
    <w:p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0" w:name="_Ref523765654"/>
      <w:bookmarkStart w:id="1" w:name="_Ref496789390"/>
      <w:bookmarkStart w:id="2" w:name="_Ref481591178"/>
      <w:bookmarkStart w:id="3" w:name="_Ref416453523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0"/>
    </w:p>
    <w:p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4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4"/>
    </w:p>
    <w:p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5" w:name="_Ref523765824"/>
      <w:r>
        <w:rPr>
          <w:rFonts w:ascii="Calibri" w:eastAsia="MS Mincho" w:hAnsi="Calibri" w:cs="Calibri"/>
          <w:szCs w:val="22"/>
          <w:lang w:val="en-US"/>
        </w:rPr>
        <w:t>IEEE 802.11-18/1240r2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</w:t>
      </w:r>
      <w:proofErr w:type="spellStart"/>
      <w:r w:rsidR="00EC408F" w:rsidRPr="00EC408F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methodology, July, 2018</w:t>
      </w:r>
      <w:bookmarkEnd w:id="5"/>
    </w:p>
    <w:p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6" w:name="_Ref523765849"/>
      <w:r>
        <w:rPr>
          <w:rFonts w:ascii="Calibri" w:eastAsia="MS Mincho" w:hAnsi="Calibri" w:cs="Calibri"/>
          <w:szCs w:val="22"/>
          <w:lang w:val="en-US"/>
        </w:rPr>
        <w:t>IEEE 802.11-18/0915r1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 xml:space="preserve">Benchmarking of 802.11ax against </w:t>
      </w:r>
      <w:proofErr w:type="spellStart"/>
      <w:r w:rsidRPr="00207CCB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Pr="00207CCB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May, 2018</w:t>
      </w:r>
      <w:bookmarkEnd w:id="6"/>
    </w:p>
    <w:p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3765837"/>
      <w:r>
        <w:rPr>
          <w:rFonts w:ascii="Calibri" w:eastAsia="MS Mincho" w:hAnsi="Calibri" w:cs="Calibri"/>
          <w:szCs w:val="22"/>
          <w:lang w:val="en-US"/>
        </w:rPr>
        <w:t>IEEE 802.11-18/0517r1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802.11ax for IMT-2020 EMBB Indoor Hotspot and Dense Urban, March, 2018</w:t>
      </w:r>
      <w:bookmarkEnd w:id="7"/>
    </w:p>
    <w:p w:rsidR="00747DBF" w:rsidRPr="009554CE" w:rsidRDefault="00701461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847400"/>
      <w:r w:rsidRPr="00701461">
        <w:rPr>
          <w:rFonts w:ascii="Calibri" w:eastAsia="MS Mincho" w:hAnsi="Calibri" w:cs="Calibri"/>
          <w:szCs w:val="22"/>
          <w:lang w:val="en-US"/>
        </w:rPr>
        <w:t>RT-170019, “Summary of email discussion “[ITU-R AH 01] Calibration for self-evaluation”, Huawei, December 2017</w:t>
      </w:r>
      <w:bookmarkEnd w:id="1"/>
      <w:bookmarkEnd w:id="2"/>
      <w:bookmarkEnd w:id="3"/>
      <w:bookmarkEnd w:id="8"/>
    </w:p>
    <w:sectPr w:rsidR="00747DBF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EC6754" w15:done="0"/>
  <w15:commentEx w15:paraId="0C7145AA" w15:done="0"/>
  <w15:commentEx w15:paraId="737A2732" w15:done="0"/>
  <w15:commentEx w15:paraId="51B1598E" w15:done="0"/>
  <w15:commentEx w15:paraId="6C474462" w15:done="0"/>
  <w15:commentEx w15:paraId="47889338" w15:done="0"/>
  <w15:commentEx w15:paraId="03833B0A" w15:done="0"/>
  <w15:commentEx w15:paraId="5B1D5E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F4" w:rsidRDefault="005A28F4">
      <w:r>
        <w:separator/>
      </w:r>
    </w:p>
  </w:endnote>
  <w:endnote w:type="continuationSeparator" w:id="0">
    <w:p w:rsidR="005A28F4" w:rsidRDefault="005A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4" w:rsidRDefault="005A28F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584E4C">
      <w:rPr>
        <w:noProof/>
      </w:rPr>
      <w:t>1</w:t>
    </w:r>
    <w:r w:rsidR="006D6694">
      <w:fldChar w:fldCharType="end"/>
    </w:r>
    <w:r w:rsidR="006D6694">
      <w:tab/>
      <w:t>Broadcom</w:t>
    </w:r>
  </w:p>
  <w:p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F4" w:rsidRDefault="005A28F4">
      <w:r>
        <w:separator/>
      </w:r>
    </w:p>
  </w:footnote>
  <w:footnote w:type="continuationSeparator" w:id="0">
    <w:p w:rsidR="005A28F4" w:rsidRDefault="005A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4" w:rsidRDefault="006D6694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>
      <w:tab/>
    </w:r>
    <w:r>
      <w:tab/>
    </w:r>
    <w:r w:rsidR="005A28F4">
      <w:fldChar w:fldCharType="begin"/>
    </w:r>
    <w:r w:rsidR="005A28F4">
      <w:instrText xml:space="preserve"> TITLE  \* MERGEFORMAT </w:instrText>
    </w:r>
    <w:r w:rsidR="005A28F4">
      <w:fldChar w:fldCharType="separate"/>
    </w:r>
    <w:r>
      <w:t>doc.: IEEE 802.11-18</w:t>
    </w:r>
    <w:r w:rsidR="005A28F4">
      <w:fldChar w:fldCharType="end"/>
    </w:r>
    <w:r w:rsidR="00AB11F1">
      <w:t>/</w:t>
    </w:r>
    <w:r w:rsidR="00AB11F1" w:rsidRPr="00AB11F1">
      <w:t xml:space="preserve"> 1573</w:t>
    </w:r>
    <w:r w:rsidR="00AB11F1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3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11"/>
  </w:num>
  <w:num w:numId="5">
    <w:abstractNumId w:val="10"/>
  </w:num>
  <w:num w:numId="6">
    <w:abstractNumId w:val="19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1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24"/>
  </w:num>
  <w:num w:numId="18">
    <w:abstractNumId w:val="11"/>
    <w:lvlOverride w:ilvl="0">
      <w:startOverride w:val="1"/>
    </w:lvlOverride>
  </w:num>
  <w:num w:numId="19">
    <w:abstractNumId w:val="25"/>
  </w:num>
  <w:num w:numId="20">
    <w:abstractNumId w:val="27"/>
  </w:num>
  <w:num w:numId="21">
    <w:abstractNumId w:val="17"/>
  </w:num>
  <w:num w:numId="22">
    <w:abstractNumId w:val="20"/>
  </w:num>
  <w:num w:numId="23">
    <w:abstractNumId w:val="16"/>
  </w:num>
  <w:num w:numId="24">
    <w:abstractNumId w:val="9"/>
  </w:num>
  <w:num w:numId="25">
    <w:abstractNumId w:val="22"/>
  </w:num>
  <w:num w:numId="26">
    <w:abstractNumId w:val="23"/>
  </w:num>
  <w:num w:numId="27">
    <w:abstractNumId w:val="32"/>
  </w:num>
  <w:num w:numId="28">
    <w:abstractNumId w:val="14"/>
  </w:num>
  <w:num w:numId="29">
    <w:abstractNumId w:val="28"/>
  </w:num>
  <w:num w:numId="30">
    <w:abstractNumId w:val="33"/>
  </w:num>
  <w:num w:numId="31">
    <w:abstractNumId w:val="30"/>
  </w:num>
  <w:num w:numId="32">
    <w:abstractNumId w:val="0"/>
  </w:num>
  <w:num w:numId="33">
    <w:abstractNumId w:val="21"/>
  </w:num>
  <w:num w:numId="34">
    <w:abstractNumId w:val="8"/>
  </w:num>
  <w:num w:numId="35">
    <w:abstractNumId w:val="1"/>
  </w:num>
  <w:num w:numId="36">
    <w:abstractNumId w:val="5"/>
  </w:num>
  <w:num w:numId="37">
    <w:abstractNumId w:val="29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vy, Joseph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7A"/>
    <w:rsid w:val="00002E4B"/>
    <w:rsid w:val="00005F5B"/>
    <w:rsid w:val="00006F9C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F1D90"/>
    <w:rsid w:val="0011111D"/>
    <w:rsid w:val="00127EA4"/>
    <w:rsid w:val="00150A60"/>
    <w:rsid w:val="00153A2F"/>
    <w:rsid w:val="00156543"/>
    <w:rsid w:val="00181568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57A0"/>
    <w:rsid w:val="0023671C"/>
    <w:rsid w:val="00245DA1"/>
    <w:rsid w:val="00276BAF"/>
    <w:rsid w:val="0029020B"/>
    <w:rsid w:val="002A13DE"/>
    <w:rsid w:val="002B5031"/>
    <w:rsid w:val="002B70D3"/>
    <w:rsid w:val="002B785A"/>
    <w:rsid w:val="002C352E"/>
    <w:rsid w:val="002C61E6"/>
    <w:rsid w:val="002D13BE"/>
    <w:rsid w:val="002D27EB"/>
    <w:rsid w:val="002D44BE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8DF"/>
    <w:rsid w:val="0037794C"/>
    <w:rsid w:val="003805A3"/>
    <w:rsid w:val="00395695"/>
    <w:rsid w:val="00395C64"/>
    <w:rsid w:val="00396121"/>
    <w:rsid w:val="003A1BBC"/>
    <w:rsid w:val="003A5313"/>
    <w:rsid w:val="003B116B"/>
    <w:rsid w:val="003B37C6"/>
    <w:rsid w:val="003B4DE9"/>
    <w:rsid w:val="003B62BD"/>
    <w:rsid w:val="003D6B6A"/>
    <w:rsid w:val="003D79FE"/>
    <w:rsid w:val="003F381F"/>
    <w:rsid w:val="004273B7"/>
    <w:rsid w:val="00442037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B7B"/>
    <w:rsid w:val="005817E3"/>
    <w:rsid w:val="00584E4C"/>
    <w:rsid w:val="00585F3F"/>
    <w:rsid w:val="005943F3"/>
    <w:rsid w:val="00597882"/>
    <w:rsid w:val="005A28F4"/>
    <w:rsid w:val="005A52B7"/>
    <w:rsid w:val="005B5E14"/>
    <w:rsid w:val="005C4457"/>
    <w:rsid w:val="005F1D84"/>
    <w:rsid w:val="005F2F0E"/>
    <w:rsid w:val="005F45A3"/>
    <w:rsid w:val="0060693F"/>
    <w:rsid w:val="00615891"/>
    <w:rsid w:val="00617C9C"/>
    <w:rsid w:val="0062440B"/>
    <w:rsid w:val="0063243B"/>
    <w:rsid w:val="00643D42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530D"/>
    <w:rsid w:val="00761079"/>
    <w:rsid w:val="00767FCD"/>
    <w:rsid w:val="00770572"/>
    <w:rsid w:val="0077404E"/>
    <w:rsid w:val="00783E21"/>
    <w:rsid w:val="00784782"/>
    <w:rsid w:val="00793EAE"/>
    <w:rsid w:val="007B3B6D"/>
    <w:rsid w:val="007C1BCF"/>
    <w:rsid w:val="007D2C1F"/>
    <w:rsid w:val="007F7067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DDD"/>
    <w:rsid w:val="00877A61"/>
    <w:rsid w:val="00891112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901A5B"/>
    <w:rsid w:val="0090333F"/>
    <w:rsid w:val="00903E02"/>
    <w:rsid w:val="00932C2E"/>
    <w:rsid w:val="00936090"/>
    <w:rsid w:val="009554CE"/>
    <w:rsid w:val="0096286E"/>
    <w:rsid w:val="00975227"/>
    <w:rsid w:val="0098667A"/>
    <w:rsid w:val="00995941"/>
    <w:rsid w:val="009A0104"/>
    <w:rsid w:val="009A2A3B"/>
    <w:rsid w:val="009B695E"/>
    <w:rsid w:val="009C65D3"/>
    <w:rsid w:val="009D19D3"/>
    <w:rsid w:val="009F2FBC"/>
    <w:rsid w:val="00A260F9"/>
    <w:rsid w:val="00A2758A"/>
    <w:rsid w:val="00A33608"/>
    <w:rsid w:val="00A34733"/>
    <w:rsid w:val="00A358F7"/>
    <w:rsid w:val="00A41E35"/>
    <w:rsid w:val="00A41FBD"/>
    <w:rsid w:val="00A85610"/>
    <w:rsid w:val="00AA427C"/>
    <w:rsid w:val="00AB0D3E"/>
    <w:rsid w:val="00AB11F1"/>
    <w:rsid w:val="00AD5FE5"/>
    <w:rsid w:val="00AE4FF4"/>
    <w:rsid w:val="00AE5026"/>
    <w:rsid w:val="00AE7E49"/>
    <w:rsid w:val="00AF33C0"/>
    <w:rsid w:val="00AF5643"/>
    <w:rsid w:val="00B25A82"/>
    <w:rsid w:val="00B27F06"/>
    <w:rsid w:val="00B33815"/>
    <w:rsid w:val="00B402BB"/>
    <w:rsid w:val="00B42B9C"/>
    <w:rsid w:val="00B5101A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C03E29"/>
    <w:rsid w:val="00C0781C"/>
    <w:rsid w:val="00C25A87"/>
    <w:rsid w:val="00C2788F"/>
    <w:rsid w:val="00C27D91"/>
    <w:rsid w:val="00C45FFB"/>
    <w:rsid w:val="00C81F04"/>
    <w:rsid w:val="00C90831"/>
    <w:rsid w:val="00C92EB7"/>
    <w:rsid w:val="00C93A1F"/>
    <w:rsid w:val="00CA09B2"/>
    <w:rsid w:val="00CA3A71"/>
    <w:rsid w:val="00CA3F30"/>
    <w:rsid w:val="00CA4F10"/>
    <w:rsid w:val="00CC004E"/>
    <w:rsid w:val="00CD5740"/>
    <w:rsid w:val="00CF452E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536E3"/>
    <w:rsid w:val="00D56C8F"/>
    <w:rsid w:val="00D62ED0"/>
    <w:rsid w:val="00D65AB1"/>
    <w:rsid w:val="00D763F7"/>
    <w:rsid w:val="00D806A8"/>
    <w:rsid w:val="00D82EC5"/>
    <w:rsid w:val="00D94B29"/>
    <w:rsid w:val="00D974DF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70D6F"/>
    <w:rsid w:val="00E71734"/>
    <w:rsid w:val="00E865E1"/>
    <w:rsid w:val="00E902C5"/>
    <w:rsid w:val="00E94055"/>
    <w:rsid w:val="00E950C3"/>
    <w:rsid w:val="00EB11CC"/>
    <w:rsid w:val="00EC408F"/>
    <w:rsid w:val="00ED3750"/>
    <w:rsid w:val="00ED71E2"/>
    <w:rsid w:val="00EE46FE"/>
    <w:rsid w:val="00EF32FA"/>
    <w:rsid w:val="00F02472"/>
    <w:rsid w:val="00F0377D"/>
    <w:rsid w:val="00F05708"/>
    <w:rsid w:val="00F0720D"/>
    <w:rsid w:val="00F134E2"/>
    <w:rsid w:val="00F14C7F"/>
    <w:rsid w:val="00F265E8"/>
    <w:rsid w:val="00F30633"/>
    <w:rsid w:val="00F32DA8"/>
    <w:rsid w:val="00F40D5D"/>
    <w:rsid w:val="00F42C67"/>
    <w:rsid w:val="00F555D1"/>
    <w:rsid w:val="00F809C1"/>
    <w:rsid w:val="00F913D0"/>
    <w:rsid w:val="00FA20CC"/>
    <w:rsid w:val="00FA7C3C"/>
    <w:rsid w:val="00FC452E"/>
    <w:rsid w:val="00FD4E13"/>
    <w:rsid w:val="00FF1DE2"/>
    <w:rsid w:val="00FF45A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Broadcom</dc:creator>
  <cp:keywords>Month Year</cp:keywords>
  <dc:description>John Doe, Some Company</dc:description>
  <cp:lastModifiedBy>BLR</cp:lastModifiedBy>
  <cp:revision>2</cp:revision>
  <cp:lastPrinted>1901-01-01T08:00:00Z</cp:lastPrinted>
  <dcterms:created xsi:type="dcterms:W3CDTF">2018-09-10T09:23:00Z</dcterms:created>
  <dcterms:modified xsi:type="dcterms:W3CDTF">2018-09-10T09:23:00Z</dcterms:modified>
</cp:coreProperties>
</file>