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264B58" w:rsidP="00C92BBC">
            <w:pPr>
              <w:pStyle w:val="T2"/>
            </w:pPr>
            <w:r>
              <w:t xml:space="preserve">D3.0 </w:t>
            </w:r>
            <w:r w:rsidR="00ED0142">
              <w:t xml:space="preserve">CR for </w:t>
            </w:r>
            <w:r w:rsidR="00C92BBC">
              <w:t xml:space="preserve">PHY </w:t>
            </w:r>
            <w:r>
              <w:t>28.3.4/28.3.16/28.3.17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264B58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201</w:t>
            </w:r>
            <w:r w:rsidR="00ED0142">
              <w:rPr>
                <w:b w:val="0"/>
                <w:sz w:val="24"/>
              </w:rPr>
              <w:t>8</w:t>
            </w:r>
            <w:r w:rsidR="009635A1" w:rsidRPr="00D61EDD">
              <w:rPr>
                <w:b w:val="0"/>
                <w:sz w:val="24"/>
              </w:rPr>
              <w:t>-</w:t>
            </w:r>
            <w:r w:rsidR="00ED0142">
              <w:rPr>
                <w:b w:val="0"/>
                <w:sz w:val="24"/>
              </w:rPr>
              <w:t>0</w:t>
            </w:r>
            <w:r w:rsidR="00264B58">
              <w:rPr>
                <w:b w:val="0"/>
                <w:sz w:val="24"/>
              </w:rPr>
              <w:t>9</w:t>
            </w:r>
            <w:r w:rsidR="00421500" w:rsidRPr="00D61EDD">
              <w:rPr>
                <w:b w:val="0"/>
                <w:sz w:val="24"/>
              </w:rPr>
              <w:t>-</w:t>
            </w:r>
            <w:r w:rsidR="00ED0142">
              <w:rPr>
                <w:b w:val="0"/>
                <w:sz w:val="24"/>
              </w:rPr>
              <w:t>0</w:t>
            </w:r>
            <w:r w:rsidR="00264B58">
              <w:rPr>
                <w:b w:val="0"/>
                <w:sz w:val="24"/>
              </w:rPr>
              <w:t>7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:rsidTr="00FC390A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:rsidTr="00FC390A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 Wu</w:t>
            </w:r>
          </w:p>
        </w:tc>
        <w:tc>
          <w:tcPr>
            <w:tcW w:w="1472" w:type="dxa"/>
            <w:vAlign w:val="center"/>
          </w:tcPr>
          <w:p w:rsidR="009B0EF0" w:rsidRPr="00D61EDD" w:rsidRDefault="008C202A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Samsung</w:t>
            </w:r>
          </w:p>
        </w:tc>
        <w:tc>
          <w:tcPr>
            <w:tcW w:w="284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9B0EF0" w:rsidRPr="00D61EDD" w:rsidRDefault="008C202A" w:rsidP="008C202A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Tianyu.wu@samusng.com</w:t>
            </w:r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</w:rPr>
      </w:pPr>
    </w:p>
    <w:p w:rsidR="00CE2745" w:rsidRDefault="00CE2745" w:rsidP="00CE2745">
      <w:pPr>
        <w:pStyle w:val="T1"/>
        <w:spacing w:after="120"/>
      </w:pPr>
    </w:p>
    <w:p w:rsidR="00CE2745" w:rsidRDefault="00CE2745" w:rsidP="00CE2745">
      <w:pPr>
        <w:pStyle w:val="T1"/>
        <w:spacing w:after="120"/>
      </w:pPr>
      <w:r>
        <w:t>Abstract</w:t>
      </w:r>
    </w:p>
    <w:p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CD2CEF">
        <w:rPr>
          <w:lang w:eastAsia="ko-KR"/>
        </w:rPr>
        <w:t xml:space="preserve"> PHY</w:t>
      </w:r>
      <w:r>
        <w:rPr>
          <w:lang w:eastAsia="ko-KR"/>
        </w:rPr>
        <w:t xml:space="preserve"> PPDU</w:t>
      </w:r>
      <w:r w:rsidR="00CD2CEF">
        <w:rPr>
          <w:lang w:eastAsia="ko-KR"/>
        </w:rPr>
        <w:t xml:space="preserve"> format</w:t>
      </w:r>
      <w:r w:rsidR="00613346">
        <w:rPr>
          <w:lang w:eastAsia="ko-KR"/>
        </w:rPr>
        <w:t>s</w:t>
      </w:r>
      <w:r>
        <w:rPr>
          <w:lang w:eastAsia="ko-KR"/>
        </w:rPr>
        <w:t xml:space="preserve">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</w:t>
      </w:r>
      <w:r w:rsidR="00264B58">
        <w:rPr>
          <w:lang w:eastAsia="ko-KR"/>
        </w:rPr>
        <w:t>3</w:t>
      </w:r>
      <w:r>
        <w:rPr>
          <w:lang w:eastAsia="ko-KR"/>
        </w:rPr>
        <w:t>.0:</w:t>
      </w:r>
    </w:p>
    <w:p w:rsidR="00CE2745" w:rsidRDefault="001A3230" w:rsidP="00AD5C61">
      <w:pPr>
        <w:pStyle w:val="ListParagraph"/>
        <w:numPr>
          <w:ilvl w:val="0"/>
          <w:numId w:val="41"/>
        </w:numPr>
      </w:pPr>
      <w:r>
        <w:t>16060</w:t>
      </w:r>
      <w:r w:rsidR="00CE2745">
        <w:t xml:space="preserve">, </w:t>
      </w:r>
      <w:r>
        <w:t>16534</w:t>
      </w:r>
      <w:r w:rsidR="00CE2745">
        <w:t xml:space="preserve">, </w:t>
      </w:r>
      <w:r>
        <w:t>16537</w:t>
      </w:r>
      <w:r w:rsidR="00CE2745">
        <w:t xml:space="preserve">, </w:t>
      </w:r>
      <w:r>
        <w:t>16792</w:t>
      </w:r>
      <w:r w:rsidR="00CE2745">
        <w:t xml:space="preserve">, </w:t>
      </w:r>
      <w:r>
        <w:t>16981</w:t>
      </w:r>
    </w:p>
    <w:p w:rsidR="001A3230" w:rsidRDefault="001A3230" w:rsidP="001A3230">
      <w:pPr>
        <w:pStyle w:val="ListParagraph"/>
        <w:ind w:left="360"/>
      </w:pPr>
    </w:p>
    <w:p w:rsidR="001A3230" w:rsidRDefault="001A3230" w:rsidP="001A3230">
      <w:pPr>
        <w:pStyle w:val="ListParagraph"/>
        <w:ind w:left="360"/>
      </w:pPr>
    </w:p>
    <w:p w:rsidR="00CE2745" w:rsidRDefault="00CE2745" w:rsidP="00CE2745">
      <w:pPr>
        <w:jc w:val="both"/>
      </w:pPr>
      <w:r>
        <w:t>Revisions:</w:t>
      </w:r>
    </w:p>
    <w:p w:rsidR="00CE2745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 xml:space="preserve">Use D3.1 as baseline spec text. </w:t>
      </w:r>
    </w:p>
    <w:p w:rsidR="00D61EDD" w:rsidRPr="00CE2745" w:rsidRDefault="00D61EDD" w:rsidP="00CF7849">
      <w:pPr>
        <w:rPr>
          <w:lang w:val="en-GB"/>
        </w:rPr>
      </w:pP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Pr="00FC390A" w:rsidRDefault="00D61EDD" w:rsidP="00CF7849">
      <w:pPr>
        <w:rPr>
          <w:sz w:val="18"/>
          <w:szCs w:val="18"/>
        </w:rPr>
      </w:pP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FC390A" w:rsidRDefault="00FC390A" w:rsidP="00CF7849"/>
    <w:p w:rsidR="00D61EDD" w:rsidRDefault="00D61EDD" w:rsidP="00CF7849"/>
    <w:p w:rsidR="00FC390A" w:rsidRDefault="00FC390A" w:rsidP="00CF7849"/>
    <w:p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TGax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:rsidR="00B33C98" w:rsidRPr="0087613D" w:rsidRDefault="00B33C98" w:rsidP="00B33C98">
      <w:pPr>
        <w:rPr>
          <w:sz w:val="18"/>
          <w:szCs w:val="18"/>
          <w:lang w:eastAsia="ko-KR"/>
        </w:rPr>
      </w:pPr>
    </w:p>
    <w:p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TGax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:rsidR="00FF0768" w:rsidRDefault="00FF0768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217"/>
        <w:gridCol w:w="980"/>
        <w:gridCol w:w="2449"/>
        <w:gridCol w:w="2250"/>
        <w:gridCol w:w="2430"/>
      </w:tblGrid>
      <w:tr w:rsidR="00CC59BC" w:rsidRPr="00FA777D" w:rsidTr="00AC0FC3">
        <w:tc>
          <w:tcPr>
            <w:tcW w:w="816" w:type="dxa"/>
          </w:tcPr>
          <w:p w:rsidR="00CC59BC" w:rsidRPr="00CC59BC" w:rsidRDefault="00CC59BC" w:rsidP="0029332A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217" w:type="dxa"/>
          </w:tcPr>
          <w:p w:rsidR="00CC59BC" w:rsidRPr="00CC59BC" w:rsidRDefault="00CC59BC" w:rsidP="00FF076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980" w:type="dxa"/>
          </w:tcPr>
          <w:p w:rsidR="00CC59BC" w:rsidRPr="00CC59BC" w:rsidRDefault="00CC59BC" w:rsidP="00FF076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449" w:type="dxa"/>
          </w:tcPr>
          <w:p w:rsidR="00CC59BC" w:rsidRPr="00CC59BC" w:rsidRDefault="00CC59BC" w:rsidP="00E02D94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250" w:type="dxa"/>
          </w:tcPr>
          <w:p w:rsidR="00CC59BC" w:rsidRPr="00CC59BC" w:rsidRDefault="00CC59BC" w:rsidP="00FF076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:rsidR="00CC59BC" w:rsidRPr="00CC59BC" w:rsidRDefault="00CC59BC" w:rsidP="00E02D94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DE1782" w:rsidRPr="00FA777D" w:rsidTr="00AC0FC3">
        <w:tc>
          <w:tcPr>
            <w:tcW w:w="816" w:type="dxa"/>
          </w:tcPr>
          <w:p w:rsidR="00DE1782" w:rsidRDefault="0063490A" w:rsidP="00DE1782">
            <w:r>
              <w:t>16060</w:t>
            </w:r>
          </w:p>
        </w:tc>
        <w:tc>
          <w:tcPr>
            <w:tcW w:w="1217" w:type="dxa"/>
          </w:tcPr>
          <w:p w:rsidR="00DE1782" w:rsidRPr="00DE1782" w:rsidRDefault="00DE1782" w:rsidP="00DE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</w:t>
            </w:r>
            <w:r w:rsidR="0063490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80" w:type="dxa"/>
          </w:tcPr>
          <w:p w:rsidR="00DE1782" w:rsidRPr="003A3E90" w:rsidRDefault="00AB4BF8" w:rsidP="00AB4BF8">
            <w:r>
              <w:t>547</w:t>
            </w:r>
            <w:r w:rsidR="00DE1782" w:rsidRPr="003A3E90">
              <w:t>.</w:t>
            </w:r>
            <w:r>
              <w:t>36</w:t>
            </w:r>
          </w:p>
        </w:tc>
        <w:tc>
          <w:tcPr>
            <w:tcW w:w="2449" w:type="dxa"/>
          </w:tcPr>
          <w:p w:rsidR="0063490A" w:rsidRDefault="0063490A" w:rsidP="00634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field in HE SIG-A" -- there is no such field</w:t>
            </w:r>
          </w:p>
          <w:p w:rsidR="00DE1782" w:rsidRPr="0063490A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DE1782" w:rsidRPr="00296246" w:rsidRDefault="00AB4BF8" w:rsidP="00DE1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cited text to "the NSTS And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Periodicity field in HE-SIG-A"</w:t>
            </w:r>
          </w:p>
        </w:tc>
        <w:tc>
          <w:tcPr>
            <w:tcW w:w="2430" w:type="dxa"/>
          </w:tcPr>
          <w:p w:rsidR="00DE1782" w:rsidRPr="00396FB6" w:rsidRDefault="003D7E9F" w:rsidP="00DE1782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Accept</w:t>
            </w:r>
            <w:r w:rsidR="00DE1782" w:rsidRPr="00396FB6">
              <w:rPr>
                <w:b/>
                <w:sz w:val="20"/>
                <w:szCs w:val="20"/>
              </w:rPr>
              <w:t>ed.</w:t>
            </w:r>
          </w:p>
          <w:p w:rsidR="00DE1782" w:rsidRPr="00396FB6" w:rsidRDefault="00DE1782" w:rsidP="00DE1782">
            <w:pPr>
              <w:rPr>
                <w:sz w:val="20"/>
                <w:szCs w:val="20"/>
              </w:rPr>
            </w:pPr>
          </w:p>
          <w:p w:rsidR="00DE1782" w:rsidRPr="00396FB6" w:rsidRDefault="00296246" w:rsidP="00296246">
            <w:pPr>
              <w:rPr>
                <w:b/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>:  It’s 551.36 in D3.1</w:t>
            </w:r>
          </w:p>
        </w:tc>
      </w:tr>
      <w:tr w:rsidR="00DE1782" w:rsidRPr="00FA777D" w:rsidTr="00AC0FC3">
        <w:tc>
          <w:tcPr>
            <w:tcW w:w="816" w:type="dxa"/>
          </w:tcPr>
          <w:p w:rsidR="00DE1782" w:rsidRPr="003A3E90" w:rsidRDefault="00512A84" w:rsidP="00DE1782">
            <w:r>
              <w:t>16534</w:t>
            </w:r>
          </w:p>
        </w:tc>
        <w:tc>
          <w:tcPr>
            <w:tcW w:w="1217" w:type="dxa"/>
          </w:tcPr>
          <w:p w:rsidR="00DE1782" w:rsidRDefault="00DE1782" w:rsidP="00DE17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28.3.4</w:t>
            </w:r>
          </w:p>
          <w:p w:rsidR="00DE1782" w:rsidRPr="003A3E90" w:rsidRDefault="00DE1782" w:rsidP="00DE1782"/>
        </w:tc>
        <w:tc>
          <w:tcPr>
            <w:tcW w:w="980" w:type="dxa"/>
          </w:tcPr>
          <w:p w:rsidR="00DE1782" w:rsidRPr="003A3E90" w:rsidRDefault="00512A84" w:rsidP="00512A84">
            <w:r>
              <w:t>425.42</w:t>
            </w:r>
          </w:p>
        </w:tc>
        <w:tc>
          <w:tcPr>
            <w:tcW w:w="2449" w:type="dxa"/>
          </w:tcPr>
          <w:p w:rsidR="00512A84" w:rsidRDefault="00512A84" w:rsidP="00512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"This format is used</w:t>
            </w:r>
            <w:r>
              <w:rPr>
                <w:rFonts w:ascii="Arial" w:hAnsi="Arial" w:cs="Arial"/>
                <w:sz w:val="20"/>
                <w:szCs w:val="20"/>
              </w:rPr>
              <w:br/>
              <w:t>for a transmission that is a response to a Trigger frame." Also response to A-control frame</w:t>
            </w:r>
          </w:p>
          <w:p w:rsidR="00DE1782" w:rsidRPr="0070728A" w:rsidRDefault="00DE1782" w:rsidP="00DE178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50" w:type="dxa"/>
          </w:tcPr>
          <w:p w:rsidR="00512A84" w:rsidRDefault="00512A84" w:rsidP="00512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"This format is used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for a transmission that is a response to a Trigger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frameor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frame carrying a TRS Control subfield from the AP". 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420 line 28 for similar language</w:t>
            </w:r>
          </w:p>
          <w:p w:rsidR="00DE1782" w:rsidRPr="0070728A" w:rsidRDefault="00DE1782" w:rsidP="00DE178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</w:tcPr>
          <w:p w:rsidR="00DE1782" w:rsidRPr="00396FB6" w:rsidRDefault="00DE1782" w:rsidP="00DE1782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Revised.</w:t>
            </w:r>
          </w:p>
          <w:p w:rsidR="0030041E" w:rsidRPr="00396FB6" w:rsidRDefault="0030041E" w:rsidP="00DE1782">
            <w:pPr>
              <w:rPr>
                <w:sz w:val="20"/>
                <w:szCs w:val="20"/>
              </w:rPr>
            </w:pPr>
          </w:p>
          <w:p w:rsidR="00694A88" w:rsidRPr="00396FB6" w:rsidRDefault="00396FB6" w:rsidP="00DE1782">
            <w:pPr>
              <w:rPr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>Agree</w:t>
            </w:r>
            <w:r w:rsidR="0067535A" w:rsidRPr="00396FB6">
              <w:rPr>
                <w:sz w:val="20"/>
                <w:szCs w:val="20"/>
              </w:rPr>
              <w:t xml:space="preserve">. Correct </w:t>
            </w:r>
            <w:r w:rsidR="00C41C09" w:rsidRPr="00396FB6">
              <w:rPr>
                <w:sz w:val="20"/>
                <w:szCs w:val="20"/>
              </w:rPr>
              <w:t>a</w:t>
            </w:r>
            <w:r w:rsidR="0067535A" w:rsidRPr="00396FB6">
              <w:rPr>
                <w:sz w:val="20"/>
                <w:szCs w:val="20"/>
              </w:rPr>
              <w:t xml:space="preserve"> typo in the proposed change. </w:t>
            </w:r>
          </w:p>
          <w:p w:rsidR="001451C7" w:rsidRPr="00396FB6" w:rsidRDefault="001451C7" w:rsidP="00DE1782">
            <w:pPr>
              <w:rPr>
                <w:sz w:val="20"/>
                <w:szCs w:val="20"/>
              </w:rPr>
            </w:pPr>
          </w:p>
          <w:p w:rsidR="00DE1782" w:rsidRPr="00396FB6" w:rsidRDefault="001451C7" w:rsidP="00396FB6">
            <w:pPr>
              <w:rPr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 xml:space="preserve">:  Please change the text </w:t>
            </w:r>
            <w:r w:rsidR="00396FB6" w:rsidRPr="00396FB6">
              <w:rPr>
                <w:sz w:val="20"/>
                <w:szCs w:val="20"/>
              </w:rPr>
              <w:t xml:space="preserve">in </w:t>
            </w:r>
            <w:r w:rsidR="00396FB6" w:rsidRPr="00396FB6">
              <w:rPr>
                <w:b/>
                <w:bCs/>
                <w:i/>
                <w:iCs/>
                <w:sz w:val="20"/>
                <w:szCs w:val="20"/>
                <w:highlight w:val="yellow"/>
                <w:lang w:eastAsia="ko-KR"/>
              </w:rPr>
              <w:t>D3.1 P429Ln41</w:t>
            </w:r>
            <w:r w:rsidR="00396FB6" w:rsidRPr="00396FB6">
              <w:rPr>
                <w:b/>
                <w:bCs/>
                <w:i/>
                <w:iCs/>
                <w:sz w:val="20"/>
                <w:szCs w:val="20"/>
                <w:lang w:eastAsia="ko-KR"/>
              </w:rPr>
              <w:t xml:space="preserve"> as</w:t>
            </w:r>
            <w:r w:rsidR="00396FB6" w:rsidRPr="00396FB6">
              <w:rPr>
                <w:sz w:val="20"/>
                <w:szCs w:val="20"/>
              </w:rPr>
              <w:t xml:space="preserve">: </w:t>
            </w:r>
            <w:r w:rsidR="00396FB6" w:rsidRPr="00396FB6">
              <w:rPr>
                <w:sz w:val="20"/>
                <w:szCs w:val="20"/>
              </w:rPr>
              <w:t xml:space="preserve">This format is used for a transmission that is a response to a Trigger frame </w:t>
            </w:r>
            <w:r w:rsidR="00396FB6" w:rsidRPr="00396FB6">
              <w:rPr>
                <w:color w:val="FF0000"/>
                <w:sz w:val="20"/>
                <w:szCs w:val="20"/>
              </w:rPr>
              <w:t>or frame carrying a TRS Control subfield from the AP</w:t>
            </w:r>
            <w:r w:rsidR="00396FB6" w:rsidRPr="00396FB6">
              <w:rPr>
                <w:sz w:val="20"/>
                <w:szCs w:val="20"/>
              </w:rPr>
              <w:t>.</w:t>
            </w:r>
          </w:p>
        </w:tc>
      </w:tr>
      <w:tr w:rsidR="00DE1782" w:rsidRPr="00FA777D" w:rsidTr="00AC0FC3">
        <w:trPr>
          <w:trHeight w:val="1628"/>
        </w:trPr>
        <w:tc>
          <w:tcPr>
            <w:tcW w:w="816" w:type="dxa"/>
          </w:tcPr>
          <w:p w:rsidR="00DE1782" w:rsidRDefault="00B74E88" w:rsidP="00DE1782">
            <w:r>
              <w:t>16537</w:t>
            </w:r>
          </w:p>
        </w:tc>
        <w:tc>
          <w:tcPr>
            <w:tcW w:w="1217" w:type="dxa"/>
          </w:tcPr>
          <w:p w:rsidR="00A54501" w:rsidRDefault="00B74E88" w:rsidP="00A54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28.3.17</w:t>
            </w:r>
          </w:p>
          <w:p w:rsidR="00DE1782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DE1782" w:rsidRDefault="00B74E88" w:rsidP="00A54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548.01</w:t>
            </w:r>
          </w:p>
        </w:tc>
        <w:tc>
          <w:tcPr>
            <w:tcW w:w="2449" w:type="dxa"/>
          </w:tcPr>
          <w:p w:rsidR="00B74E88" w:rsidRDefault="00B74E88" w:rsidP="00B74E8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 TB NDP feedback PPDU Has two 4x HE-LTF symbols but no data symbols. If there is no data symbol, why is there a need to transmit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LTF.</w:t>
            </w:r>
            <w:proofErr w:type="gramEnd"/>
          </w:p>
          <w:p w:rsidR="00DE1782" w:rsidRPr="00A54501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:rsidR="00B74E88" w:rsidRDefault="00B74E88" w:rsidP="00B74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 the need for the HE-LTF symbols transmitted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explicity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say in a NOTE that it will not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processesd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1782" w:rsidRPr="008E5213" w:rsidRDefault="00DE1782" w:rsidP="00DE1782">
            <w:pPr>
              <w:rPr>
                <w:rFonts w:ascii="Arial" w:hAnsi="Arial" w:cs="Arial"/>
                <w:sz w:val="20"/>
              </w:rPr>
            </w:pPr>
          </w:p>
          <w:p w:rsidR="00DE1782" w:rsidRPr="008E5213" w:rsidRDefault="00DE1782" w:rsidP="00DE17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:rsidR="00DE1782" w:rsidRPr="00396FB6" w:rsidRDefault="00BD2F3C" w:rsidP="00DE1782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Rejected.</w:t>
            </w:r>
          </w:p>
          <w:p w:rsidR="0030041E" w:rsidRPr="00396FB6" w:rsidRDefault="0030041E" w:rsidP="00DE1782">
            <w:pPr>
              <w:rPr>
                <w:b/>
                <w:sz w:val="20"/>
                <w:szCs w:val="20"/>
              </w:rPr>
            </w:pPr>
          </w:p>
          <w:p w:rsidR="00DE1782" w:rsidRPr="00396FB6" w:rsidRDefault="0024480F" w:rsidP="0024480F">
            <w:pPr>
              <w:rPr>
                <w:b/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 xml:space="preserve">As described in 28.3.17, HE TB NDP feedback PPDU is used to carry NDP feedback report information instead of data symbols. The NDP feedback report is carried in HE-LTF symbols as explained in 27.5.6. </w:t>
            </w:r>
          </w:p>
        </w:tc>
      </w:tr>
      <w:tr w:rsidR="00C44A8F" w:rsidRPr="00FA777D" w:rsidTr="00AC0FC3">
        <w:trPr>
          <w:trHeight w:val="1628"/>
        </w:trPr>
        <w:tc>
          <w:tcPr>
            <w:tcW w:w="816" w:type="dxa"/>
          </w:tcPr>
          <w:p w:rsidR="00C44A8F" w:rsidRDefault="00CA5B44" w:rsidP="00DE1782">
            <w:r>
              <w:t>16792</w:t>
            </w:r>
          </w:p>
        </w:tc>
        <w:tc>
          <w:tcPr>
            <w:tcW w:w="1217" w:type="dxa"/>
          </w:tcPr>
          <w:p w:rsidR="00C44A8F" w:rsidRDefault="00C44A8F" w:rsidP="00A545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28.3.4</w:t>
            </w:r>
          </w:p>
        </w:tc>
        <w:tc>
          <w:tcPr>
            <w:tcW w:w="980" w:type="dxa"/>
          </w:tcPr>
          <w:p w:rsidR="00C44A8F" w:rsidRDefault="00CA5B44" w:rsidP="00A545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426.28</w:t>
            </w:r>
          </w:p>
        </w:tc>
        <w:tc>
          <w:tcPr>
            <w:tcW w:w="2449" w:type="dxa"/>
          </w:tcPr>
          <w:p w:rsidR="00CA5B44" w:rsidRDefault="00CA5B44" w:rsidP="00CA5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"The duration of the PE field" to "the definition of the PE field"</w:t>
            </w:r>
          </w:p>
          <w:p w:rsidR="00C44A8F" w:rsidRDefault="00C44A8F" w:rsidP="00DE17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CA5B44" w:rsidRDefault="00CA5B44" w:rsidP="00CA5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comment</w:t>
            </w:r>
          </w:p>
          <w:p w:rsidR="00C44A8F" w:rsidRDefault="00C44A8F" w:rsidP="00DE1782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A8F" w:rsidRDefault="00C44A8F" w:rsidP="00C44A8F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A8F" w:rsidRPr="00C44A8F" w:rsidRDefault="00C44A8F" w:rsidP="00C44A8F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5B44" w:rsidRPr="00396FB6" w:rsidRDefault="00CA5B44" w:rsidP="00CA5B44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Revised.</w:t>
            </w:r>
          </w:p>
          <w:p w:rsidR="00CA5B44" w:rsidRPr="00396FB6" w:rsidRDefault="00CA5B44" w:rsidP="00CA5B44">
            <w:pPr>
              <w:rPr>
                <w:b/>
                <w:sz w:val="20"/>
                <w:szCs w:val="20"/>
              </w:rPr>
            </w:pPr>
          </w:p>
          <w:p w:rsidR="00CA5B44" w:rsidRPr="00396FB6" w:rsidRDefault="008004E3" w:rsidP="00CA5B44">
            <w:pPr>
              <w:rPr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 xml:space="preserve">Agree. Correct </w:t>
            </w:r>
            <w:r w:rsidR="00C41C09" w:rsidRPr="00396FB6">
              <w:rPr>
                <w:sz w:val="20"/>
                <w:szCs w:val="20"/>
              </w:rPr>
              <w:t>a</w:t>
            </w:r>
            <w:r w:rsidRPr="00396FB6">
              <w:rPr>
                <w:sz w:val="20"/>
                <w:szCs w:val="20"/>
              </w:rPr>
              <w:t xml:space="preserve"> typo in the proposed change. </w:t>
            </w:r>
          </w:p>
          <w:p w:rsidR="00CA5B44" w:rsidRPr="00396FB6" w:rsidRDefault="00CA5B44" w:rsidP="00CA5B44">
            <w:pPr>
              <w:rPr>
                <w:b/>
                <w:sz w:val="20"/>
                <w:szCs w:val="20"/>
              </w:rPr>
            </w:pPr>
          </w:p>
          <w:p w:rsidR="00C44A8F" w:rsidRPr="00396FB6" w:rsidRDefault="00CA5B44" w:rsidP="00396FB6">
            <w:pPr>
              <w:rPr>
                <w:b/>
                <w:bCs/>
                <w:i/>
                <w:iCs/>
                <w:sz w:val="20"/>
                <w:szCs w:val="20"/>
                <w:lang w:eastAsia="ko-KR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 xml:space="preserve">:  Please change the text </w:t>
            </w:r>
            <w:r w:rsidR="00396FB6" w:rsidRPr="00396FB6">
              <w:rPr>
                <w:sz w:val="20"/>
                <w:szCs w:val="20"/>
              </w:rPr>
              <w:t xml:space="preserve">in </w:t>
            </w:r>
            <w:r w:rsidR="00396FB6" w:rsidRPr="00396FB6">
              <w:rPr>
                <w:b/>
                <w:bCs/>
                <w:i/>
                <w:iCs/>
                <w:sz w:val="20"/>
                <w:szCs w:val="20"/>
                <w:highlight w:val="yellow"/>
                <w:lang w:eastAsia="ko-KR"/>
              </w:rPr>
              <w:t>D3.1 P430Ln28</w:t>
            </w:r>
            <w:r w:rsidR="00396FB6" w:rsidRPr="00396FB6">
              <w:rPr>
                <w:b/>
                <w:bCs/>
                <w:i/>
                <w:iCs/>
                <w:sz w:val="20"/>
                <w:szCs w:val="20"/>
                <w:lang w:eastAsia="ko-KR"/>
              </w:rPr>
              <w:t xml:space="preserve"> as:</w:t>
            </w:r>
          </w:p>
          <w:p w:rsidR="00396FB6" w:rsidRPr="00396FB6" w:rsidRDefault="00396FB6" w:rsidP="00396FB6">
            <w:pPr>
              <w:rPr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 xml:space="preserve">The </w:t>
            </w:r>
            <w:r w:rsidRPr="00396FB6">
              <w:rPr>
                <w:strike/>
                <w:color w:val="FF0000"/>
                <w:sz w:val="20"/>
                <w:szCs w:val="20"/>
              </w:rPr>
              <w:t xml:space="preserve">duration </w:t>
            </w:r>
            <w:r w:rsidRPr="00396FB6">
              <w:rPr>
                <w:color w:val="FF0000"/>
                <w:sz w:val="20"/>
                <w:szCs w:val="20"/>
              </w:rPr>
              <w:t xml:space="preserve">definition </w:t>
            </w:r>
            <w:r w:rsidRPr="00396FB6">
              <w:rPr>
                <w:sz w:val="20"/>
                <w:szCs w:val="20"/>
              </w:rPr>
              <w:t>of the PE field is given in 28.3.12 (Packet extension).</w:t>
            </w:r>
          </w:p>
        </w:tc>
      </w:tr>
      <w:tr w:rsidR="00207D5A" w:rsidRPr="00FA777D" w:rsidTr="004B6C67">
        <w:trPr>
          <w:trHeight w:val="1070"/>
        </w:trPr>
        <w:tc>
          <w:tcPr>
            <w:tcW w:w="816" w:type="dxa"/>
          </w:tcPr>
          <w:p w:rsidR="00207D5A" w:rsidRDefault="002D6343" w:rsidP="00207D5A">
            <w:r>
              <w:t>16981</w:t>
            </w:r>
          </w:p>
        </w:tc>
        <w:tc>
          <w:tcPr>
            <w:tcW w:w="1217" w:type="dxa"/>
          </w:tcPr>
          <w:p w:rsidR="00207D5A" w:rsidRDefault="002D6343" w:rsidP="00207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28.3.16</w:t>
            </w:r>
          </w:p>
          <w:p w:rsidR="00207D5A" w:rsidRDefault="00207D5A" w:rsidP="00207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207D5A" w:rsidRDefault="002D6343" w:rsidP="00207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547.49</w:t>
            </w:r>
          </w:p>
          <w:p w:rsidR="00207D5A" w:rsidRDefault="00207D5A" w:rsidP="00207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9" w:type="dxa"/>
          </w:tcPr>
          <w:p w:rsidR="00207D5A" w:rsidRPr="00207D5A" w:rsidRDefault="002D6343" w:rsidP="004B6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"If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BF field in HE-SIG-A of an HE NDP PPDU is 1, then the receiver of the HE NDP PPDU shall not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perform channel smoothing when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generating the compressed beamforming feedback report."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NDP is not supposed to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BFed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when requesting SU or MU type feedback. The sentence confuses people.</w:t>
            </w:r>
          </w:p>
        </w:tc>
        <w:tc>
          <w:tcPr>
            <w:tcW w:w="2250" w:type="dxa"/>
          </w:tcPr>
          <w:p w:rsidR="002D6343" w:rsidRDefault="002D6343" w:rsidP="002D63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remove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this sentence.</w:t>
            </w:r>
          </w:p>
          <w:p w:rsidR="00207D5A" w:rsidRDefault="00207D5A" w:rsidP="00207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2D6343" w:rsidRPr="00396FB6" w:rsidRDefault="00762E4E" w:rsidP="002D6343">
            <w:pPr>
              <w:rPr>
                <w:b/>
                <w:sz w:val="20"/>
                <w:szCs w:val="20"/>
              </w:rPr>
            </w:pPr>
            <w:r w:rsidRPr="00396FB6">
              <w:rPr>
                <w:b/>
                <w:sz w:val="20"/>
                <w:szCs w:val="20"/>
              </w:rPr>
              <w:t>Accepted</w:t>
            </w:r>
            <w:r w:rsidR="002D6343" w:rsidRPr="00396FB6">
              <w:rPr>
                <w:b/>
                <w:sz w:val="20"/>
                <w:szCs w:val="20"/>
              </w:rPr>
              <w:t>.</w:t>
            </w:r>
          </w:p>
          <w:p w:rsidR="002D6343" w:rsidRPr="00396FB6" w:rsidRDefault="002D6343" w:rsidP="002D6343">
            <w:pPr>
              <w:rPr>
                <w:b/>
                <w:sz w:val="20"/>
                <w:szCs w:val="20"/>
              </w:rPr>
            </w:pPr>
          </w:p>
          <w:p w:rsidR="00210EEE" w:rsidRPr="00396FB6" w:rsidRDefault="00210EEE" w:rsidP="002D6343">
            <w:pPr>
              <w:rPr>
                <w:sz w:val="20"/>
                <w:szCs w:val="20"/>
              </w:rPr>
            </w:pPr>
            <w:r w:rsidRPr="00396FB6">
              <w:rPr>
                <w:sz w:val="20"/>
                <w:szCs w:val="20"/>
              </w:rPr>
              <w:t xml:space="preserve">Agree to delete this sentence. </w:t>
            </w:r>
            <w:r w:rsidR="00C419AE" w:rsidRPr="00396FB6">
              <w:rPr>
                <w:sz w:val="20"/>
                <w:szCs w:val="20"/>
              </w:rPr>
              <w:t xml:space="preserve">RX behavior (smoothing or not) is not necessary to specify here. </w:t>
            </w:r>
            <w:r w:rsidR="00E4401A" w:rsidRPr="00396FB6">
              <w:rPr>
                <w:sz w:val="20"/>
                <w:szCs w:val="20"/>
              </w:rPr>
              <w:t xml:space="preserve">For SU PPDU, </w:t>
            </w:r>
            <w:r w:rsidR="00EB2A44" w:rsidRPr="00396FB6">
              <w:rPr>
                <w:sz w:val="20"/>
                <w:szCs w:val="20"/>
              </w:rPr>
              <w:t xml:space="preserve">Rx </w:t>
            </w:r>
            <w:r w:rsidR="00E4401A" w:rsidRPr="00396FB6">
              <w:rPr>
                <w:sz w:val="20"/>
                <w:szCs w:val="20"/>
              </w:rPr>
              <w:lastRenderedPageBreak/>
              <w:t xml:space="preserve">smoothing or not is not specified. </w:t>
            </w:r>
          </w:p>
          <w:p w:rsidR="00581AD8" w:rsidRPr="00396FB6" w:rsidRDefault="00581AD8" w:rsidP="002D6343">
            <w:pPr>
              <w:rPr>
                <w:sz w:val="20"/>
                <w:szCs w:val="20"/>
              </w:rPr>
            </w:pPr>
          </w:p>
          <w:p w:rsidR="00207D5A" w:rsidRPr="00396FB6" w:rsidRDefault="006C388D" w:rsidP="00772D4E">
            <w:pPr>
              <w:rPr>
                <w:sz w:val="20"/>
                <w:szCs w:val="20"/>
              </w:rPr>
            </w:pPr>
            <w:proofErr w:type="spellStart"/>
            <w:r w:rsidRPr="00396FB6">
              <w:rPr>
                <w:i/>
                <w:sz w:val="20"/>
                <w:szCs w:val="20"/>
              </w:rPr>
              <w:t>TGax</w:t>
            </w:r>
            <w:proofErr w:type="spellEnd"/>
            <w:r w:rsidRPr="00396FB6">
              <w:rPr>
                <w:i/>
                <w:sz w:val="20"/>
                <w:szCs w:val="20"/>
              </w:rPr>
              <w:t xml:space="preserve"> Editor</w:t>
            </w:r>
            <w:r w:rsidRPr="00396FB6">
              <w:rPr>
                <w:sz w:val="20"/>
                <w:szCs w:val="20"/>
              </w:rPr>
              <w:t xml:space="preserve">:  </w:t>
            </w:r>
            <w:r w:rsidR="00074F80" w:rsidRPr="00396FB6">
              <w:rPr>
                <w:sz w:val="20"/>
                <w:szCs w:val="20"/>
              </w:rPr>
              <w:t>It’s 551.49</w:t>
            </w:r>
            <w:r w:rsidRPr="00396FB6">
              <w:rPr>
                <w:sz w:val="20"/>
                <w:szCs w:val="20"/>
              </w:rPr>
              <w:t xml:space="preserve"> in D3.1</w:t>
            </w:r>
            <w:r w:rsidR="00074F80" w:rsidRPr="00396FB6">
              <w:rPr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</w:tbl>
    <w:p w:rsidR="008004E3" w:rsidRDefault="008004E3" w:rsidP="00E42D70">
      <w:pPr>
        <w:autoSpaceDE w:val="0"/>
        <w:autoSpaceDN w:val="0"/>
        <w:adjustRightInd w:val="0"/>
        <w:rPr>
          <w:sz w:val="20"/>
          <w:szCs w:val="20"/>
        </w:rPr>
      </w:pPr>
    </w:p>
    <w:sectPr w:rsidR="008004E3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FE" w:rsidRDefault="004348FE">
      <w:r>
        <w:separator/>
      </w:r>
    </w:p>
  </w:endnote>
  <w:endnote w:type="continuationSeparator" w:id="0">
    <w:p w:rsidR="004348FE" w:rsidRDefault="0043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51664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396FB6">
      <w:rPr>
        <w:noProof/>
        <w:lang w:val="fr-FR"/>
      </w:rPr>
      <w:t>1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r w:rsidR="0085141F">
      <w:rPr>
        <w:lang w:val="fr-FR"/>
      </w:rPr>
      <w:t>Tianyu Wu</w:t>
    </w:r>
    <w:r w:rsidR="00DF65D7">
      <w:rPr>
        <w:lang w:val="fr-FR"/>
      </w:rPr>
      <w:t xml:space="preserve"> (</w:t>
    </w:r>
    <w:r w:rsidR="0085141F">
      <w:rPr>
        <w:lang w:val="fr-FR"/>
      </w:rPr>
      <w:t>Samsung</w:t>
    </w:r>
    <w:r w:rsidR="00DF65D7">
      <w:rPr>
        <w:lang w:val="fr-FR"/>
      </w:rPr>
      <w:t>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FE" w:rsidRDefault="004348FE">
      <w:r>
        <w:separator/>
      </w:r>
    </w:p>
  </w:footnote>
  <w:footnote w:type="continuationSeparator" w:id="0">
    <w:p w:rsidR="004348FE" w:rsidRDefault="00434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264B58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A10DB1">
      <w:t>.</w:t>
    </w:r>
    <w:r w:rsidR="00DF65D7">
      <w:t xml:space="preserve"> 201</w:t>
    </w:r>
    <w:r w:rsidR="008C202A">
      <w:t>8</w:t>
    </w:r>
    <w:r w:rsidR="00DF65D7">
      <w:tab/>
    </w:r>
    <w:r w:rsidR="00DF65D7">
      <w:tab/>
    </w:r>
    <w:r w:rsidR="004348FE">
      <w:fldChar w:fldCharType="begin"/>
    </w:r>
    <w:r w:rsidR="004348FE">
      <w:instrText xml:space="preserve"> TITLE  \* MERGEFORMAT </w:instrText>
    </w:r>
    <w:r w:rsidR="004348FE">
      <w:fldChar w:fldCharType="separate"/>
    </w:r>
    <w:r w:rsidR="00DF65D7">
      <w:t xml:space="preserve">doc.: IEEE </w:t>
    </w:r>
    <w:r w:rsidR="008C202A">
      <w:t>802.11-18</w:t>
    </w:r>
    <w:r w:rsidR="00DF65D7">
      <w:t>/</w:t>
    </w:r>
    <w:r w:rsidR="004348FE">
      <w:fldChar w:fldCharType="end"/>
    </w:r>
    <w:r w:rsidR="001D4AAC">
      <w:t>1534</w:t>
    </w:r>
    <w:r w:rsidR="00DF65D7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5"/>
  </w:num>
  <w:num w:numId="7">
    <w:abstractNumId w:val="20"/>
  </w:num>
  <w:num w:numId="8">
    <w:abstractNumId w:val="32"/>
  </w:num>
  <w:num w:numId="9">
    <w:abstractNumId w:val="18"/>
  </w:num>
  <w:num w:numId="10">
    <w:abstractNumId w:val="12"/>
  </w:num>
  <w:num w:numId="11">
    <w:abstractNumId w:val="38"/>
  </w:num>
  <w:num w:numId="12">
    <w:abstractNumId w:val="33"/>
  </w:num>
  <w:num w:numId="13">
    <w:abstractNumId w:val="13"/>
  </w:num>
  <w:num w:numId="14">
    <w:abstractNumId w:val="35"/>
  </w:num>
  <w:num w:numId="15">
    <w:abstractNumId w:val="11"/>
  </w:num>
  <w:num w:numId="16">
    <w:abstractNumId w:val="9"/>
  </w:num>
  <w:num w:numId="17">
    <w:abstractNumId w:val="7"/>
  </w:num>
  <w:num w:numId="18">
    <w:abstractNumId w:val="28"/>
  </w:num>
  <w:num w:numId="19">
    <w:abstractNumId w:val="14"/>
  </w:num>
  <w:num w:numId="20">
    <w:abstractNumId w:val="39"/>
  </w:num>
  <w:num w:numId="21">
    <w:abstractNumId w:val="34"/>
  </w:num>
  <w:num w:numId="22">
    <w:abstractNumId w:val="0"/>
  </w:num>
  <w:num w:numId="23">
    <w:abstractNumId w:val="5"/>
  </w:num>
  <w:num w:numId="24">
    <w:abstractNumId w:val="37"/>
  </w:num>
  <w:num w:numId="25">
    <w:abstractNumId w:val="3"/>
  </w:num>
  <w:num w:numId="26">
    <w:abstractNumId w:val="24"/>
  </w:num>
  <w:num w:numId="27">
    <w:abstractNumId w:val="2"/>
  </w:num>
  <w:num w:numId="28">
    <w:abstractNumId w:val="10"/>
  </w:num>
  <w:num w:numId="29">
    <w:abstractNumId w:val="26"/>
  </w:num>
  <w:num w:numId="30">
    <w:abstractNumId w:val="29"/>
  </w:num>
  <w:num w:numId="31">
    <w:abstractNumId w:val="17"/>
  </w:num>
  <w:num w:numId="32">
    <w:abstractNumId w:val="23"/>
  </w:num>
  <w:num w:numId="33">
    <w:abstractNumId w:val="6"/>
  </w:num>
  <w:num w:numId="34">
    <w:abstractNumId w:val="21"/>
  </w:num>
  <w:num w:numId="35">
    <w:abstractNumId w:val="30"/>
  </w:num>
  <w:num w:numId="36">
    <w:abstractNumId w:val="16"/>
  </w:num>
  <w:num w:numId="37">
    <w:abstractNumId w:val="36"/>
  </w:num>
  <w:num w:numId="38">
    <w:abstractNumId w:val="19"/>
  </w:num>
  <w:num w:numId="39">
    <w:abstractNumId w:val="25"/>
  </w:num>
  <w:num w:numId="40">
    <w:abstractNumId w:val="2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94A"/>
    <w:rsid w:val="00080027"/>
    <w:rsid w:val="00080061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80F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0E6A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277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D4E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4E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554E"/>
    <w:rsid w:val="00855B73"/>
    <w:rsid w:val="00855FF5"/>
    <w:rsid w:val="00856084"/>
    <w:rsid w:val="0085680C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6E2A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75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18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19AE"/>
    <w:rsid w:val="00C41C09"/>
    <w:rsid w:val="00C42477"/>
    <w:rsid w:val="00C42B72"/>
    <w:rsid w:val="00C42B76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CEF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CB8F8E5-7604-4A62-9C98-E485A192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166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3275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Tianyu Wu</cp:lastModifiedBy>
  <cp:revision>55</cp:revision>
  <cp:lastPrinted>2013-12-02T17:26:00Z</cp:lastPrinted>
  <dcterms:created xsi:type="dcterms:W3CDTF">2018-09-04T22:37:00Z</dcterms:created>
  <dcterms:modified xsi:type="dcterms:W3CDTF">2018-09-07T16:40:00Z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